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3A9C" w14:textId="66A80BF3" w:rsidR="008430BD" w:rsidRPr="00B64E96" w:rsidRDefault="008430BD" w:rsidP="008430BD">
      <w:r w:rsidRPr="00B64E96">
        <w:rPr>
          <w:noProof/>
          <w:lang w:eastAsia="cs-CZ"/>
        </w:rPr>
        <mc:AlternateContent>
          <mc:Choice Requires="wps">
            <w:drawing>
              <wp:anchor distT="0" distB="0" distL="114300" distR="114300" simplePos="0" relativeHeight="251661312" behindDoc="0" locked="0" layoutInCell="1" allowOverlap="1" wp14:anchorId="5553C3B5" wp14:editId="09D14688">
                <wp:simplePos x="0" y="0"/>
                <wp:positionH relativeFrom="column">
                  <wp:posOffset>1681836</wp:posOffset>
                </wp:positionH>
                <wp:positionV relativeFrom="paragraph">
                  <wp:posOffset>-71755</wp:posOffset>
                </wp:positionV>
                <wp:extent cx="4651200" cy="9219600"/>
                <wp:effectExtent l="0" t="0" r="0" b="635"/>
                <wp:wrapNone/>
                <wp:docPr id="124" name="Textové pole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1200" cy="9219600"/>
                        </a:xfrm>
                        <a:prstGeom prst="rect">
                          <a:avLst/>
                        </a:prstGeom>
                        <a:solidFill>
                          <a:sysClr val="window" lastClr="FFFFFF"/>
                        </a:solidFill>
                        <a:ln w="6350">
                          <a:noFill/>
                        </a:ln>
                        <a:effectLst/>
                      </wps:spPr>
                      <wps:txbx>
                        <w:txbxContent>
                          <w:p w14:paraId="24CDB75A" w14:textId="77777777" w:rsidR="005B435F" w:rsidRPr="00311BE7" w:rsidRDefault="005B435F" w:rsidP="008430BD">
                            <w:pPr>
                              <w:spacing w:line="240" w:lineRule="auto"/>
                              <w:rPr>
                                <w:rFonts w:ascii="DIN Next LT Pro Condensed" w:hAnsi="DIN Next LT Pro Condensed"/>
                                <w:color w:val="5D7496"/>
                                <w:sz w:val="150"/>
                              </w:rPr>
                            </w:pPr>
                            <w:r w:rsidRPr="00311BE7">
                              <w:rPr>
                                <w:rFonts w:ascii="DIN Next LT Pro Condensed" w:hAnsi="DIN Next LT Pro Condensed" w:hint="eastAsia"/>
                                <w:color w:val="5D7496"/>
                                <w:sz w:val="150"/>
                              </w:rPr>
                              <w:t>Č</w:t>
                            </w:r>
                            <w:r w:rsidRPr="00311BE7">
                              <w:rPr>
                                <w:rFonts w:ascii="DIN Next LT Pro Condensed" w:hAnsi="DIN Next LT Pro Condensed"/>
                                <w:color w:val="5D7496"/>
                                <w:sz w:val="150"/>
                              </w:rPr>
                              <w:t>esk</w:t>
                            </w:r>
                            <w:r w:rsidRPr="00311BE7">
                              <w:rPr>
                                <w:rFonts w:ascii="DIN Next LT Pro Condensed" w:hAnsi="DIN Next LT Pro Condensed" w:hint="eastAsia"/>
                                <w:color w:val="5D7496"/>
                                <w:sz w:val="150"/>
                              </w:rPr>
                              <w:t>é</w:t>
                            </w:r>
                            <w:r w:rsidRPr="00311BE7">
                              <w:rPr>
                                <w:rFonts w:ascii="DIN Next LT Pro Condensed" w:hAnsi="DIN Next LT Pro Condensed"/>
                                <w:color w:val="5D7496"/>
                                <w:sz w:val="150"/>
                              </w:rPr>
                              <w:t xml:space="preserve"> soudnictv</w:t>
                            </w:r>
                            <w:r w:rsidRPr="00311BE7">
                              <w:rPr>
                                <w:rFonts w:ascii="DIN Next LT Pro Condensed" w:hAnsi="DIN Next LT Pro Condensed" w:hint="eastAsia"/>
                                <w:color w:val="5D7496"/>
                                <w:sz w:val="150"/>
                              </w:rPr>
                              <w:t>í</w:t>
                            </w:r>
                          </w:p>
                          <w:p w14:paraId="02FFB165" w14:textId="10A33F53" w:rsidR="005B435F" w:rsidRPr="00311BE7" w:rsidRDefault="005B435F" w:rsidP="008430BD">
                            <w:pPr>
                              <w:spacing w:line="240" w:lineRule="auto"/>
                              <w:rPr>
                                <w:rFonts w:ascii="DIN Next LT Pro Condensed" w:hAnsi="DIN Next LT Pro Condensed"/>
                                <w:color w:val="5D7496"/>
                                <w:sz w:val="150"/>
                              </w:rPr>
                            </w:pPr>
                            <w:r w:rsidRPr="00311BE7">
                              <w:rPr>
                                <w:rFonts w:ascii="DIN Next LT Pro Condensed" w:hAnsi="DIN Next LT Pro Condensed"/>
                                <w:color w:val="5D7496"/>
                                <w:sz w:val="150"/>
                              </w:rPr>
                              <w:t>202</w:t>
                            </w:r>
                            <w:r>
                              <w:rPr>
                                <w:rFonts w:ascii="DIN Next LT Pro Condensed" w:hAnsi="DIN Next LT Pro Condensed"/>
                                <w:color w:val="5D7496"/>
                                <w:sz w:val="150"/>
                              </w:rPr>
                              <w:t>3</w:t>
                            </w:r>
                            <w:r w:rsidRPr="00311BE7">
                              <w:rPr>
                                <w:rFonts w:ascii="DIN Next LT Pro Condensed" w:hAnsi="DIN Next LT Pro Condensed"/>
                                <w:color w:val="5D7496"/>
                                <w:sz w:val="150"/>
                              </w:rPr>
                              <w:t>:</w:t>
                            </w:r>
                          </w:p>
                          <w:p w14:paraId="26451DED" w14:textId="77777777" w:rsidR="005B435F" w:rsidRPr="00311BE7" w:rsidRDefault="005B435F" w:rsidP="006023DD">
                            <w:pPr>
                              <w:spacing w:before="960" w:line="240" w:lineRule="auto"/>
                              <w:rPr>
                                <w:rFonts w:ascii="DIN Next LT Pro Condensed" w:hAnsi="DIN Next LT Pro Condensed"/>
                                <w:color w:val="5D7496"/>
                                <w:sz w:val="136"/>
                              </w:rPr>
                            </w:pPr>
                            <w:r w:rsidRPr="00311BE7">
                              <w:rPr>
                                <w:rFonts w:ascii="DIN Next LT Pro Condensed" w:hAnsi="DIN Next LT Pro Condensed"/>
                                <w:color w:val="5D7496"/>
                                <w:sz w:val="136"/>
                              </w:rPr>
                              <w:t>V</w:t>
                            </w:r>
                            <w:r w:rsidRPr="00311BE7">
                              <w:rPr>
                                <w:rFonts w:ascii="DIN Next LT Pro Condensed" w:hAnsi="DIN Next LT Pro Condensed" w:hint="eastAsia"/>
                                <w:color w:val="5D7496"/>
                                <w:sz w:val="136"/>
                              </w:rPr>
                              <w:t>ý</w:t>
                            </w:r>
                            <w:r w:rsidRPr="00311BE7">
                              <w:rPr>
                                <w:rFonts w:ascii="DIN Next LT Pro Condensed" w:hAnsi="DIN Next LT Pro Condensed"/>
                                <w:color w:val="5D7496"/>
                                <w:sz w:val="136"/>
                              </w:rPr>
                              <w:t>ro</w:t>
                            </w:r>
                            <w:r w:rsidRPr="00311BE7">
                              <w:rPr>
                                <w:rFonts w:ascii="DIN Next LT Pro Condensed" w:hAnsi="DIN Next LT Pro Condensed" w:hint="eastAsia"/>
                                <w:color w:val="5D7496"/>
                                <w:sz w:val="136"/>
                              </w:rPr>
                              <w:t>č</w:t>
                            </w:r>
                            <w:r w:rsidRPr="00311BE7">
                              <w:rPr>
                                <w:rFonts w:ascii="DIN Next LT Pro Condensed" w:hAnsi="DIN Next LT Pro Condensed"/>
                                <w:color w:val="5D7496"/>
                                <w:sz w:val="136"/>
                              </w:rPr>
                              <w:t>n</w:t>
                            </w:r>
                            <w:r w:rsidRPr="00311BE7">
                              <w:rPr>
                                <w:rFonts w:ascii="DIN Next LT Pro Condensed" w:hAnsi="DIN Next LT Pro Condensed" w:hint="eastAsia"/>
                                <w:color w:val="5D7496"/>
                                <w:sz w:val="136"/>
                              </w:rPr>
                              <w:t>í</w:t>
                            </w:r>
                            <w:r w:rsidRPr="00311BE7">
                              <w:rPr>
                                <w:rFonts w:ascii="DIN Next LT Pro Condensed" w:hAnsi="DIN Next LT Pro Condensed"/>
                                <w:color w:val="5D7496"/>
                                <w:sz w:val="136"/>
                              </w:rPr>
                              <w:t xml:space="preserve"> statistick</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 xml:space="preserve"> zpr</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va</w:t>
                            </w:r>
                          </w:p>
                          <w:p w14:paraId="4499C359" w14:textId="77777777" w:rsidR="005B435F" w:rsidRPr="00311BE7" w:rsidRDefault="005B435F" w:rsidP="008430BD">
                            <w:pPr>
                              <w:spacing w:line="240" w:lineRule="auto"/>
                              <w:rPr>
                                <w:rFonts w:ascii="DIN Next LT Pro Condensed" w:hAnsi="DIN Next LT Pro Condensed"/>
                                <w:color w:val="5D7496"/>
                                <w:sz w:val="56"/>
                              </w:rPr>
                            </w:pPr>
                          </w:p>
                          <w:p w14:paraId="36060D8B" w14:textId="77777777" w:rsidR="005B435F" w:rsidRPr="00311BE7" w:rsidRDefault="005B435F" w:rsidP="008430BD">
                            <w:pPr>
                              <w:spacing w:line="240" w:lineRule="auto"/>
                              <w:rPr>
                                <w:rFonts w:ascii="DIN Next LT Pro Condensed" w:hAnsi="DIN Next LT Pro Condensed"/>
                                <w:color w:val="5D7496"/>
                                <w:sz w:val="56"/>
                              </w:rPr>
                            </w:pPr>
                          </w:p>
                          <w:p w14:paraId="21426A69" w14:textId="77777777" w:rsidR="005B435F" w:rsidRPr="00311BE7" w:rsidRDefault="005B435F" w:rsidP="008430BD">
                            <w:pPr>
                              <w:spacing w:line="240" w:lineRule="auto"/>
                              <w:rPr>
                                <w:rFonts w:ascii="DIN Next LT Pro Condensed" w:hAnsi="DIN Next LT Pro Condensed"/>
                                <w:color w:val="5D7496"/>
                                <w:sz w:val="66"/>
                              </w:rPr>
                            </w:pPr>
                            <w:r w:rsidRPr="00311BE7">
                              <w:rPr>
                                <w:rFonts w:ascii="DIN Next LT Pro Condensed" w:hAnsi="DIN Next LT Pro Condensed"/>
                                <w:color w:val="5D7496"/>
                                <w:sz w:val="66"/>
                              </w:rPr>
                              <w:t>Ministerstvo spravedlnosti</w:t>
                            </w:r>
                          </w:p>
                          <w:p w14:paraId="0BF8FA9D" w14:textId="3D804667" w:rsidR="005B435F" w:rsidRPr="0008533B" w:rsidRDefault="005B435F" w:rsidP="008430BD">
                            <w:pPr>
                              <w:spacing w:line="240" w:lineRule="auto"/>
                              <w:rPr>
                                <w:rFonts w:ascii="DIN Next LT Pro Condensed" w:hAnsi="DIN Next LT Pro Condensed"/>
                                <w:sz w:val="40"/>
                                <w:szCs w:val="40"/>
                              </w:rPr>
                            </w:pPr>
                            <w:r w:rsidRPr="003842AE">
                              <w:rPr>
                                <w:rFonts w:ascii="DIN Next LT Pro Condensed" w:hAnsi="DIN Next LT Pro Condensed"/>
                                <w:smallCaps/>
                                <w:color w:val="5D7496"/>
                                <w:sz w:val="40"/>
                                <w:szCs w:val="40"/>
                              </w:rPr>
                              <w:t>justice.cz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553C3B5" id="_x0000_t202" coordsize="21600,21600" o:spt="202" path="m,l,21600r21600,l21600,xe">
                <v:stroke joinstyle="miter"/>
                <v:path gradientshapeok="t" o:connecttype="rect"/>
              </v:shapetype>
              <v:shape id="Textové pole 124" o:spid="_x0000_s1026" type="#_x0000_t202" style="position:absolute;left:0;text-align:left;margin-left:132.45pt;margin-top:-5.65pt;width:366.25pt;height:7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" fillcolor="window" stroked="f" strokeweight=".5pt">
                <v:textbox>
                  <w:txbxContent>
                    <w:p w14:paraId="24CDB75A" w14:textId="77777777" w:rsidR="005B435F" w:rsidRPr="00311BE7" w:rsidRDefault="005B435F" w:rsidP="008430BD">
                      <w:pPr>
                        <w:spacing w:line="240" w:lineRule="auto"/>
                        <w:rPr>
                          <w:rFonts w:ascii="DIN Next LT Pro Condensed" w:hAnsi="DIN Next LT Pro Condensed"/>
                          <w:color w:val="5D7496"/>
                          <w:sz w:val="150"/>
                        </w:rPr>
                      </w:pPr>
                      <w:r w:rsidRPr="00311BE7">
                        <w:rPr>
                          <w:rFonts w:ascii="DIN Next LT Pro Condensed" w:hAnsi="DIN Next LT Pro Condensed" w:hint="eastAsia"/>
                          <w:color w:val="5D7496"/>
                          <w:sz w:val="150"/>
                        </w:rPr>
                        <w:t>Č</w:t>
                      </w:r>
                      <w:r w:rsidRPr="00311BE7">
                        <w:rPr>
                          <w:rFonts w:ascii="DIN Next LT Pro Condensed" w:hAnsi="DIN Next LT Pro Condensed"/>
                          <w:color w:val="5D7496"/>
                          <w:sz w:val="150"/>
                        </w:rPr>
                        <w:t>esk</w:t>
                      </w:r>
                      <w:r w:rsidRPr="00311BE7">
                        <w:rPr>
                          <w:rFonts w:ascii="DIN Next LT Pro Condensed" w:hAnsi="DIN Next LT Pro Condensed" w:hint="eastAsia"/>
                          <w:color w:val="5D7496"/>
                          <w:sz w:val="150"/>
                        </w:rPr>
                        <w:t>é</w:t>
                      </w:r>
                      <w:r w:rsidRPr="00311BE7">
                        <w:rPr>
                          <w:rFonts w:ascii="DIN Next LT Pro Condensed" w:hAnsi="DIN Next LT Pro Condensed"/>
                          <w:color w:val="5D7496"/>
                          <w:sz w:val="150"/>
                        </w:rPr>
                        <w:t xml:space="preserve"> soudnictv</w:t>
                      </w:r>
                      <w:r w:rsidRPr="00311BE7">
                        <w:rPr>
                          <w:rFonts w:ascii="DIN Next LT Pro Condensed" w:hAnsi="DIN Next LT Pro Condensed" w:hint="eastAsia"/>
                          <w:color w:val="5D7496"/>
                          <w:sz w:val="150"/>
                        </w:rPr>
                        <w:t>í</w:t>
                      </w:r>
                    </w:p>
                    <w:p w14:paraId="02FFB165" w14:textId="10A33F53" w:rsidR="005B435F" w:rsidRPr="00311BE7" w:rsidRDefault="005B435F" w:rsidP="008430BD">
                      <w:pPr>
                        <w:spacing w:line="240" w:lineRule="auto"/>
                        <w:rPr>
                          <w:rFonts w:ascii="DIN Next LT Pro Condensed" w:hAnsi="DIN Next LT Pro Condensed"/>
                          <w:color w:val="5D7496"/>
                          <w:sz w:val="150"/>
                        </w:rPr>
                      </w:pPr>
                      <w:r w:rsidRPr="00311BE7">
                        <w:rPr>
                          <w:rFonts w:ascii="DIN Next LT Pro Condensed" w:hAnsi="DIN Next LT Pro Condensed"/>
                          <w:color w:val="5D7496"/>
                          <w:sz w:val="150"/>
                        </w:rPr>
                        <w:t>202</w:t>
                      </w:r>
                      <w:r>
                        <w:rPr>
                          <w:rFonts w:ascii="DIN Next LT Pro Condensed" w:hAnsi="DIN Next LT Pro Condensed"/>
                          <w:color w:val="5D7496"/>
                          <w:sz w:val="150"/>
                        </w:rPr>
                        <w:t>3</w:t>
                      </w:r>
                      <w:r w:rsidRPr="00311BE7">
                        <w:rPr>
                          <w:rFonts w:ascii="DIN Next LT Pro Condensed" w:hAnsi="DIN Next LT Pro Condensed"/>
                          <w:color w:val="5D7496"/>
                          <w:sz w:val="150"/>
                        </w:rPr>
                        <w:t>:</w:t>
                      </w:r>
                    </w:p>
                    <w:p w14:paraId="26451DED" w14:textId="77777777" w:rsidR="005B435F" w:rsidRPr="00311BE7" w:rsidRDefault="005B435F" w:rsidP="006023DD">
                      <w:pPr>
                        <w:spacing w:before="960" w:line="240" w:lineRule="auto"/>
                        <w:rPr>
                          <w:rFonts w:ascii="DIN Next LT Pro Condensed" w:hAnsi="DIN Next LT Pro Condensed"/>
                          <w:color w:val="5D7496"/>
                          <w:sz w:val="136"/>
                        </w:rPr>
                      </w:pPr>
                      <w:r w:rsidRPr="00311BE7">
                        <w:rPr>
                          <w:rFonts w:ascii="DIN Next LT Pro Condensed" w:hAnsi="DIN Next LT Pro Condensed"/>
                          <w:color w:val="5D7496"/>
                          <w:sz w:val="136"/>
                        </w:rPr>
                        <w:t>V</w:t>
                      </w:r>
                      <w:r w:rsidRPr="00311BE7">
                        <w:rPr>
                          <w:rFonts w:ascii="DIN Next LT Pro Condensed" w:hAnsi="DIN Next LT Pro Condensed" w:hint="eastAsia"/>
                          <w:color w:val="5D7496"/>
                          <w:sz w:val="136"/>
                        </w:rPr>
                        <w:t>ý</w:t>
                      </w:r>
                      <w:r w:rsidRPr="00311BE7">
                        <w:rPr>
                          <w:rFonts w:ascii="DIN Next LT Pro Condensed" w:hAnsi="DIN Next LT Pro Condensed"/>
                          <w:color w:val="5D7496"/>
                          <w:sz w:val="136"/>
                        </w:rPr>
                        <w:t>ro</w:t>
                      </w:r>
                      <w:r w:rsidRPr="00311BE7">
                        <w:rPr>
                          <w:rFonts w:ascii="DIN Next LT Pro Condensed" w:hAnsi="DIN Next LT Pro Condensed" w:hint="eastAsia"/>
                          <w:color w:val="5D7496"/>
                          <w:sz w:val="136"/>
                        </w:rPr>
                        <w:t>č</w:t>
                      </w:r>
                      <w:r w:rsidRPr="00311BE7">
                        <w:rPr>
                          <w:rFonts w:ascii="DIN Next LT Pro Condensed" w:hAnsi="DIN Next LT Pro Condensed"/>
                          <w:color w:val="5D7496"/>
                          <w:sz w:val="136"/>
                        </w:rPr>
                        <w:t>n</w:t>
                      </w:r>
                      <w:r w:rsidRPr="00311BE7">
                        <w:rPr>
                          <w:rFonts w:ascii="DIN Next LT Pro Condensed" w:hAnsi="DIN Next LT Pro Condensed" w:hint="eastAsia"/>
                          <w:color w:val="5D7496"/>
                          <w:sz w:val="136"/>
                        </w:rPr>
                        <w:t>í</w:t>
                      </w:r>
                      <w:r w:rsidRPr="00311BE7">
                        <w:rPr>
                          <w:rFonts w:ascii="DIN Next LT Pro Condensed" w:hAnsi="DIN Next LT Pro Condensed"/>
                          <w:color w:val="5D7496"/>
                          <w:sz w:val="136"/>
                        </w:rPr>
                        <w:t xml:space="preserve"> statistick</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 xml:space="preserve"> zpr</w:t>
                      </w:r>
                      <w:r w:rsidRPr="00311BE7">
                        <w:rPr>
                          <w:rFonts w:ascii="DIN Next LT Pro Condensed" w:hAnsi="DIN Next LT Pro Condensed" w:hint="eastAsia"/>
                          <w:color w:val="5D7496"/>
                          <w:sz w:val="136"/>
                        </w:rPr>
                        <w:t>á</w:t>
                      </w:r>
                      <w:r w:rsidRPr="00311BE7">
                        <w:rPr>
                          <w:rFonts w:ascii="DIN Next LT Pro Condensed" w:hAnsi="DIN Next LT Pro Condensed"/>
                          <w:color w:val="5D7496"/>
                          <w:sz w:val="136"/>
                        </w:rPr>
                        <w:t>va</w:t>
                      </w:r>
                    </w:p>
                    <w:p w14:paraId="4499C359" w14:textId="77777777" w:rsidR="005B435F" w:rsidRPr="00311BE7" w:rsidRDefault="005B435F" w:rsidP="008430BD">
                      <w:pPr>
                        <w:spacing w:line="240" w:lineRule="auto"/>
                        <w:rPr>
                          <w:rFonts w:ascii="DIN Next LT Pro Condensed" w:hAnsi="DIN Next LT Pro Condensed"/>
                          <w:color w:val="5D7496"/>
                          <w:sz w:val="56"/>
                        </w:rPr>
                      </w:pPr>
                    </w:p>
                    <w:p w14:paraId="36060D8B" w14:textId="77777777" w:rsidR="005B435F" w:rsidRPr="00311BE7" w:rsidRDefault="005B435F" w:rsidP="008430BD">
                      <w:pPr>
                        <w:spacing w:line="240" w:lineRule="auto"/>
                        <w:rPr>
                          <w:rFonts w:ascii="DIN Next LT Pro Condensed" w:hAnsi="DIN Next LT Pro Condensed"/>
                          <w:color w:val="5D7496"/>
                          <w:sz w:val="56"/>
                        </w:rPr>
                      </w:pPr>
                    </w:p>
                    <w:p w14:paraId="21426A69" w14:textId="77777777" w:rsidR="005B435F" w:rsidRPr="00311BE7" w:rsidRDefault="005B435F" w:rsidP="008430BD">
                      <w:pPr>
                        <w:spacing w:line="240" w:lineRule="auto"/>
                        <w:rPr>
                          <w:rFonts w:ascii="DIN Next LT Pro Condensed" w:hAnsi="DIN Next LT Pro Condensed"/>
                          <w:color w:val="5D7496"/>
                          <w:sz w:val="66"/>
                        </w:rPr>
                      </w:pPr>
                      <w:r w:rsidRPr="00311BE7">
                        <w:rPr>
                          <w:rFonts w:ascii="DIN Next LT Pro Condensed" w:hAnsi="DIN Next LT Pro Condensed"/>
                          <w:color w:val="5D7496"/>
                          <w:sz w:val="66"/>
                        </w:rPr>
                        <w:t>Ministerstvo spravedlnosti</w:t>
                      </w:r>
                    </w:p>
                    <w:p w14:paraId="0BF8FA9D" w14:textId="3D804667" w:rsidR="005B435F" w:rsidRPr="0008533B" w:rsidRDefault="005B435F" w:rsidP="008430BD">
                      <w:pPr>
                        <w:spacing w:line="240" w:lineRule="auto"/>
                        <w:rPr>
                          <w:rFonts w:ascii="DIN Next LT Pro Condensed" w:hAnsi="DIN Next LT Pro Condensed"/>
                          <w:sz w:val="40"/>
                          <w:szCs w:val="40"/>
                        </w:rPr>
                      </w:pPr>
                      <w:r w:rsidRPr="003842AE">
                        <w:rPr>
                          <w:rFonts w:ascii="DIN Next LT Pro Condensed" w:hAnsi="DIN Next LT Pro Condensed"/>
                          <w:smallCaps/>
                          <w:color w:val="5D7496"/>
                          <w:sz w:val="40"/>
                          <w:szCs w:val="40"/>
                        </w:rPr>
                        <w:t>justice.cz</w:t>
                      </w:r>
                    </w:p>
                  </w:txbxContent>
                </v:textbox>
              </v:shape>
            </w:pict>
          </mc:Fallback>
        </mc:AlternateContent>
      </w:r>
      <w:r w:rsidRPr="00B64E96">
        <w:rPr>
          <w:noProof/>
          <w:lang w:eastAsia="cs-CZ"/>
        </w:rPr>
        <mc:AlternateContent>
          <mc:Choice Requires="wps">
            <w:drawing>
              <wp:anchor distT="0" distB="0" distL="114299" distR="114299" simplePos="0" relativeHeight="251660288" behindDoc="0" locked="0" layoutInCell="1" allowOverlap="1" wp14:anchorId="3B70FC59" wp14:editId="03AB3B38">
                <wp:simplePos x="0" y="0"/>
                <wp:positionH relativeFrom="column">
                  <wp:posOffset>1442084</wp:posOffset>
                </wp:positionH>
                <wp:positionV relativeFrom="page">
                  <wp:posOffset>898525</wp:posOffset>
                </wp:positionV>
                <wp:extent cx="0" cy="9064625"/>
                <wp:effectExtent l="19050" t="0" r="38100" b="41275"/>
                <wp:wrapNone/>
                <wp:docPr id="123" name="Přímá spojnic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64625"/>
                        </a:xfrm>
                        <a:prstGeom prst="line">
                          <a:avLst/>
                        </a:prstGeom>
                        <a:noFill/>
                        <a:ln w="47625" cap="flat" cmpd="sng" algn="ctr">
                          <a:solidFill>
                            <a:srgbClr val="5D749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C977C9" id="Přímá spojnice 75"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" strokecolor="#5d7496" strokeweight="3.75pt">
                <o:lock v:ext="edit" shapetype="f"/>
                <w10:wrap anchory="page"/>
              </v:line>
            </w:pict>
          </mc:Fallback>
        </mc:AlternateContent>
      </w:r>
      <w:r w:rsidR="00306B8B" w:rsidRPr="00B64E96">
        <w:rPr>
          <w:noProof/>
          <w:lang w:eastAsia="cs-CZ"/>
        </w:rPr>
        <w:drawing>
          <wp:inline distT="0" distB="0" distL="0" distR="0" wp14:anchorId="4462B807" wp14:editId="4A4172E8">
            <wp:extent cx="1257300" cy="1428750"/>
            <wp:effectExtent l="0" t="0" r="0"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428750"/>
                    </a:xfrm>
                    <a:prstGeom prst="rect">
                      <a:avLst/>
                    </a:prstGeom>
                    <a:noFill/>
                    <a:ln>
                      <a:noFill/>
                    </a:ln>
                  </pic:spPr>
                </pic:pic>
              </a:graphicData>
            </a:graphic>
          </wp:inline>
        </w:drawing>
      </w:r>
    </w:p>
    <w:p w14:paraId="7DF646AA" w14:textId="77777777" w:rsidR="008430BD" w:rsidRPr="00B64E96" w:rsidRDefault="008430BD" w:rsidP="008430BD">
      <w:pPr>
        <w:spacing w:line="240" w:lineRule="auto"/>
        <w:jc w:val="left"/>
        <w:rPr>
          <w:noProof/>
          <w:sz w:val="20"/>
          <w:szCs w:val="40"/>
          <w:lang w:eastAsia="cs-CZ"/>
        </w:rPr>
      </w:pPr>
      <w:r w:rsidRPr="00B64E96">
        <w:rPr>
          <w:noProof/>
          <w:sz w:val="20"/>
          <w:szCs w:val="40"/>
          <w:lang w:eastAsia="cs-CZ"/>
        </w:rPr>
        <w:br w:type="page"/>
      </w:r>
    </w:p>
    <w:p w14:paraId="6C01D959" w14:textId="77777777" w:rsidR="008430BD" w:rsidRPr="00B64E96" w:rsidRDefault="008430BD" w:rsidP="008430BD">
      <w:pPr>
        <w:spacing w:line="240" w:lineRule="auto"/>
        <w:jc w:val="left"/>
        <w:rPr>
          <w:noProof/>
          <w:sz w:val="20"/>
          <w:szCs w:val="40"/>
          <w:lang w:eastAsia="cs-CZ"/>
        </w:rPr>
      </w:pPr>
    </w:p>
    <w:p w14:paraId="1DFC1343" w14:textId="77777777" w:rsidR="008430BD" w:rsidRPr="00B64E96" w:rsidRDefault="008430BD" w:rsidP="008430BD">
      <w:pPr>
        <w:spacing w:line="240" w:lineRule="auto"/>
        <w:jc w:val="left"/>
        <w:rPr>
          <w:noProof/>
          <w:sz w:val="20"/>
          <w:szCs w:val="40"/>
          <w:lang w:eastAsia="cs-CZ"/>
        </w:rPr>
      </w:pPr>
    </w:p>
    <w:p w14:paraId="6A7BA26A" w14:textId="77777777" w:rsidR="008430BD" w:rsidRPr="00B64E96" w:rsidRDefault="008430BD" w:rsidP="008430BD">
      <w:pPr>
        <w:spacing w:line="240" w:lineRule="auto"/>
        <w:jc w:val="left"/>
        <w:rPr>
          <w:noProof/>
          <w:sz w:val="20"/>
          <w:szCs w:val="40"/>
          <w:lang w:eastAsia="cs-CZ"/>
        </w:rPr>
      </w:pPr>
    </w:p>
    <w:p w14:paraId="2412BBBD" w14:textId="77777777" w:rsidR="008430BD" w:rsidRPr="00B64E96" w:rsidRDefault="008430BD" w:rsidP="008430BD">
      <w:pPr>
        <w:spacing w:line="240" w:lineRule="auto"/>
        <w:jc w:val="left"/>
        <w:rPr>
          <w:noProof/>
          <w:sz w:val="20"/>
          <w:szCs w:val="40"/>
          <w:lang w:eastAsia="cs-CZ"/>
        </w:rPr>
      </w:pPr>
    </w:p>
    <w:p w14:paraId="7DB90578" w14:textId="77777777" w:rsidR="008430BD" w:rsidRPr="00B64E96" w:rsidRDefault="008430BD" w:rsidP="008430BD">
      <w:pPr>
        <w:spacing w:line="240" w:lineRule="auto"/>
        <w:jc w:val="left"/>
        <w:rPr>
          <w:noProof/>
          <w:sz w:val="20"/>
          <w:szCs w:val="40"/>
          <w:lang w:eastAsia="cs-CZ"/>
        </w:rPr>
      </w:pPr>
    </w:p>
    <w:p w14:paraId="3E13B532" w14:textId="77777777" w:rsidR="008430BD" w:rsidRPr="00B64E96" w:rsidRDefault="008430BD" w:rsidP="008430BD">
      <w:pPr>
        <w:spacing w:line="240" w:lineRule="auto"/>
        <w:jc w:val="left"/>
        <w:rPr>
          <w:noProof/>
          <w:sz w:val="20"/>
          <w:szCs w:val="40"/>
          <w:lang w:eastAsia="cs-CZ"/>
        </w:rPr>
      </w:pPr>
    </w:p>
    <w:p w14:paraId="151B0886" w14:textId="77777777" w:rsidR="008430BD" w:rsidRPr="00B64E96" w:rsidRDefault="008430BD" w:rsidP="008430BD">
      <w:pPr>
        <w:spacing w:line="240" w:lineRule="auto"/>
        <w:jc w:val="left"/>
        <w:rPr>
          <w:noProof/>
          <w:sz w:val="20"/>
          <w:szCs w:val="40"/>
          <w:lang w:eastAsia="cs-CZ"/>
        </w:rPr>
      </w:pPr>
    </w:p>
    <w:p w14:paraId="4922A97D" w14:textId="77777777" w:rsidR="008430BD" w:rsidRPr="00B64E96" w:rsidRDefault="008430BD" w:rsidP="008430BD">
      <w:pPr>
        <w:spacing w:line="240" w:lineRule="auto"/>
        <w:jc w:val="left"/>
        <w:rPr>
          <w:noProof/>
          <w:sz w:val="20"/>
          <w:szCs w:val="40"/>
          <w:lang w:eastAsia="cs-CZ"/>
        </w:rPr>
      </w:pPr>
    </w:p>
    <w:p w14:paraId="51CCEBB6" w14:textId="77777777" w:rsidR="008430BD" w:rsidRPr="00B64E96" w:rsidRDefault="008430BD" w:rsidP="008430BD">
      <w:pPr>
        <w:spacing w:line="240" w:lineRule="auto"/>
        <w:jc w:val="left"/>
        <w:rPr>
          <w:noProof/>
          <w:sz w:val="20"/>
          <w:szCs w:val="40"/>
          <w:lang w:eastAsia="cs-CZ"/>
        </w:rPr>
      </w:pPr>
    </w:p>
    <w:p w14:paraId="3D7B9403" w14:textId="77777777" w:rsidR="008430BD" w:rsidRPr="00B64E96" w:rsidRDefault="008430BD" w:rsidP="008430BD">
      <w:pPr>
        <w:spacing w:line="240" w:lineRule="auto"/>
        <w:jc w:val="left"/>
        <w:rPr>
          <w:noProof/>
          <w:sz w:val="20"/>
          <w:szCs w:val="40"/>
          <w:lang w:eastAsia="cs-CZ"/>
        </w:rPr>
      </w:pPr>
    </w:p>
    <w:p w14:paraId="48EA0A56" w14:textId="77777777" w:rsidR="008430BD" w:rsidRPr="00730B1E" w:rsidRDefault="008430BD" w:rsidP="008430BD">
      <w:pPr>
        <w:spacing w:line="240" w:lineRule="auto"/>
        <w:jc w:val="left"/>
        <w:rPr>
          <w:noProof/>
          <w:sz w:val="20"/>
          <w:szCs w:val="40"/>
          <w:lang w:eastAsia="cs-CZ"/>
        </w:rPr>
      </w:pPr>
    </w:p>
    <w:p w14:paraId="559B5783" w14:textId="77777777" w:rsidR="008430BD" w:rsidRPr="00730B1E" w:rsidRDefault="008430BD" w:rsidP="008430BD">
      <w:pPr>
        <w:spacing w:line="240" w:lineRule="auto"/>
        <w:jc w:val="left"/>
        <w:rPr>
          <w:noProof/>
          <w:sz w:val="20"/>
          <w:szCs w:val="40"/>
          <w:lang w:eastAsia="cs-CZ"/>
        </w:rPr>
      </w:pPr>
    </w:p>
    <w:p w14:paraId="4379275D" w14:textId="77777777" w:rsidR="008430BD" w:rsidRPr="00730B1E" w:rsidRDefault="008430BD" w:rsidP="008430BD">
      <w:pPr>
        <w:spacing w:line="240" w:lineRule="auto"/>
        <w:jc w:val="left"/>
        <w:rPr>
          <w:noProof/>
          <w:sz w:val="20"/>
          <w:szCs w:val="40"/>
          <w:lang w:eastAsia="cs-CZ"/>
        </w:rPr>
      </w:pPr>
    </w:p>
    <w:p w14:paraId="19E7EE68" w14:textId="77777777" w:rsidR="008430BD" w:rsidRPr="00730B1E" w:rsidRDefault="008430BD" w:rsidP="008430BD">
      <w:pPr>
        <w:spacing w:line="240" w:lineRule="auto"/>
        <w:jc w:val="left"/>
        <w:rPr>
          <w:noProof/>
          <w:sz w:val="20"/>
          <w:szCs w:val="40"/>
          <w:lang w:eastAsia="cs-CZ"/>
        </w:rPr>
      </w:pPr>
    </w:p>
    <w:p w14:paraId="71B1DA87" w14:textId="77777777" w:rsidR="008430BD" w:rsidRPr="00730B1E" w:rsidRDefault="008430BD" w:rsidP="008430BD">
      <w:pPr>
        <w:spacing w:line="240" w:lineRule="auto"/>
        <w:jc w:val="left"/>
        <w:rPr>
          <w:noProof/>
          <w:sz w:val="20"/>
          <w:szCs w:val="40"/>
          <w:lang w:eastAsia="cs-CZ"/>
        </w:rPr>
      </w:pPr>
    </w:p>
    <w:p w14:paraId="4F196993" w14:textId="77777777" w:rsidR="008430BD" w:rsidRPr="00730B1E" w:rsidRDefault="008430BD" w:rsidP="008430BD">
      <w:pPr>
        <w:spacing w:line="240" w:lineRule="auto"/>
        <w:jc w:val="left"/>
        <w:rPr>
          <w:noProof/>
          <w:sz w:val="20"/>
          <w:szCs w:val="40"/>
          <w:lang w:eastAsia="cs-CZ"/>
        </w:rPr>
      </w:pPr>
    </w:p>
    <w:p w14:paraId="1CF4020C" w14:textId="77777777" w:rsidR="008430BD" w:rsidRPr="00730B1E" w:rsidRDefault="008430BD" w:rsidP="008430BD">
      <w:pPr>
        <w:spacing w:line="240" w:lineRule="auto"/>
        <w:jc w:val="left"/>
        <w:rPr>
          <w:noProof/>
          <w:sz w:val="20"/>
          <w:szCs w:val="40"/>
          <w:lang w:eastAsia="cs-CZ"/>
        </w:rPr>
      </w:pPr>
    </w:p>
    <w:p w14:paraId="57FF5170" w14:textId="77777777" w:rsidR="008430BD" w:rsidRPr="00730B1E" w:rsidRDefault="008430BD" w:rsidP="008430BD">
      <w:pPr>
        <w:spacing w:line="240" w:lineRule="auto"/>
        <w:jc w:val="left"/>
        <w:rPr>
          <w:noProof/>
          <w:sz w:val="20"/>
          <w:szCs w:val="40"/>
          <w:lang w:eastAsia="cs-CZ"/>
        </w:rPr>
      </w:pPr>
    </w:p>
    <w:p w14:paraId="78E40FAC" w14:textId="77777777" w:rsidR="008430BD" w:rsidRPr="00730B1E" w:rsidRDefault="008430BD" w:rsidP="008430BD">
      <w:pPr>
        <w:spacing w:line="240" w:lineRule="auto"/>
        <w:jc w:val="left"/>
        <w:rPr>
          <w:noProof/>
          <w:sz w:val="20"/>
          <w:szCs w:val="40"/>
          <w:lang w:eastAsia="cs-CZ"/>
        </w:rPr>
      </w:pPr>
    </w:p>
    <w:p w14:paraId="603A3F74" w14:textId="77777777" w:rsidR="008430BD" w:rsidRPr="00730B1E" w:rsidRDefault="008430BD" w:rsidP="008430BD">
      <w:pPr>
        <w:spacing w:line="240" w:lineRule="auto"/>
        <w:jc w:val="left"/>
        <w:rPr>
          <w:noProof/>
          <w:sz w:val="20"/>
          <w:szCs w:val="40"/>
          <w:lang w:eastAsia="cs-CZ"/>
        </w:rPr>
      </w:pPr>
    </w:p>
    <w:p w14:paraId="35A13CA7" w14:textId="77777777" w:rsidR="008430BD" w:rsidRPr="00730B1E" w:rsidRDefault="008430BD" w:rsidP="008430BD">
      <w:pPr>
        <w:spacing w:line="240" w:lineRule="auto"/>
        <w:jc w:val="left"/>
        <w:rPr>
          <w:noProof/>
          <w:sz w:val="20"/>
          <w:szCs w:val="40"/>
          <w:lang w:eastAsia="cs-CZ"/>
        </w:rPr>
      </w:pPr>
    </w:p>
    <w:p w14:paraId="05A0A1A5" w14:textId="77777777" w:rsidR="008430BD" w:rsidRPr="00730B1E" w:rsidRDefault="008430BD" w:rsidP="008430BD">
      <w:pPr>
        <w:spacing w:line="240" w:lineRule="auto"/>
        <w:jc w:val="left"/>
        <w:rPr>
          <w:noProof/>
          <w:sz w:val="20"/>
          <w:szCs w:val="40"/>
          <w:lang w:eastAsia="cs-CZ"/>
        </w:rPr>
      </w:pPr>
    </w:p>
    <w:p w14:paraId="7E65FBA6" w14:textId="77777777" w:rsidR="008430BD" w:rsidRPr="00730B1E" w:rsidRDefault="008430BD" w:rsidP="008430BD">
      <w:pPr>
        <w:spacing w:line="240" w:lineRule="auto"/>
        <w:jc w:val="left"/>
        <w:rPr>
          <w:noProof/>
          <w:sz w:val="20"/>
          <w:szCs w:val="40"/>
          <w:lang w:eastAsia="cs-CZ"/>
        </w:rPr>
      </w:pPr>
    </w:p>
    <w:p w14:paraId="2973FECD" w14:textId="77777777" w:rsidR="008430BD" w:rsidRPr="00730B1E" w:rsidRDefault="008430BD" w:rsidP="008430BD">
      <w:pPr>
        <w:spacing w:line="240" w:lineRule="auto"/>
        <w:jc w:val="left"/>
        <w:rPr>
          <w:noProof/>
          <w:sz w:val="20"/>
          <w:szCs w:val="40"/>
          <w:lang w:eastAsia="cs-CZ"/>
        </w:rPr>
      </w:pPr>
    </w:p>
    <w:p w14:paraId="6202BCBC" w14:textId="77777777" w:rsidR="008430BD" w:rsidRPr="00730B1E" w:rsidRDefault="008430BD" w:rsidP="008430BD">
      <w:pPr>
        <w:spacing w:line="240" w:lineRule="auto"/>
        <w:jc w:val="left"/>
        <w:rPr>
          <w:noProof/>
          <w:sz w:val="20"/>
          <w:szCs w:val="40"/>
          <w:lang w:eastAsia="cs-CZ"/>
        </w:rPr>
      </w:pPr>
    </w:p>
    <w:p w14:paraId="1E0F7654" w14:textId="77777777" w:rsidR="008430BD" w:rsidRPr="00730B1E" w:rsidRDefault="008430BD" w:rsidP="008430BD">
      <w:pPr>
        <w:spacing w:line="240" w:lineRule="auto"/>
        <w:jc w:val="left"/>
        <w:rPr>
          <w:noProof/>
          <w:sz w:val="20"/>
          <w:szCs w:val="40"/>
          <w:lang w:eastAsia="cs-CZ"/>
        </w:rPr>
      </w:pPr>
    </w:p>
    <w:p w14:paraId="523B3BEC" w14:textId="77777777" w:rsidR="008430BD" w:rsidRPr="00730B1E" w:rsidRDefault="008430BD" w:rsidP="008430BD">
      <w:pPr>
        <w:spacing w:line="240" w:lineRule="auto"/>
        <w:jc w:val="left"/>
        <w:rPr>
          <w:noProof/>
          <w:sz w:val="20"/>
          <w:szCs w:val="40"/>
          <w:lang w:eastAsia="cs-CZ"/>
        </w:rPr>
      </w:pPr>
    </w:p>
    <w:p w14:paraId="4576AA8B" w14:textId="77777777" w:rsidR="008430BD" w:rsidRPr="00730B1E" w:rsidRDefault="008430BD" w:rsidP="008430BD">
      <w:pPr>
        <w:spacing w:line="240" w:lineRule="auto"/>
        <w:jc w:val="left"/>
        <w:rPr>
          <w:noProof/>
          <w:sz w:val="20"/>
          <w:szCs w:val="40"/>
          <w:lang w:eastAsia="cs-CZ"/>
        </w:rPr>
      </w:pPr>
    </w:p>
    <w:p w14:paraId="74798038" w14:textId="77777777" w:rsidR="008430BD" w:rsidRPr="00730B1E" w:rsidRDefault="008430BD" w:rsidP="008430BD">
      <w:pPr>
        <w:spacing w:line="240" w:lineRule="auto"/>
        <w:jc w:val="left"/>
        <w:rPr>
          <w:noProof/>
          <w:sz w:val="20"/>
          <w:szCs w:val="40"/>
          <w:lang w:eastAsia="cs-CZ"/>
        </w:rPr>
      </w:pPr>
    </w:p>
    <w:p w14:paraId="7438C97E" w14:textId="77777777" w:rsidR="008430BD" w:rsidRPr="00730B1E" w:rsidRDefault="008430BD" w:rsidP="008430BD">
      <w:pPr>
        <w:spacing w:line="240" w:lineRule="auto"/>
        <w:jc w:val="left"/>
        <w:rPr>
          <w:noProof/>
          <w:sz w:val="20"/>
          <w:szCs w:val="40"/>
          <w:lang w:eastAsia="cs-CZ"/>
        </w:rPr>
      </w:pPr>
    </w:p>
    <w:p w14:paraId="4196EF5E" w14:textId="77777777" w:rsidR="008430BD" w:rsidRPr="00730B1E" w:rsidRDefault="008430BD" w:rsidP="008430BD">
      <w:pPr>
        <w:spacing w:line="240" w:lineRule="auto"/>
        <w:jc w:val="left"/>
        <w:rPr>
          <w:noProof/>
          <w:sz w:val="20"/>
          <w:szCs w:val="40"/>
          <w:lang w:eastAsia="cs-CZ"/>
        </w:rPr>
      </w:pPr>
    </w:p>
    <w:p w14:paraId="5669C815" w14:textId="77777777" w:rsidR="008430BD" w:rsidRPr="00730B1E" w:rsidRDefault="008430BD" w:rsidP="008430BD">
      <w:pPr>
        <w:spacing w:line="240" w:lineRule="auto"/>
        <w:jc w:val="left"/>
        <w:rPr>
          <w:noProof/>
          <w:sz w:val="20"/>
          <w:szCs w:val="40"/>
          <w:lang w:eastAsia="cs-CZ"/>
        </w:rPr>
      </w:pPr>
    </w:p>
    <w:p w14:paraId="332DACCA" w14:textId="77777777" w:rsidR="008430BD" w:rsidRPr="00730B1E" w:rsidRDefault="008430BD" w:rsidP="008430BD">
      <w:pPr>
        <w:spacing w:line="240" w:lineRule="auto"/>
        <w:jc w:val="left"/>
        <w:rPr>
          <w:noProof/>
          <w:sz w:val="20"/>
          <w:szCs w:val="40"/>
          <w:lang w:eastAsia="cs-CZ"/>
        </w:rPr>
      </w:pPr>
    </w:p>
    <w:p w14:paraId="7A4A8F15" w14:textId="77777777" w:rsidR="008430BD" w:rsidRPr="00730B1E" w:rsidRDefault="008430BD" w:rsidP="008430BD">
      <w:pPr>
        <w:spacing w:line="240" w:lineRule="auto"/>
        <w:jc w:val="left"/>
        <w:rPr>
          <w:noProof/>
          <w:sz w:val="20"/>
          <w:szCs w:val="40"/>
          <w:lang w:eastAsia="cs-CZ"/>
        </w:rPr>
      </w:pPr>
    </w:p>
    <w:p w14:paraId="19600055" w14:textId="77777777" w:rsidR="008430BD" w:rsidRPr="00730B1E" w:rsidRDefault="008430BD" w:rsidP="008430BD">
      <w:pPr>
        <w:spacing w:line="240" w:lineRule="auto"/>
        <w:jc w:val="left"/>
        <w:rPr>
          <w:noProof/>
          <w:sz w:val="20"/>
          <w:szCs w:val="40"/>
          <w:lang w:eastAsia="cs-CZ"/>
        </w:rPr>
      </w:pPr>
    </w:p>
    <w:p w14:paraId="12F97F58" w14:textId="77777777" w:rsidR="008430BD" w:rsidRPr="00730B1E" w:rsidRDefault="008430BD" w:rsidP="008430BD">
      <w:pPr>
        <w:spacing w:line="240" w:lineRule="auto"/>
        <w:jc w:val="left"/>
        <w:rPr>
          <w:noProof/>
          <w:sz w:val="20"/>
          <w:szCs w:val="40"/>
          <w:lang w:eastAsia="cs-CZ"/>
        </w:rPr>
      </w:pPr>
    </w:p>
    <w:p w14:paraId="08970ADE" w14:textId="77777777" w:rsidR="008430BD" w:rsidRPr="00730B1E" w:rsidRDefault="008430BD" w:rsidP="008430BD">
      <w:pPr>
        <w:spacing w:line="240" w:lineRule="auto"/>
        <w:jc w:val="left"/>
        <w:rPr>
          <w:noProof/>
          <w:sz w:val="20"/>
          <w:szCs w:val="40"/>
          <w:lang w:eastAsia="cs-CZ"/>
        </w:rPr>
      </w:pPr>
    </w:p>
    <w:p w14:paraId="2588AD75" w14:textId="77777777" w:rsidR="008430BD" w:rsidRPr="00730B1E" w:rsidRDefault="008430BD" w:rsidP="008430BD">
      <w:pPr>
        <w:spacing w:line="240" w:lineRule="auto"/>
        <w:jc w:val="left"/>
        <w:rPr>
          <w:noProof/>
          <w:sz w:val="20"/>
          <w:szCs w:val="40"/>
          <w:lang w:eastAsia="cs-CZ"/>
        </w:rPr>
      </w:pPr>
    </w:p>
    <w:p w14:paraId="07732DEF" w14:textId="77777777" w:rsidR="008430BD" w:rsidRPr="00730B1E" w:rsidRDefault="008430BD" w:rsidP="008430BD">
      <w:pPr>
        <w:spacing w:line="240" w:lineRule="auto"/>
        <w:jc w:val="left"/>
        <w:rPr>
          <w:noProof/>
          <w:sz w:val="20"/>
          <w:szCs w:val="40"/>
          <w:lang w:eastAsia="cs-CZ"/>
        </w:rPr>
      </w:pPr>
    </w:p>
    <w:p w14:paraId="68B5E7CA" w14:textId="77777777" w:rsidR="008430BD" w:rsidRPr="00730B1E" w:rsidRDefault="008430BD" w:rsidP="008430BD">
      <w:pPr>
        <w:spacing w:line="240" w:lineRule="auto"/>
        <w:jc w:val="left"/>
        <w:rPr>
          <w:noProof/>
          <w:sz w:val="20"/>
          <w:szCs w:val="40"/>
          <w:lang w:eastAsia="cs-CZ"/>
        </w:rPr>
      </w:pPr>
    </w:p>
    <w:p w14:paraId="258A128A" w14:textId="77777777" w:rsidR="008430BD" w:rsidRPr="00730B1E" w:rsidRDefault="008430BD" w:rsidP="008430BD">
      <w:pPr>
        <w:spacing w:line="240" w:lineRule="auto"/>
        <w:jc w:val="left"/>
        <w:rPr>
          <w:noProof/>
          <w:sz w:val="20"/>
          <w:szCs w:val="40"/>
          <w:lang w:eastAsia="cs-CZ"/>
        </w:rPr>
      </w:pPr>
    </w:p>
    <w:p w14:paraId="3CF61006" w14:textId="77777777" w:rsidR="008430BD" w:rsidRPr="00730B1E" w:rsidRDefault="008430BD" w:rsidP="008430BD">
      <w:pPr>
        <w:spacing w:line="240" w:lineRule="auto"/>
        <w:jc w:val="left"/>
        <w:rPr>
          <w:noProof/>
          <w:sz w:val="20"/>
          <w:szCs w:val="40"/>
          <w:lang w:eastAsia="cs-CZ"/>
        </w:rPr>
      </w:pPr>
    </w:p>
    <w:p w14:paraId="46D1927E" w14:textId="77777777" w:rsidR="008430BD" w:rsidRPr="00730B1E" w:rsidRDefault="008430BD" w:rsidP="008430BD">
      <w:pPr>
        <w:spacing w:line="240" w:lineRule="auto"/>
        <w:jc w:val="left"/>
        <w:rPr>
          <w:noProof/>
          <w:sz w:val="20"/>
          <w:szCs w:val="40"/>
          <w:lang w:eastAsia="cs-CZ"/>
        </w:rPr>
      </w:pPr>
    </w:p>
    <w:p w14:paraId="70EDBD38" w14:textId="77777777" w:rsidR="008430BD" w:rsidRPr="00730B1E" w:rsidRDefault="008430BD" w:rsidP="008430BD">
      <w:pPr>
        <w:spacing w:line="240" w:lineRule="auto"/>
        <w:jc w:val="left"/>
        <w:rPr>
          <w:noProof/>
          <w:sz w:val="20"/>
          <w:szCs w:val="40"/>
          <w:lang w:eastAsia="cs-CZ"/>
        </w:rPr>
      </w:pPr>
    </w:p>
    <w:p w14:paraId="6B80F830" w14:textId="77777777" w:rsidR="008430BD" w:rsidRPr="00730B1E" w:rsidRDefault="008430BD" w:rsidP="008430BD">
      <w:pPr>
        <w:spacing w:line="240" w:lineRule="auto"/>
        <w:jc w:val="left"/>
        <w:rPr>
          <w:noProof/>
          <w:sz w:val="20"/>
          <w:szCs w:val="40"/>
          <w:lang w:eastAsia="cs-CZ"/>
        </w:rPr>
      </w:pPr>
    </w:p>
    <w:p w14:paraId="4DBE4A8A" w14:textId="77777777" w:rsidR="008430BD" w:rsidRPr="00730B1E" w:rsidRDefault="008430BD" w:rsidP="008430BD">
      <w:pPr>
        <w:spacing w:line="240" w:lineRule="auto"/>
        <w:jc w:val="left"/>
        <w:rPr>
          <w:noProof/>
          <w:sz w:val="20"/>
          <w:szCs w:val="40"/>
          <w:lang w:eastAsia="cs-CZ"/>
        </w:rPr>
      </w:pPr>
    </w:p>
    <w:p w14:paraId="183E68C7" w14:textId="77777777" w:rsidR="008430BD" w:rsidRPr="00730B1E" w:rsidRDefault="008430BD" w:rsidP="008430BD">
      <w:pPr>
        <w:spacing w:line="240" w:lineRule="auto"/>
        <w:jc w:val="left"/>
        <w:rPr>
          <w:noProof/>
          <w:sz w:val="20"/>
          <w:szCs w:val="40"/>
          <w:lang w:eastAsia="cs-CZ"/>
        </w:rPr>
      </w:pPr>
    </w:p>
    <w:p w14:paraId="2D464933" w14:textId="77777777" w:rsidR="008430BD" w:rsidRPr="00730B1E" w:rsidRDefault="008430BD" w:rsidP="008430BD">
      <w:pPr>
        <w:spacing w:line="240" w:lineRule="auto"/>
        <w:jc w:val="left"/>
        <w:rPr>
          <w:noProof/>
          <w:sz w:val="20"/>
          <w:szCs w:val="40"/>
          <w:lang w:eastAsia="cs-CZ"/>
        </w:rPr>
      </w:pPr>
    </w:p>
    <w:p w14:paraId="7C72F820" w14:textId="77777777" w:rsidR="008430BD" w:rsidRPr="00730B1E" w:rsidRDefault="008430BD" w:rsidP="008430BD">
      <w:pPr>
        <w:spacing w:line="240" w:lineRule="auto"/>
        <w:jc w:val="left"/>
        <w:rPr>
          <w:noProof/>
          <w:sz w:val="20"/>
          <w:szCs w:val="40"/>
          <w:lang w:eastAsia="cs-CZ"/>
        </w:rPr>
      </w:pPr>
    </w:p>
    <w:p w14:paraId="61A5D238" w14:textId="77777777" w:rsidR="008430BD" w:rsidRPr="00730B1E" w:rsidRDefault="008430BD" w:rsidP="008430BD">
      <w:pPr>
        <w:spacing w:line="240" w:lineRule="auto"/>
        <w:jc w:val="left"/>
        <w:rPr>
          <w:noProof/>
          <w:sz w:val="20"/>
          <w:szCs w:val="40"/>
          <w:lang w:eastAsia="cs-CZ"/>
        </w:rPr>
      </w:pPr>
    </w:p>
    <w:p w14:paraId="317E8C15" w14:textId="77777777" w:rsidR="008430BD" w:rsidRPr="00730B1E" w:rsidRDefault="008430BD" w:rsidP="008430BD">
      <w:pPr>
        <w:spacing w:line="240" w:lineRule="auto"/>
        <w:jc w:val="left"/>
        <w:rPr>
          <w:noProof/>
          <w:sz w:val="20"/>
          <w:szCs w:val="40"/>
          <w:lang w:eastAsia="cs-CZ"/>
        </w:rPr>
      </w:pPr>
    </w:p>
    <w:p w14:paraId="5ED0BE05" w14:textId="77777777" w:rsidR="008430BD" w:rsidRPr="00730B1E" w:rsidRDefault="008430BD" w:rsidP="008430BD">
      <w:pPr>
        <w:spacing w:line="240" w:lineRule="auto"/>
        <w:jc w:val="left"/>
        <w:rPr>
          <w:noProof/>
          <w:sz w:val="20"/>
          <w:szCs w:val="40"/>
          <w:lang w:eastAsia="cs-CZ"/>
        </w:rPr>
      </w:pPr>
    </w:p>
    <w:p w14:paraId="0916AF18" w14:textId="77777777" w:rsidR="008430BD" w:rsidRPr="00730B1E" w:rsidRDefault="008430BD" w:rsidP="008430BD">
      <w:pPr>
        <w:spacing w:line="240" w:lineRule="auto"/>
        <w:jc w:val="left"/>
        <w:rPr>
          <w:noProof/>
          <w:sz w:val="20"/>
          <w:szCs w:val="40"/>
          <w:lang w:eastAsia="cs-CZ"/>
        </w:rPr>
      </w:pPr>
    </w:p>
    <w:p w14:paraId="4647E710" w14:textId="77777777" w:rsidR="008430BD" w:rsidRPr="00730B1E" w:rsidRDefault="008430BD" w:rsidP="008430BD">
      <w:pPr>
        <w:spacing w:line="240" w:lineRule="auto"/>
        <w:jc w:val="left"/>
        <w:rPr>
          <w:noProof/>
          <w:sz w:val="20"/>
          <w:szCs w:val="40"/>
          <w:lang w:eastAsia="cs-CZ"/>
        </w:rPr>
      </w:pPr>
    </w:p>
    <w:p w14:paraId="4F782542" w14:textId="77777777" w:rsidR="008430BD" w:rsidRPr="00730B1E" w:rsidRDefault="008430BD" w:rsidP="008430BD">
      <w:pPr>
        <w:spacing w:line="240" w:lineRule="auto"/>
        <w:jc w:val="left"/>
        <w:rPr>
          <w:noProof/>
          <w:sz w:val="20"/>
          <w:szCs w:val="40"/>
          <w:lang w:eastAsia="cs-CZ"/>
        </w:rPr>
      </w:pPr>
    </w:p>
    <w:p w14:paraId="4F3A23A7" w14:textId="77777777" w:rsidR="008430BD" w:rsidRPr="00730B1E" w:rsidRDefault="008430BD" w:rsidP="008430BD">
      <w:pPr>
        <w:spacing w:line="240" w:lineRule="auto"/>
        <w:jc w:val="left"/>
        <w:rPr>
          <w:noProof/>
          <w:sz w:val="20"/>
          <w:szCs w:val="40"/>
          <w:lang w:eastAsia="cs-CZ"/>
        </w:rPr>
      </w:pPr>
    </w:p>
    <w:p w14:paraId="04768CDF" w14:textId="469AEF7A" w:rsidR="008430BD" w:rsidRPr="00730B1E" w:rsidRDefault="008430BD" w:rsidP="008430BD">
      <w:pPr>
        <w:spacing w:line="240" w:lineRule="auto"/>
        <w:jc w:val="left"/>
        <w:rPr>
          <w:sz w:val="20"/>
        </w:rPr>
      </w:pPr>
      <w:r w:rsidRPr="00730B1E">
        <w:rPr>
          <w:sz w:val="20"/>
        </w:rPr>
        <w:t xml:space="preserve">© Ministerstvo spravedlnosti, </w:t>
      </w:r>
      <w:r w:rsidR="000F1418" w:rsidRPr="00730B1E">
        <w:rPr>
          <w:sz w:val="20"/>
        </w:rPr>
        <w:t>202</w:t>
      </w:r>
      <w:r w:rsidR="00BB7181" w:rsidRPr="00730B1E">
        <w:rPr>
          <w:sz w:val="20"/>
        </w:rPr>
        <w:t>4</w:t>
      </w:r>
    </w:p>
    <w:p w14:paraId="5306FA43" w14:textId="77777777" w:rsidR="008430BD" w:rsidRPr="00730B1E" w:rsidRDefault="008430BD" w:rsidP="008430BD">
      <w:pPr>
        <w:spacing w:line="240" w:lineRule="auto"/>
        <w:jc w:val="left"/>
        <w:rPr>
          <w:sz w:val="20"/>
        </w:rPr>
      </w:pPr>
      <w:r w:rsidRPr="00730B1E">
        <w:rPr>
          <w:sz w:val="20"/>
        </w:rPr>
        <w:t>Vyšehradská 16</w:t>
      </w:r>
    </w:p>
    <w:p w14:paraId="4DBBBF78" w14:textId="77777777" w:rsidR="008430BD" w:rsidRPr="00730B1E" w:rsidRDefault="008430BD" w:rsidP="008430BD">
      <w:pPr>
        <w:spacing w:line="240" w:lineRule="auto"/>
        <w:jc w:val="left"/>
        <w:rPr>
          <w:sz w:val="20"/>
        </w:rPr>
      </w:pPr>
      <w:r w:rsidRPr="00730B1E">
        <w:rPr>
          <w:sz w:val="20"/>
        </w:rPr>
        <w:t>128 10  Praha 2</w:t>
      </w:r>
    </w:p>
    <w:p w14:paraId="36AD4459" w14:textId="77777777" w:rsidR="008430BD" w:rsidRPr="00730B1E" w:rsidRDefault="008430BD" w:rsidP="008430BD">
      <w:pPr>
        <w:spacing w:line="240" w:lineRule="auto"/>
        <w:jc w:val="left"/>
        <w:rPr>
          <w:sz w:val="20"/>
        </w:rPr>
      </w:pPr>
      <w:r w:rsidRPr="00730B1E">
        <w:rPr>
          <w:sz w:val="20"/>
        </w:rPr>
        <w:br w:type="page"/>
      </w:r>
    </w:p>
    <w:p w14:paraId="6CD94AA1" w14:textId="255C2877" w:rsidR="0052058F" w:rsidRPr="00730B1E" w:rsidRDefault="00C4499E" w:rsidP="00DF07F3">
      <w:pPr>
        <w:keepNext/>
        <w:spacing w:before="100" w:beforeAutospacing="1" w:after="100" w:afterAutospacing="1" w:line="240" w:lineRule="auto"/>
        <w:rPr>
          <w:b/>
          <w:bCs/>
        </w:rPr>
      </w:pPr>
      <w:r w:rsidRPr="00730B1E">
        <w:rPr>
          <w:noProof/>
        </w:rPr>
        <w:lastRenderedPageBreak/>
        <w:drawing>
          <wp:anchor distT="144145" distB="144145" distL="215900" distR="215900" simplePos="0" relativeHeight="251681792" behindDoc="1" locked="0" layoutInCell="1" allowOverlap="1" wp14:anchorId="25FECFCE" wp14:editId="0C54A438">
            <wp:simplePos x="0" y="0"/>
            <wp:positionH relativeFrom="column">
              <wp:posOffset>0</wp:posOffset>
            </wp:positionH>
            <wp:positionV relativeFrom="paragraph">
              <wp:posOffset>36195</wp:posOffset>
            </wp:positionV>
            <wp:extent cx="2005200" cy="2545200"/>
            <wp:effectExtent l="0" t="0" r="0" b="7620"/>
            <wp:wrapTight wrapText="bothSides">
              <wp:wrapPolygon edited="0">
                <wp:start x="0" y="0"/>
                <wp:lineTo x="0" y="21503"/>
                <wp:lineTo x="21347" y="21503"/>
                <wp:lineTo x="21347" y="0"/>
                <wp:lineTo x="0" y="0"/>
              </wp:wrapPolygon>
            </wp:wrapTight>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5200" cy="254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058F" w:rsidRPr="00730B1E">
        <w:rPr>
          <w:b/>
          <w:bCs/>
        </w:rPr>
        <w:t>Vážené dámy, vážení pánové,</w:t>
      </w:r>
    </w:p>
    <w:p w14:paraId="6710EEAF" w14:textId="77777777" w:rsidR="0052058F" w:rsidRPr="00730B1E" w:rsidRDefault="0052058F" w:rsidP="00DF07F3">
      <w:pPr>
        <w:spacing w:before="120" w:after="120"/>
        <w:rPr>
          <w:bCs/>
        </w:rPr>
      </w:pPr>
      <w:r w:rsidRPr="00730B1E">
        <w:rPr>
          <w:bCs/>
        </w:rPr>
        <w:t>je mi velkým potěšením se také letos ujmout úvodního slova k tradiční výroční statistické zprávě, která poskytuje detailní vhled do současného stavu českého soudnictví. Tato zpráva reflektuje významné trendy a změny, které jsme zaznamenali během uplynulého roku.</w:t>
      </w:r>
    </w:p>
    <w:p w14:paraId="0FA19482" w14:textId="77777777" w:rsidR="0052058F" w:rsidRPr="00730B1E" w:rsidRDefault="0052058F" w:rsidP="00DF07F3">
      <w:pPr>
        <w:spacing w:before="120" w:after="120"/>
      </w:pPr>
      <w:r w:rsidRPr="00730B1E">
        <w:rPr>
          <w:bCs/>
        </w:rPr>
        <w:t xml:space="preserve">Ze statistické zprávy vyplývá, že se </w:t>
      </w:r>
      <w:r w:rsidRPr="00730B1E">
        <w:t xml:space="preserve">české soudnictví i nadále vyznačuje stabilitou a efektivitou. Dokládají to zlepšující se statistiky v oblasti správního soudnictví, zkracující se délky trestních řízení a také zrychlující se vyřizování sporných občanských a obchodních věcí. Dochází tedy k odbřemeňování soudů a pomalu, ale jistě, ke zlepšování celkové situace v soudnictví. </w:t>
      </w:r>
    </w:p>
    <w:p w14:paraId="44CAE60A" w14:textId="77777777" w:rsidR="0052058F" w:rsidRPr="00730B1E" w:rsidRDefault="0052058F" w:rsidP="00DF07F3">
      <w:pPr>
        <w:spacing w:before="120" w:after="120"/>
        <w:rPr>
          <w:bCs/>
        </w:rPr>
      </w:pPr>
      <w:r w:rsidRPr="00730B1E">
        <w:rPr>
          <w:bCs/>
        </w:rPr>
        <w:t>Statistická data ukazují, že nejčastějšími trestnými činy vedoucími k nepodmíněným trestům odnětí svobody byly krádež, maření výkonu úředního rozhodnutí a zanedbání povinné výživy. V oblasti rozhodování o péči o nezletilé bylo 84 % případů vyřešeno v zákonné lhůtě, což považujeme za úspěšný výsledek. Příznivá je také skutečnost, že 75 % sporů o svěření nezletilého do péče končí dohodou rodičů.</w:t>
      </w:r>
    </w:p>
    <w:p w14:paraId="36E7EAEB" w14:textId="77777777" w:rsidR="0052058F" w:rsidRPr="00730B1E" w:rsidRDefault="0052058F" w:rsidP="00DF07F3">
      <w:pPr>
        <w:spacing w:before="120" w:after="120"/>
        <w:rPr>
          <w:bCs/>
        </w:rPr>
      </w:pPr>
      <w:r w:rsidRPr="00730B1E">
        <w:rPr>
          <w:bCs/>
        </w:rPr>
        <w:t xml:space="preserve">V evropském kontextu se Česká republika umístila na druhém místě v rychlosti vyřizování sporných občanských a obchodních věcí podle Justice Scoreboard, což také vnímám velmi pozitivně. </w:t>
      </w:r>
    </w:p>
    <w:p w14:paraId="7A2C18AD" w14:textId="77777777" w:rsidR="0052058F" w:rsidRPr="00730B1E" w:rsidRDefault="0052058F" w:rsidP="00DF07F3">
      <w:pPr>
        <w:spacing w:before="120" w:after="120"/>
        <w:rPr>
          <w:bCs/>
        </w:rPr>
      </w:pPr>
      <w:r w:rsidRPr="00730B1E">
        <w:rPr>
          <w:bCs/>
        </w:rPr>
        <w:t>Nejen tyto výsledky, které zde zmiňuji, potvrzují, že česká justice je na správné cestě. Přesto před námi stojí dlouhodobé výzvy, jako je její pokračující elektronizace a celková modernizace. Jak řekl vlivný americký soudce Learned Hand: „Justice není slepá, ale musí být nestranná a vždy připravena se přizpůsobit novým skutečnostem.“</w:t>
      </w:r>
    </w:p>
    <w:p w14:paraId="08BBA6DA" w14:textId="77777777" w:rsidR="0052058F" w:rsidRPr="00730B1E" w:rsidRDefault="0052058F" w:rsidP="00DF07F3">
      <w:pPr>
        <w:spacing w:before="120" w:after="120"/>
        <w:rPr>
          <w:bCs/>
        </w:rPr>
      </w:pPr>
      <w:r w:rsidRPr="00730B1E">
        <w:rPr>
          <w:bCs/>
        </w:rPr>
        <w:t>Děkuji Vám všem za Vaši práci a nasazení a přeji vám mnoho dalších úspěchů.</w:t>
      </w:r>
    </w:p>
    <w:p w14:paraId="21FCB25E" w14:textId="77777777" w:rsidR="0052058F" w:rsidRPr="00730B1E" w:rsidRDefault="0052058F" w:rsidP="00DF07F3">
      <w:pPr>
        <w:spacing w:before="120" w:after="120"/>
        <w:rPr>
          <w:bCs/>
        </w:rPr>
      </w:pPr>
    </w:p>
    <w:p w14:paraId="76538A53" w14:textId="77777777" w:rsidR="0052058F" w:rsidRPr="00730B1E" w:rsidRDefault="0052058F" w:rsidP="00DF07F3">
      <w:pPr>
        <w:spacing w:before="120" w:after="120"/>
        <w:rPr>
          <w:bCs/>
        </w:rPr>
      </w:pPr>
      <w:r w:rsidRPr="00730B1E">
        <w:rPr>
          <w:bCs/>
        </w:rPr>
        <w:t>S úctou,</w:t>
      </w:r>
    </w:p>
    <w:p w14:paraId="7DEE8B9C" w14:textId="77777777" w:rsidR="0052058F" w:rsidRPr="00DF07F3" w:rsidRDefault="0052058F" w:rsidP="00DF07F3">
      <w:pPr>
        <w:ind w:left="4395"/>
        <w:jc w:val="center"/>
        <w:rPr>
          <w:i/>
        </w:rPr>
      </w:pPr>
      <w:r w:rsidRPr="00DF07F3">
        <w:rPr>
          <w:i/>
        </w:rPr>
        <w:t>JUDr. Pavel Blažek, Ph.D.</w:t>
      </w:r>
    </w:p>
    <w:p w14:paraId="436ECA72" w14:textId="058139BC" w:rsidR="0052058F" w:rsidRPr="00DF07F3" w:rsidRDefault="00A87FBD" w:rsidP="00DF07F3">
      <w:pPr>
        <w:ind w:left="4395"/>
        <w:jc w:val="center"/>
        <w:rPr>
          <w:i/>
        </w:rPr>
      </w:pPr>
      <w:r>
        <w:rPr>
          <w:bCs/>
          <w:i/>
          <w:iCs/>
        </w:rPr>
        <w:t>m</w:t>
      </w:r>
      <w:r w:rsidR="0052058F" w:rsidRPr="00730B1E">
        <w:rPr>
          <w:bCs/>
          <w:i/>
          <w:iCs/>
        </w:rPr>
        <w:t>inistr</w:t>
      </w:r>
      <w:r w:rsidR="0052058F" w:rsidRPr="00DF07F3">
        <w:rPr>
          <w:i/>
        </w:rPr>
        <w:t xml:space="preserve"> spravedlnosti</w:t>
      </w:r>
    </w:p>
    <w:p w14:paraId="48847E2B" w14:textId="77777777" w:rsidR="00334F10" w:rsidRPr="00730B1E" w:rsidRDefault="00334F10" w:rsidP="00207CC9">
      <w:pPr>
        <w:spacing w:line="240" w:lineRule="auto"/>
        <w:rPr>
          <w:noProof/>
        </w:rPr>
      </w:pPr>
    </w:p>
    <w:p w14:paraId="2752BBFE" w14:textId="396305EA" w:rsidR="00F47516" w:rsidRPr="00730B1E" w:rsidRDefault="00F47516" w:rsidP="00334F10">
      <w:pPr>
        <w:spacing w:after="160" w:line="259" w:lineRule="auto"/>
        <w:rPr>
          <w:noProof/>
        </w:rPr>
      </w:pPr>
      <w:r w:rsidRPr="00730B1E">
        <w:rPr>
          <w:b/>
          <w:bCs/>
          <w:noProof/>
        </w:rPr>
        <w:br w:type="page"/>
      </w:r>
    </w:p>
    <w:p w14:paraId="6A0C93A4" w14:textId="77777777" w:rsidR="008430BD" w:rsidRPr="00730B1E" w:rsidRDefault="008430BD" w:rsidP="008430BD">
      <w:pPr>
        <w:pStyle w:val="Nadpis1"/>
        <w:ind w:left="432" w:hanging="432"/>
      </w:pPr>
      <w:bookmarkStart w:id="0" w:name="_Toc508873365"/>
      <w:bookmarkStart w:id="1" w:name="_Toc106092708"/>
      <w:bookmarkStart w:id="2" w:name="_Toc169250791"/>
      <w:bookmarkStart w:id="3" w:name="_Toc174080827"/>
      <w:r w:rsidRPr="00730B1E">
        <w:lastRenderedPageBreak/>
        <w:t>Obsah</w:t>
      </w:r>
      <w:bookmarkEnd w:id="0"/>
      <w:bookmarkEnd w:id="1"/>
      <w:bookmarkEnd w:id="2"/>
      <w:bookmarkEnd w:id="3"/>
    </w:p>
    <w:p w14:paraId="23B8DA0F" w14:textId="77777777" w:rsidR="00EC44A7" w:rsidRPr="00730B1E" w:rsidRDefault="00EC44A7">
      <w:pPr>
        <w:pStyle w:val="Obsah1"/>
      </w:pPr>
    </w:p>
    <w:p w14:paraId="2B12076D" w14:textId="45FF1BF4" w:rsidR="00551497" w:rsidRDefault="008430BD">
      <w:pPr>
        <w:pStyle w:val="Obsah1"/>
        <w:rPr>
          <w:rFonts w:asciiTheme="minorHAnsi" w:eastAsiaTheme="minorEastAsia" w:hAnsiTheme="minorHAnsi" w:cstheme="minorBidi"/>
          <w:noProof/>
          <w:kern w:val="2"/>
          <w:sz w:val="22"/>
          <w:lang w:eastAsia="cs-CZ"/>
          <w14:ligatures w14:val="standardContextual"/>
        </w:rPr>
      </w:pPr>
      <w:r w:rsidRPr="00730B1E">
        <w:fldChar w:fldCharType="begin"/>
      </w:r>
      <w:r w:rsidRPr="00730B1E">
        <w:instrText xml:space="preserve"> TOC \o "1-3" \h \z \u </w:instrText>
      </w:r>
      <w:r w:rsidRPr="00730B1E">
        <w:fldChar w:fldCharType="separate"/>
      </w:r>
      <w:hyperlink w:anchor="_Toc174080827" w:history="1">
        <w:r w:rsidR="00551497" w:rsidRPr="005A0020">
          <w:rPr>
            <w:rStyle w:val="Hypertextovodkaz"/>
            <w:noProof/>
          </w:rPr>
          <w:t>Obsah</w:t>
        </w:r>
        <w:r w:rsidR="00551497">
          <w:rPr>
            <w:noProof/>
            <w:webHidden/>
          </w:rPr>
          <w:tab/>
        </w:r>
        <w:r w:rsidR="00551497">
          <w:rPr>
            <w:noProof/>
            <w:webHidden/>
          </w:rPr>
          <w:fldChar w:fldCharType="begin"/>
        </w:r>
        <w:r w:rsidR="00551497">
          <w:rPr>
            <w:noProof/>
            <w:webHidden/>
          </w:rPr>
          <w:instrText xml:space="preserve"> PAGEREF _Toc174080827 \h </w:instrText>
        </w:r>
        <w:r w:rsidR="00551497">
          <w:rPr>
            <w:noProof/>
            <w:webHidden/>
          </w:rPr>
        </w:r>
        <w:r w:rsidR="00551497">
          <w:rPr>
            <w:noProof/>
            <w:webHidden/>
          </w:rPr>
          <w:fldChar w:fldCharType="separate"/>
        </w:r>
        <w:r w:rsidR="00551497">
          <w:rPr>
            <w:noProof/>
            <w:webHidden/>
          </w:rPr>
          <w:t>4</w:t>
        </w:r>
        <w:r w:rsidR="00551497">
          <w:rPr>
            <w:noProof/>
            <w:webHidden/>
          </w:rPr>
          <w:fldChar w:fldCharType="end"/>
        </w:r>
      </w:hyperlink>
    </w:p>
    <w:p w14:paraId="6DB3BB7C" w14:textId="48B66BFF" w:rsidR="00551497" w:rsidRDefault="00551497">
      <w:pPr>
        <w:pStyle w:val="Obsah1"/>
        <w:tabs>
          <w:tab w:val="left" w:pos="482"/>
        </w:tabs>
        <w:rPr>
          <w:rFonts w:asciiTheme="minorHAnsi" w:eastAsiaTheme="minorEastAsia" w:hAnsiTheme="minorHAnsi" w:cstheme="minorBidi"/>
          <w:noProof/>
          <w:kern w:val="2"/>
          <w:sz w:val="22"/>
          <w:lang w:eastAsia="cs-CZ"/>
          <w14:ligatures w14:val="standardContextual"/>
        </w:rPr>
      </w:pPr>
      <w:hyperlink w:anchor="_Toc174080828" w:history="1">
        <w:r w:rsidRPr="005A0020">
          <w:rPr>
            <w:rStyle w:val="Hypertextovodkaz"/>
            <w:noProof/>
          </w:rPr>
          <w:t>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Úvod a shrnutí</w:t>
        </w:r>
        <w:r>
          <w:rPr>
            <w:noProof/>
            <w:webHidden/>
          </w:rPr>
          <w:tab/>
        </w:r>
        <w:r>
          <w:rPr>
            <w:noProof/>
            <w:webHidden/>
          </w:rPr>
          <w:fldChar w:fldCharType="begin"/>
        </w:r>
        <w:r>
          <w:rPr>
            <w:noProof/>
            <w:webHidden/>
          </w:rPr>
          <w:instrText xml:space="preserve"> PAGEREF _Toc174080828 \h </w:instrText>
        </w:r>
        <w:r>
          <w:rPr>
            <w:noProof/>
            <w:webHidden/>
          </w:rPr>
        </w:r>
        <w:r>
          <w:rPr>
            <w:noProof/>
            <w:webHidden/>
          </w:rPr>
          <w:fldChar w:fldCharType="separate"/>
        </w:r>
        <w:r>
          <w:rPr>
            <w:noProof/>
            <w:webHidden/>
          </w:rPr>
          <w:t>7</w:t>
        </w:r>
        <w:r>
          <w:rPr>
            <w:noProof/>
            <w:webHidden/>
          </w:rPr>
          <w:fldChar w:fldCharType="end"/>
        </w:r>
      </w:hyperlink>
    </w:p>
    <w:p w14:paraId="232C6A8D" w14:textId="27C23158"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29" w:history="1">
        <w:r w:rsidRPr="005A0020">
          <w:rPr>
            <w:rStyle w:val="Hypertextovodkaz"/>
          </w:rPr>
          <w:t>1.1</w:t>
        </w:r>
        <w:r>
          <w:rPr>
            <w:rFonts w:asciiTheme="minorHAnsi" w:eastAsiaTheme="minorEastAsia" w:hAnsiTheme="minorHAnsi" w:cstheme="minorBidi"/>
            <w:kern w:val="2"/>
            <w:sz w:val="22"/>
            <w:lang w:eastAsia="cs-CZ"/>
            <w14:ligatures w14:val="standardContextual"/>
          </w:rPr>
          <w:tab/>
        </w:r>
        <w:r w:rsidRPr="005A0020">
          <w:rPr>
            <w:rStyle w:val="Hypertextovodkaz"/>
          </w:rPr>
          <w:t>Základní východiska, předpoklady, omezení a upřesňující poznámky</w:t>
        </w:r>
        <w:r>
          <w:rPr>
            <w:webHidden/>
          </w:rPr>
          <w:tab/>
        </w:r>
        <w:r>
          <w:rPr>
            <w:webHidden/>
          </w:rPr>
          <w:fldChar w:fldCharType="begin"/>
        </w:r>
        <w:r>
          <w:rPr>
            <w:webHidden/>
          </w:rPr>
          <w:instrText xml:space="preserve"> PAGEREF _Toc174080829 \h </w:instrText>
        </w:r>
        <w:r>
          <w:rPr>
            <w:webHidden/>
          </w:rPr>
        </w:r>
        <w:r>
          <w:rPr>
            <w:webHidden/>
          </w:rPr>
          <w:fldChar w:fldCharType="separate"/>
        </w:r>
        <w:r>
          <w:rPr>
            <w:webHidden/>
          </w:rPr>
          <w:t>7</w:t>
        </w:r>
        <w:r>
          <w:rPr>
            <w:webHidden/>
          </w:rPr>
          <w:fldChar w:fldCharType="end"/>
        </w:r>
      </w:hyperlink>
    </w:p>
    <w:p w14:paraId="7A006947" w14:textId="388135CB"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30" w:history="1">
        <w:r w:rsidRPr="005A0020">
          <w:rPr>
            <w:rStyle w:val="Hypertextovodkaz"/>
          </w:rPr>
          <w:t>1.2</w:t>
        </w:r>
        <w:r>
          <w:rPr>
            <w:rFonts w:asciiTheme="minorHAnsi" w:eastAsiaTheme="minorEastAsia" w:hAnsiTheme="minorHAnsi" w:cstheme="minorBidi"/>
            <w:kern w:val="2"/>
            <w:sz w:val="22"/>
            <w:lang w:eastAsia="cs-CZ"/>
            <w14:ligatures w14:val="standardContextual"/>
          </w:rPr>
          <w:tab/>
        </w:r>
        <w:r w:rsidRPr="005A0020">
          <w:rPr>
            <w:rStyle w:val="Hypertextovodkaz"/>
          </w:rPr>
          <w:t>Změny oproti verzi z minulého roku</w:t>
        </w:r>
        <w:r>
          <w:rPr>
            <w:webHidden/>
          </w:rPr>
          <w:tab/>
        </w:r>
        <w:r>
          <w:rPr>
            <w:webHidden/>
          </w:rPr>
          <w:fldChar w:fldCharType="begin"/>
        </w:r>
        <w:r>
          <w:rPr>
            <w:webHidden/>
          </w:rPr>
          <w:instrText xml:space="preserve"> PAGEREF _Toc174080830 \h </w:instrText>
        </w:r>
        <w:r>
          <w:rPr>
            <w:webHidden/>
          </w:rPr>
        </w:r>
        <w:r>
          <w:rPr>
            <w:webHidden/>
          </w:rPr>
          <w:fldChar w:fldCharType="separate"/>
        </w:r>
        <w:r>
          <w:rPr>
            <w:webHidden/>
          </w:rPr>
          <w:t>10</w:t>
        </w:r>
        <w:r>
          <w:rPr>
            <w:webHidden/>
          </w:rPr>
          <w:fldChar w:fldCharType="end"/>
        </w:r>
      </w:hyperlink>
    </w:p>
    <w:p w14:paraId="7CD3C29F" w14:textId="044E9054"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31" w:history="1">
        <w:r w:rsidRPr="005A0020">
          <w:rPr>
            <w:rStyle w:val="Hypertextovodkaz"/>
            <w:lang w:eastAsia="cs-CZ"/>
          </w:rPr>
          <w:t>1.3</w:t>
        </w:r>
        <w:r>
          <w:rPr>
            <w:rFonts w:asciiTheme="minorHAnsi" w:eastAsiaTheme="minorEastAsia" w:hAnsiTheme="minorHAnsi" w:cstheme="minorBidi"/>
            <w:kern w:val="2"/>
            <w:sz w:val="22"/>
            <w:lang w:eastAsia="cs-CZ"/>
            <w14:ligatures w14:val="standardContextual"/>
          </w:rPr>
          <w:tab/>
        </w:r>
        <w:r w:rsidRPr="005A0020">
          <w:rPr>
            <w:rStyle w:val="Hypertextovodkaz"/>
            <w:lang w:eastAsia="cs-CZ"/>
          </w:rPr>
          <w:t>Stručné shrnutí</w:t>
        </w:r>
        <w:r>
          <w:rPr>
            <w:webHidden/>
          </w:rPr>
          <w:tab/>
        </w:r>
        <w:r>
          <w:rPr>
            <w:webHidden/>
          </w:rPr>
          <w:fldChar w:fldCharType="begin"/>
        </w:r>
        <w:r>
          <w:rPr>
            <w:webHidden/>
          </w:rPr>
          <w:instrText xml:space="preserve"> PAGEREF _Toc174080831 \h </w:instrText>
        </w:r>
        <w:r>
          <w:rPr>
            <w:webHidden/>
          </w:rPr>
        </w:r>
        <w:r>
          <w:rPr>
            <w:webHidden/>
          </w:rPr>
          <w:fldChar w:fldCharType="separate"/>
        </w:r>
        <w:r>
          <w:rPr>
            <w:webHidden/>
          </w:rPr>
          <w:t>11</w:t>
        </w:r>
        <w:r>
          <w:rPr>
            <w:webHidden/>
          </w:rPr>
          <w:fldChar w:fldCharType="end"/>
        </w:r>
      </w:hyperlink>
    </w:p>
    <w:p w14:paraId="62DE5B73" w14:textId="1B1F36B1" w:rsidR="00551497" w:rsidRDefault="00551497">
      <w:pPr>
        <w:pStyle w:val="Obsah1"/>
        <w:tabs>
          <w:tab w:val="left" w:pos="482"/>
        </w:tabs>
        <w:rPr>
          <w:rFonts w:asciiTheme="minorHAnsi" w:eastAsiaTheme="minorEastAsia" w:hAnsiTheme="minorHAnsi" w:cstheme="minorBidi"/>
          <w:noProof/>
          <w:kern w:val="2"/>
          <w:sz w:val="22"/>
          <w:lang w:eastAsia="cs-CZ"/>
          <w14:ligatures w14:val="standardContextual"/>
        </w:rPr>
      </w:pPr>
      <w:hyperlink w:anchor="_Toc174080832" w:history="1">
        <w:r w:rsidRPr="005A0020">
          <w:rPr>
            <w:rStyle w:val="Hypertextovodkaz"/>
            <w:noProof/>
          </w:rPr>
          <w:t>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Okresní soudy</w:t>
        </w:r>
        <w:r>
          <w:rPr>
            <w:noProof/>
            <w:webHidden/>
          </w:rPr>
          <w:tab/>
        </w:r>
        <w:r>
          <w:rPr>
            <w:noProof/>
            <w:webHidden/>
          </w:rPr>
          <w:fldChar w:fldCharType="begin"/>
        </w:r>
        <w:r>
          <w:rPr>
            <w:noProof/>
            <w:webHidden/>
          </w:rPr>
          <w:instrText xml:space="preserve"> PAGEREF _Toc174080832 \h </w:instrText>
        </w:r>
        <w:r>
          <w:rPr>
            <w:noProof/>
            <w:webHidden/>
          </w:rPr>
        </w:r>
        <w:r>
          <w:rPr>
            <w:noProof/>
            <w:webHidden/>
          </w:rPr>
          <w:fldChar w:fldCharType="separate"/>
        </w:r>
        <w:r>
          <w:rPr>
            <w:noProof/>
            <w:webHidden/>
          </w:rPr>
          <w:t>15</w:t>
        </w:r>
        <w:r>
          <w:rPr>
            <w:noProof/>
            <w:webHidden/>
          </w:rPr>
          <w:fldChar w:fldCharType="end"/>
        </w:r>
      </w:hyperlink>
    </w:p>
    <w:p w14:paraId="07673734" w14:textId="67E87F07"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33" w:history="1">
        <w:r w:rsidRPr="005A0020">
          <w:rPr>
            <w:rStyle w:val="Hypertextovodkaz"/>
          </w:rPr>
          <w:t>2.1</w:t>
        </w:r>
        <w:r>
          <w:rPr>
            <w:rFonts w:asciiTheme="minorHAnsi" w:eastAsiaTheme="minorEastAsia" w:hAnsiTheme="minorHAnsi" w:cstheme="minorBidi"/>
            <w:kern w:val="2"/>
            <w:sz w:val="22"/>
            <w:lang w:eastAsia="cs-CZ"/>
            <w14:ligatures w14:val="standardContextual"/>
          </w:rPr>
          <w:tab/>
        </w:r>
        <w:r w:rsidRPr="005A0020">
          <w:rPr>
            <w:rStyle w:val="Hypertextovodkaz"/>
          </w:rPr>
          <w:t>Personál</w:t>
        </w:r>
        <w:r>
          <w:rPr>
            <w:webHidden/>
          </w:rPr>
          <w:tab/>
        </w:r>
        <w:r>
          <w:rPr>
            <w:webHidden/>
          </w:rPr>
          <w:fldChar w:fldCharType="begin"/>
        </w:r>
        <w:r>
          <w:rPr>
            <w:webHidden/>
          </w:rPr>
          <w:instrText xml:space="preserve"> PAGEREF _Toc174080833 \h </w:instrText>
        </w:r>
        <w:r>
          <w:rPr>
            <w:webHidden/>
          </w:rPr>
        </w:r>
        <w:r>
          <w:rPr>
            <w:webHidden/>
          </w:rPr>
          <w:fldChar w:fldCharType="separate"/>
        </w:r>
        <w:r>
          <w:rPr>
            <w:webHidden/>
          </w:rPr>
          <w:t>15</w:t>
        </w:r>
        <w:r>
          <w:rPr>
            <w:webHidden/>
          </w:rPr>
          <w:fldChar w:fldCharType="end"/>
        </w:r>
      </w:hyperlink>
    </w:p>
    <w:p w14:paraId="1DBD7300" w14:textId="071E9D35"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34" w:history="1">
        <w:r w:rsidRPr="005A0020">
          <w:rPr>
            <w:rStyle w:val="Hypertextovodkaz"/>
            <w:noProof/>
          </w:rPr>
          <w:t>2.1.1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Soudci</w:t>
        </w:r>
        <w:r>
          <w:rPr>
            <w:noProof/>
            <w:webHidden/>
          </w:rPr>
          <w:tab/>
        </w:r>
        <w:r>
          <w:rPr>
            <w:noProof/>
            <w:webHidden/>
          </w:rPr>
          <w:fldChar w:fldCharType="begin"/>
        </w:r>
        <w:r>
          <w:rPr>
            <w:noProof/>
            <w:webHidden/>
          </w:rPr>
          <w:instrText xml:space="preserve"> PAGEREF _Toc174080834 \h </w:instrText>
        </w:r>
        <w:r>
          <w:rPr>
            <w:noProof/>
            <w:webHidden/>
          </w:rPr>
        </w:r>
        <w:r>
          <w:rPr>
            <w:noProof/>
            <w:webHidden/>
          </w:rPr>
          <w:fldChar w:fldCharType="separate"/>
        </w:r>
        <w:r>
          <w:rPr>
            <w:noProof/>
            <w:webHidden/>
          </w:rPr>
          <w:t>16</w:t>
        </w:r>
        <w:r>
          <w:rPr>
            <w:noProof/>
            <w:webHidden/>
          </w:rPr>
          <w:fldChar w:fldCharType="end"/>
        </w:r>
      </w:hyperlink>
    </w:p>
    <w:p w14:paraId="07F187D1" w14:textId="23797A6A"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35" w:history="1">
        <w:r w:rsidRPr="005A0020">
          <w:rPr>
            <w:rStyle w:val="Hypertextovodkaz"/>
            <w:noProof/>
          </w:rPr>
          <w:t>2.1.2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Zaměstnanci ve výkonu a ve správě</w:t>
        </w:r>
        <w:r>
          <w:rPr>
            <w:noProof/>
            <w:webHidden/>
          </w:rPr>
          <w:tab/>
        </w:r>
        <w:r>
          <w:rPr>
            <w:noProof/>
            <w:webHidden/>
          </w:rPr>
          <w:fldChar w:fldCharType="begin"/>
        </w:r>
        <w:r>
          <w:rPr>
            <w:noProof/>
            <w:webHidden/>
          </w:rPr>
          <w:instrText xml:space="preserve"> PAGEREF _Toc174080835 \h </w:instrText>
        </w:r>
        <w:r>
          <w:rPr>
            <w:noProof/>
            <w:webHidden/>
          </w:rPr>
        </w:r>
        <w:r>
          <w:rPr>
            <w:noProof/>
            <w:webHidden/>
          </w:rPr>
          <w:fldChar w:fldCharType="separate"/>
        </w:r>
        <w:r>
          <w:rPr>
            <w:noProof/>
            <w:webHidden/>
          </w:rPr>
          <w:t>21</w:t>
        </w:r>
        <w:r>
          <w:rPr>
            <w:noProof/>
            <w:webHidden/>
          </w:rPr>
          <w:fldChar w:fldCharType="end"/>
        </w:r>
      </w:hyperlink>
    </w:p>
    <w:p w14:paraId="57F414F9" w14:textId="75F3824B"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36" w:history="1">
        <w:r w:rsidRPr="005A0020">
          <w:rPr>
            <w:rStyle w:val="Hypertextovodkaz"/>
            <w:noProof/>
          </w:rPr>
          <w:t>2.1.3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Přísedící soudu</w:t>
        </w:r>
        <w:r>
          <w:rPr>
            <w:noProof/>
            <w:webHidden/>
          </w:rPr>
          <w:tab/>
        </w:r>
        <w:r>
          <w:rPr>
            <w:noProof/>
            <w:webHidden/>
          </w:rPr>
          <w:fldChar w:fldCharType="begin"/>
        </w:r>
        <w:r>
          <w:rPr>
            <w:noProof/>
            <w:webHidden/>
          </w:rPr>
          <w:instrText xml:space="preserve"> PAGEREF _Toc174080836 \h </w:instrText>
        </w:r>
        <w:r>
          <w:rPr>
            <w:noProof/>
            <w:webHidden/>
          </w:rPr>
        </w:r>
        <w:r>
          <w:rPr>
            <w:noProof/>
            <w:webHidden/>
          </w:rPr>
          <w:fldChar w:fldCharType="separate"/>
        </w:r>
        <w:r>
          <w:rPr>
            <w:noProof/>
            <w:webHidden/>
          </w:rPr>
          <w:t>23</w:t>
        </w:r>
        <w:r>
          <w:rPr>
            <w:noProof/>
            <w:webHidden/>
          </w:rPr>
          <w:fldChar w:fldCharType="end"/>
        </w:r>
      </w:hyperlink>
    </w:p>
    <w:p w14:paraId="49D56933" w14:textId="1DA4B6B7"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37" w:history="1">
        <w:r w:rsidRPr="005A0020">
          <w:rPr>
            <w:rStyle w:val="Hypertextovodkaz"/>
          </w:rPr>
          <w:t>2.2</w:t>
        </w:r>
        <w:r>
          <w:rPr>
            <w:rFonts w:asciiTheme="minorHAnsi" w:eastAsiaTheme="minorEastAsia" w:hAnsiTheme="minorHAnsi" w:cstheme="minorBidi"/>
            <w:kern w:val="2"/>
            <w:sz w:val="22"/>
            <w:lang w:eastAsia="cs-CZ"/>
            <w14:ligatures w14:val="standardContextual"/>
          </w:rPr>
          <w:tab/>
        </w:r>
        <w:r w:rsidRPr="005A0020">
          <w:rPr>
            <w:rStyle w:val="Hypertextovodkaz"/>
          </w:rPr>
          <w:t>Civilní agenda</w:t>
        </w:r>
        <w:r>
          <w:rPr>
            <w:webHidden/>
          </w:rPr>
          <w:tab/>
        </w:r>
        <w:r>
          <w:rPr>
            <w:webHidden/>
          </w:rPr>
          <w:fldChar w:fldCharType="begin"/>
        </w:r>
        <w:r>
          <w:rPr>
            <w:webHidden/>
          </w:rPr>
          <w:instrText xml:space="preserve"> PAGEREF _Toc174080837 \h </w:instrText>
        </w:r>
        <w:r>
          <w:rPr>
            <w:webHidden/>
          </w:rPr>
        </w:r>
        <w:r>
          <w:rPr>
            <w:webHidden/>
          </w:rPr>
          <w:fldChar w:fldCharType="separate"/>
        </w:r>
        <w:r>
          <w:rPr>
            <w:webHidden/>
          </w:rPr>
          <w:t>26</w:t>
        </w:r>
        <w:r>
          <w:rPr>
            <w:webHidden/>
          </w:rPr>
          <w:fldChar w:fldCharType="end"/>
        </w:r>
      </w:hyperlink>
    </w:p>
    <w:p w14:paraId="1B31B414" w14:textId="0B1756A9"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38" w:history="1">
        <w:r w:rsidRPr="005A0020">
          <w:rPr>
            <w:rStyle w:val="Hypertextovodkaz"/>
            <w:noProof/>
          </w:rPr>
          <w:t>2.2.1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_Toc174080838 \h </w:instrText>
        </w:r>
        <w:r>
          <w:rPr>
            <w:noProof/>
            <w:webHidden/>
          </w:rPr>
        </w:r>
        <w:r>
          <w:rPr>
            <w:noProof/>
            <w:webHidden/>
          </w:rPr>
          <w:fldChar w:fldCharType="separate"/>
        </w:r>
        <w:r>
          <w:rPr>
            <w:noProof/>
            <w:webHidden/>
          </w:rPr>
          <w:t>26</w:t>
        </w:r>
        <w:r>
          <w:rPr>
            <w:noProof/>
            <w:webHidden/>
          </w:rPr>
          <w:fldChar w:fldCharType="end"/>
        </w:r>
      </w:hyperlink>
    </w:p>
    <w:p w14:paraId="5CD621FB" w14:textId="747F1EF0"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39" w:history="1">
        <w:r w:rsidRPr="005A0020">
          <w:rPr>
            <w:rStyle w:val="Hypertextovodkaz"/>
            <w:noProof/>
          </w:rPr>
          <w:t>2.2.2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_Toc174080839 \h </w:instrText>
        </w:r>
        <w:r>
          <w:rPr>
            <w:noProof/>
            <w:webHidden/>
          </w:rPr>
        </w:r>
        <w:r>
          <w:rPr>
            <w:noProof/>
            <w:webHidden/>
          </w:rPr>
          <w:fldChar w:fldCharType="separate"/>
        </w:r>
        <w:r>
          <w:rPr>
            <w:noProof/>
            <w:webHidden/>
          </w:rPr>
          <w:t>30</w:t>
        </w:r>
        <w:r>
          <w:rPr>
            <w:noProof/>
            <w:webHidden/>
          </w:rPr>
          <w:fldChar w:fldCharType="end"/>
        </w:r>
      </w:hyperlink>
    </w:p>
    <w:p w14:paraId="1DE2754C" w14:textId="180DD322"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40" w:history="1">
        <w:r w:rsidRPr="005A0020">
          <w:rPr>
            <w:rStyle w:val="Hypertextovodkaz"/>
            <w:noProof/>
          </w:rPr>
          <w:t>2.2.3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 v přepočtu na soudce</w:t>
        </w:r>
        <w:r>
          <w:rPr>
            <w:noProof/>
            <w:webHidden/>
          </w:rPr>
          <w:tab/>
        </w:r>
        <w:r>
          <w:rPr>
            <w:noProof/>
            <w:webHidden/>
          </w:rPr>
          <w:fldChar w:fldCharType="begin"/>
        </w:r>
        <w:r>
          <w:rPr>
            <w:noProof/>
            <w:webHidden/>
          </w:rPr>
          <w:instrText xml:space="preserve"> PAGEREF _Toc174080840 \h </w:instrText>
        </w:r>
        <w:r>
          <w:rPr>
            <w:noProof/>
            <w:webHidden/>
          </w:rPr>
        </w:r>
        <w:r>
          <w:rPr>
            <w:noProof/>
            <w:webHidden/>
          </w:rPr>
          <w:fldChar w:fldCharType="separate"/>
        </w:r>
        <w:r>
          <w:rPr>
            <w:noProof/>
            <w:webHidden/>
          </w:rPr>
          <w:t>32</w:t>
        </w:r>
        <w:r>
          <w:rPr>
            <w:noProof/>
            <w:webHidden/>
          </w:rPr>
          <w:fldChar w:fldCharType="end"/>
        </w:r>
      </w:hyperlink>
    </w:p>
    <w:p w14:paraId="13BAB9A8" w14:textId="34FA7A75"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41" w:history="1">
        <w:r w:rsidRPr="005A0020">
          <w:rPr>
            <w:rStyle w:val="Hypertextovodkaz"/>
            <w:noProof/>
          </w:rPr>
          <w:t>2.2.4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_Toc174080841 \h </w:instrText>
        </w:r>
        <w:r>
          <w:rPr>
            <w:noProof/>
            <w:webHidden/>
          </w:rPr>
        </w:r>
        <w:r>
          <w:rPr>
            <w:noProof/>
            <w:webHidden/>
          </w:rPr>
          <w:fldChar w:fldCharType="separate"/>
        </w:r>
        <w:r>
          <w:rPr>
            <w:noProof/>
            <w:webHidden/>
          </w:rPr>
          <w:t>34</w:t>
        </w:r>
        <w:r>
          <w:rPr>
            <w:noProof/>
            <w:webHidden/>
          </w:rPr>
          <w:fldChar w:fldCharType="end"/>
        </w:r>
      </w:hyperlink>
    </w:p>
    <w:p w14:paraId="7D711BB9" w14:textId="06BA7E8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42" w:history="1">
        <w:r w:rsidRPr="005A0020">
          <w:rPr>
            <w:rStyle w:val="Hypertextovodkaz"/>
            <w:noProof/>
          </w:rPr>
          <w:t>2.2.5</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Další statistiky</w:t>
        </w:r>
        <w:r>
          <w:rPr>
            <w:noProof/>
            <w:webHidden/>
          </w:rPr>
          <w:tab/>
        </w:r>
        <w:r>
          <w:rPr>
            <w:noProof/>
            <w:webHidden/>
          </w:rPr>
          <w:fldChar w:fldCharType="begin"/>
        </w:r>
        <w:r>
          <w:rPr>
            <w:noProof/>
            <w:webHidden/>
          </w:rPr>
          <w:instrText xml:space="preserve"> PAGEREF _Toc174080842 \h </w:instrText>
        </w:r>
        <w:r>
          <w:rPr>
            <w:noProof/>
            <w:webHidden/>
          </w:rPr>
        </w:r>
        <w:r>
          <w:rPr>
            <w:noProof/>
            <w:webHidden/>
          </w:rPr>
          <w:fldChar w:fldCharType="separate"/>
        </w:r>
        <w:r>
          <w:rPr>
            <w:noProof/>
            <w:webHidden/>
          </w:rPr>
          <w:t>37</w:t>
        </w:r>
        <w:r>
          <w:rPr>
            <w:noProof/>
            <w:webHidden/>
          </w:rPr>
          <w:fldChar w:fldCharType="end"/>
        </w:r>
      </w:hyperlink>
    </w:p>
    <w:p w14:paraId="77418329" w14:textId="3ABF0C8B"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43" w:history="1">
        <w:r w:rsidRPr="005A0020">
          <w:rPr>
            <w:rStyle w:val="Hypertextovodkaz"/>
          </w:rPr>
          <w:t>2.3</w:t>
        </w:r>
        <w:r>
          <w:rPr>
            <w:rFonts w:asciiTheme="minorHAnsi" w:eastAsiaTheme="minorEastAsia" w:hAnsiTheme="minorHAnsi" w:cstheme="minorBidi"/>
            <w:kern w:val="2"/>
            <w:sz w:val="22"/>
            <w:lang w:eastAsia="cs-CZ"/>
            <w14:ligatures w14:val="standardContextual"/>
          </w:rPr>
          <w:tab/>
        </w:r>
        <w:r w:rsidRPr="005A0020">
          <w:rPr>
            <w:rStyle w:val="Hypertextovodkaz"/>
          </w:rPr>
          <w:t>Civilní agenda – elektronické rozkazní řízení</w:t>
        </w:r>
        <w:r>
          <w:rPr>
            <w:webHidden/>
          </w:rPr>
          <w:tab/>
        </w:r>
        <w:r>
          <w:rPr>
            <w:webHidden/>
          </w:rPr>
          <w:fldChar w:fldCharType="begin"/>
        </w:r>
        <w:r>
          <w:rPr>
            <w:webHidden/>
          </w:rPr>
          <w:instrText xml:space="preserve"> PAGEREF _Toc174080843 \h </w:instrText>
        </w:r>
        <w:r>
          <w:rPr>
            <w:webHidden/>
          </w:rPr>
        </w:r>
        <w:r>
          <w:rPr>
            <w:webHidden/>
          </w:rPr>
          <w:fldChar w:fldCharType="separate"/>
        </w:r>
        <w:r>
          <w:rPr>
            <w:webHidden/>
          </w:rPr>
          <w:t>42</w:t>
        </w:r>
        <w:r>
          <w:rPr>
            <w:webHidden/>
          </w:rPr>
          <w:fldChar w:fldCharType="end"/>
        </w:r>
      </w:hyperlink>
    </w:p>
    <w:p w14:paraId="2751BEF2" w14:textId="068C7C36"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44" w:history="1">
        <w:r w:rsidRPr="005A0020">
          <w:rPr>
            <w:rStyle w:val="Hypertextovodkaz"/>
            <w:noProof/>
          </w:rPr>
          <w:t>2.3.1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_Toc174080844 \h </w:instrText>
        </w:r>
        <w:r>
          <w:rPr>
            <w:noProof/>
            <w:webHidden/>
          </w:rPr>
        </w:r>
        <w:r>
          <w:rPr>
            <w:noProof/>
            <w:webHidden/>
          </w:rPr>
          <w:fldChar w:fldCharType="separate"/>
        </w:r>
        <w:r>
          <w:rPr>
            <w:noProof/>
            <w:webHidden/>
          </w:rPr>
          <w:t>42</w:t>
        </w:r>
        <w:r>
          <w:rPr>
            <w:noProof/>
            <w:webHidden/>
          </w:rPr>
          <w:fldChar w:fldCharType="end"/>
        </w:r>
      </w:hyperlink>
    </w:p>
    <w:p w14:paraId="061717EB" w14:textId="334974BA"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45" w:history="1">
        <w:r w:rsidRPr="005A0020">
          <w:rPr>
            <w:rStyle w:val="Hypertextovodkaz"/>
            <w:noProof/>
          </w:rPr>
          <w:t>2.3.2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_Toc174080845 \h </w:instrText>
        </w:r>
        <w:r>
          <w:rPr>
            <w:noProof/>
            <w:webHidden/>
          </w:rPr>
        </w:r>
        <w:r>
          <w:rPr>
            <w:noProof/>
            <w:webHidden/>
          </w:rPr>
          <w:fldChar w:fldCharType="separate"/>
        </w:r>
        <w:r>
          <w:rPr>
            <w:noProof/>
            <w:webHidden/>
          </w:rPr>
          <w:t>43</w:t>
        </w:r>
        <w:r>
          <w:rPr>
            <w:noProof/>
            <w:webHidden/>
          </w:rPr>
          <w:fldChar w:fldCharType="end"/>
        </w:r>
      </w:hyperlink>
    </w:p>
    <w:p w14:paraId="3EFD4938" w14:textId="4A6FE258"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46" w:history="1">
        <w:r w:rsidRPr="005A0020">
          <w:rPr>
            <w:rStyle w:val="Hypertextovodkaz"/>
            <w:noProof/>
          </w:rPr>
          <w:t>2.3.3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Další statistiky</w:t>
        </w:r>
        <w:r>
          <w:rPr>
            <w:noProof/>
            <w:webHidden/>
          </w:rPr>
          <w:tab/>
        </w:r>
        <w:r>
          <w:rPr>
            <w:noProof/>
            <w:webHidden/>
          </w:rPr>
          <w:fldChar w:fldCharType="begin"/>
        </w:r>
        <w:r>
          <w:rPr>
            <w:noProof/>
            <w:webHidden/>
          </w:rPr>
          <w:instrText xml:space="preserve"> PAGEREF _Toc174080846 \h </w:instrText>
        </w:r>
        <w:r>
          <w:rPr>
            <w:noProof/>
            <w:webHidden/>
          </w:rPr>
        </w:r>
        <w:r>
          <w:rPr>
            <w:noProof/>
            <w:webHidden/>
          </w:rPr>
          <w:fldChar w:fldCharType="separate"/>
        </w:r>
        <w:r>
          <w:rPr>
            <w:noProof/>
            <w:webHidden/>
          </w:rPr>
          <w:t>44</w:t>
        </w:r>
        <w:r>
          <w:rPr>
            <w:noProof/>
            <w:webHidden/>
          </w:rPr>
          <w:fldChar w:fldCharType="end"/>
        </w:r>
      </w:hyperlink>
    </w:p>
    <w:p w14:paraId="15EEC1B0" w14:textId="0AA30585"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47" w:history="1">
        <w:r w:rsidRPr="005A0020">
          <w:rPr>
            <w:rStyle w:val="Hypertextovodkaz"/>
          </w:rPr>
          <w:t>2.4</w:t>
        </w:r>
        <w:r>
          <w:rPr>
            <w:rFonts w:asciiTheme="minorHAnsi" w:eastAsiaTheme="minorEastAsia" w:hAnsiTheme="minorHAnsi" w:cstheme="minorBidi"/>
            <w:kern w:val="2"/>
            <w:sz w:val="22"/>
            <w:lang w:eastAsia="cs-CZ"/>
            <w14:ligatures w14:val="standardContextual"/>
          </w:rPr>
          <w:tab/>
        </w:r>
        <w:r w:rsidRPr="005A0020">
          <w:rPr>
            <w:rStyle w:val="Hypertextovodkaz"/>
          </w:rPr>
          <w:t>Trestní agenda</w:t>
        </w:r>
        <w:r>
          <w:rPr>
            <w:webHidden/>
          </w:rPr>
          <w:tab/>
        </w:r>
        <w:r>
          <w:rPr>
            <w:webHidden/>
          </w:rPr>
          <w:fldChar w:fldCharType="begin"/>
        </w:r>
        <w:r>
          <w:rPr>
            <w:webHidden/>
          </w:rPr>
          <w:instrText xml:space="preserve"> PAGEREF _Toc174080847 \h </w:instrText>
        </w:r>
        <w:r>
          <w:rPr>
            <w:webHidden/>
          </w:rPr>
        </w:r>
        <w:r>
          <w:rPr>
            <w:webHidden/>
          </w:rPr>
          <w:fldChar w:fldCharType="separate"/>
        </w:r>
        <w:r>
          <w:rPr>
            <w:webHidden/>
          </w:rPr>
          <w:t>47</w:t>
        </w:r>
        <w:r>
          <w:rPr>
            <w:webHidden/>
          </w:rPr>
          <w:fldChar w:fldCharType="end"/>
        </w:r>
      </w:hyperlink>
    </w:p>
    <w:p w14:paraId="03893656" w14:textId="4EA550C2"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48" w:history="1">
        <w:r w:rsidRPr="005A0020">
          <w:rPr>
            <w:rStyle w:val="Hypertextovodkaz"/>
            <w:noProof/>
          </w:rPr>
          <w:t>2.4.1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_Toc174080848 \h </w:instrText>
        </w:r>
        <w:r>
          <w:rPr>
            <w:noProof/>
            <w:webHidden/>
          </w:rPr>
        </w:r>
        <w:r>
          <w:rPr>
            <w:noProof/>
            <w:webHidden/>
          </w:rPr>
          <w:fldChar w:fldCharType="separate"/>
        </w:r>
        <w:r>
          <w:rPr>
            <w:noProof/>
            <w:webHidden/>
          </w:rPr>
          <w:t>47</w:t>
        </w:r>
        <w:r>
          <w:rPr>
            <w:noProof/>
            <w:webHidden/>
          </w:rPr>
          <w:fldChar w:fldCharType="end"/>
        </w:r>
      </w:hyperlink>
    </w:p>
    <w:p w14:paraId="41F639F7" w14:textId="7E8FF1EE"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49" w:history="1">
        <w:r w:rsidRPr="005A0020">
          <w:rPr>
            <w:rStyle w:val="Hypertextovodkaz"/>
            <w:noProof/>
          </w:rPr>
          <w:t>2.4.2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_Toc174080849 \h </w:instrText>
        </w:r>
        <w:r>
          <w:rPr>
            <w:noProof/>
            <w:webHidden/>
          </w:rPr>
        </w:r>
        <w:r>
          <w:rPr>
            <w:noProof/>
            <w:webHidden/>
          </w:rPr>
          <w:fldChar w:fldCharType="separate"/>
        </w:r>
        <w:r>
          <w:rPr>
            <w:noProof/>
            <w:webHidden/>
          </w:rPr>
          <w:t>51</w:t>
        </w:r>
        <w:r>
          <w:rPr>
            <w:noProof/>
            <w:webHidden/>
          </w:rPr>
          <w:fldChar w:fldCharType="end"/>
        </w:r>
      </w:hyperlink>
    </w:p>
    <w:p w14:paraId="1E1A7F77" w14:textId="429E6482"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50" w:history="1">
        <w:r w:rsidRPr="005A0020">
          <w:rPr>
            <w:rStyle w:val="Hypertextovodkaz"/>
            <w:noProof/>
          </w:rPr>
          <w:t>2.4.3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 v přepočtu na soudce</w:t>
        </w:r>
        <w:r>
          <w:rPr>
            <w:noProof/>
            <w:webHidden/>
          </w:rPr>
          <w:tab/>
        </w:r>
        <w:r>
          <w:rPr>
            <w:noProof/>
            <w:webHidden/>
          </w:rPr>
          <w:fldChar w:fldCharType="begin"/>
        </w:r>
        <w:r>
          <w:rPr>
            <w:noProof/>
            <w:webHidden/>
          </w:rPr>
          <w:instrText xml:space="preserve"> PAGEREF _Toc174080850 \h </w:instrText>
        </w:r>
        <w:r>
          <w:rPr>
            <w:noProof/>
            <w:webHidden/>
          </w:rPr>
        </w:r>
        <w:r>
          <w:rPr>
            <w:noProof/>
            <w:webHidden/>
          </w:rPr>
          <w:fldChar w:fldCharType="separate"/>
        </w:r>
        <w:r>
          <w:rPr>
            <w:noProof/>
            <w:webHidden/>
          </w:rPr>
          <w:t>52</w:t>
        </w:r>
        <w:r>
          <w:rPr>
            <w:noProof/>
            <w:webHidden/>
          </w:rPr>
          <w:fldChar w:fldCharType="end"/>
        </w:r>
      </w:hyperlink>
    </w:p>
    <w:p w14:paraId="7998BDB0" w14:textId="2197C91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51" w:history="1">
        <w:r w:rsidRPr="005A0020">
          <w:rPr>
            <w:rStyle w:val="Hypertextovodkaz"/>
            <w:noProof/>
          </w:rPr>
          <w:t>2.4.4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_Toc174080851 \h </w:instrText>
        </w:r>
        <w:r>
          <w:rPr>
            <w:noProof/>
            <w:webHidden/>
          </w:rPr>
        </w:r>
        <w:r>
          <w:rPr>
            <w:noProof/>
            <w:webHidden/>
          </w:rPr>
          <w:fldChar w:fldCharType="separate"/>
        </w:r>
        <w:r>
          <w:rPr>
            <w:noProof/>
            <w:webHidden/>
          </w:rPr>
          <w:t>53</w:t>
        </w:r>
        <w:r>
          <w:rPr>
            <w:noProof/>
            <w:webHidden/>
          </w:rPr>
          <w:fldChar w:fldCharType="end"/>
        </w:r>
      </w:hyperlink>
    </w:p>
    <w:p w14:paraId="73B1F162" w14:textId="30DE7EA3"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52" w:history="1">
        <w:r w:rsidRPr="005A0020">
          <w:rPr>
            <w:rStyle w:val="Hypertextovodkaz"/>
            <w:noProof/>
          </w:rPr>
          <w:t>2.4.5</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Další statistiky</w:t>
        </w:r>
        <w:r>
          <w:rPr>
            <w:noProof/>
            <w:webHidden/>
          </w:rPr>
          <w:tab/>
        </w:r>
        <w:r>
          <w:rPr>
            <w:noProof/>
            <w:webHidden/>
          </w:rPr>
          <w:fldChar w:fldCharType="begin"/>
        </w:r>
        <w:r>
          <w:rPr>
            <w:noProof/>
            <w:webHidden/>
          </w:rPr>
          <w:instrText xml:space="preserve"> PAGEREF _Toc174080852 \h </w:instrText>
        </w:r>
        <w:r>
          <w:rPr>
            <w:noProof/>
            <w:webHidden/>
          </w:rPr>
        </w:r>
        <w:r>
          <w:rPr>
            <w:noProof/>
            <w:webHidden/>
          </w:rPr>
          <w:fldChar w:fldCharType="separate"/>
        </w:r>
        <w:r>
          <w:rPr>
            <w:noProof/>
            <w:webHidden/>
          </w:rPr>
          <w:t>56</w:t>
        </w:r>
        <w:r>
          <w:rPr>
            <w:noProof/>
            <w:webHidden/>
          </w:rPr>
          <w:fldChar w:fldCharType="end"/>
        </w:r>
      </w:hyperlink>
    </w:p>
    <w:p w14:paraId="0C8644E6" w14:textId="46E9E2DA"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53" w:history="1">
        <w:r w:rsidRPr="005A0020">
          <w:rPr>
            <w:rStyle w:val="Hypertextovodkaz"/>
          </w:rPr>
          <w:t>2.5</w:t>
        </w:r>
        <w:r>
          <w:rPr>
            <w:rFonts w:asciiTheme="minorHAnsi" w:eastAsiaTheme="minorEastAsia" w:hAnsiTheme="minorHAnsi" w:cstheme="minorBidi"/>
            <w:kern w:val="2"/>
            <w:sz w:val="22"/>
            <w:lang w:eastAsia="cs-CZ"/>
            <w14:ligatures w14:val="standardContextual"/>
          </w:rPr>
          <w:tab/>
        </w:r>
        <w:r w:rsidRPr="005A0020">
          <w:rPr>
            <w:rStyle w:val="Hypertextovodkaz"/>
          </w:rPr>
          <w:t>Opatrovnická agenda</w:t>
        </w:r>
        <w:r>
          <w:rPr>
            <w:webHidden/>
          </w:rPr>
          <w:tab/>
        </w:r>
        <w:r>
          <w:rPr>
            <w:webHidden/>
          </w:rPr>
          <w:fldChar w:fldCharType="begin"/>
        </w:r>
        <w:r>
          <w:rPr>
            <w:webHidden/>
          </w:rPr>
          <w:instrText xml:space="preserve"> PAGEREF _Toc174080853 \h </w:instrText>
        </w:r>
        <w:r>
          <w:rPr>
            <w:webHidden/>
          </w:rPr>
        </w:r>
        <w:r>
          <w:rPr>
            <w:webHidden/>
          </w:rPr>
          <w:fldChar w:fldCharType="separate"/>
        </w:r>
        <w:r>
          <w:rPr>
            <w:webHidden/>
          </w:rPr>
          <w:t>65</w:t>
        </w:r>
        <w:r>
          <w:rPr>
            <w:webHidden/>
          </w:rPr>
          <w:fldChar w:fldCharType="end"/>
        </w:r>
      </w:hyperlink>
    </w:p>
    <w:p w14:paraId="160DEE9E" w14:textId="48A3B2D2"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54" w:history="1">
        <w:r w:rsidRPr="005A0020">
          <w:rPr>
            <w:rStyle w:val="Hypertextovodkaz"/>
            <w:noProof/>
          </w:rPr>
          <w:t>2.5.1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_Toc174080854 \h </w:instrText>
        </w:r>
        <w:r>
          <w:rPr>
            <w:noProof/>
            <w:webHidden/>
          </w:rPr>
        </w:r>
        <w:r>
          <w:rPr>
            <w:noProof/>
            <w:webHidden/>
          </w:rPr>
          <w:fldChar w:fldCharType="separate"/>
        </w:r>
        <w:r>
          <w:rPr>
            <w:noProof/>
            <w:webHidden/>
          </w:rPr>
          <w:t>65</w:t>
        </w:r>
        <w:r>
          <w:rPr>
            <w:noProof/>
            <w:webHidden/>
          </w:rPr>
          <w:fldChar w:fldCharType="end"/>
        </w:r>
      </w:hyperlink>
    </w:p>
    <w:p w14:paraId="2F87ECAE" w14:textId="77B7291B"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55" w:history="1">
        <w:r w:rsidRPr="005A0020">
          <w:rPr>
            <w:rStyle w:val="Hypertextovodkaz"/>
            <w:noProof/>
          </w:rPr>
          <w:t>2.5.2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_Toc174080855 \h </w:instrText>
        </w:r>
        <w:r>
          <w:rPr>
            <w:noProof/>
            <w:webHidden/>
          </w:rPr>
        </w:r>
        <w:r>
          <w:rPr>
            <w:noProof/>
            <w:webHidden/>
          </w:rPr>
          <w:fldChar w:fldCharType="separate"/>
        </w:r>
        <w:r>
          <w:rPr>
            <w:noProof/>
            <w:webHidden/>
          </w:rPr>
          <w:t>69</w:t>
        </w:r>
        <w:r>
          <w:rPr>
            <w:noProof/>
            <w:webHidden/>
          </w:rPr>
          <w:fldChar w:fldCharType="end"/>
        </w:r>
      </w:hyperlink>
    </w:p>
    <w:p w14:paraId="0C8F9B6B" w14:textId="64FDF8B1"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56" w:history="1">
        <w:r w:rsidRPr="005A0020">
          <w:rPr>
            <w:rStyle w:val="Hypertextovodkaz"/>
            <w:noProof/>
          </w:rPr>
          <w:t>2.5.3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 přepočtu na soudce</w:t>
        </w:r>
        <w:r>
          <w:rPr>
            <w:noProof/>
            <w:webHidden/>
          </w:rPr>
          <w:tab/>
        </w:r>
        <w:r>
          <w:rPr>
            <w:noProof/>
            <w:webHidden/>
          </w:rPr>
          <w:fldChar w:fldCharType="begin"/>
        </w:r>
        <w:r>
          <w:rPr>
            <w:noProof/>
            <w:webHidden/>
          </w:rPr>
          <w:instrText xml:space="preserve"> PAGEREF _Toc174080856 \h </w:instrText>
        </w:r>
        <w:r>
          <w:rPr>
            <w:noProof/>
            <w:webHidden/>
          </w:rPr>
        </w:r>
        <w:r>
          <w:rPr>
            <w:noProof/>
            <w:webHidden/>
          </w:rPr>
          <w:fldChar w:fldCharType="separate"/>
        </w:r>
        <w:r>
          <w:rPr>
            <w:noProof/>
            <w:webHidden/>
          </w:rPr>
          <w:t>71</w:t>
        </w:r>
        <w:r>
          <w:rPr>
            <w:noProof/>
            <w:webHidden/>
          </w:rPr>
          <w:fldChar w:fldCharType="end"/>
        </w:r>
      </w:hyperlink>
    </w:p>
    <w:p w14:paraId="7C4A00EE" w14:textId="6C9DE03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57" w:history="1">
        <w:r w:rsidRPr="005A0020">
          <w:rPr>
            <w:rStyle w:val="Hypertextovodkaz"/>
            <w:noProof/>
          </w:rPr>
          <w:t>2.5.4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_Toc174080857 \h </w:instrText>
        </w:r>
        <w:r>
          <w:rPr>
            <w:noProof/>
            <w:webHidden/>
          </w:rPr>
        </w:r>
        <w:r>
          <w:rPr>
            <w:noProof/>
            <w:webHidden/>
          </w:rPr>
          <w:fldChar w:fldCharType="separate"/>
        </w:r>
        <w:r>
          <w:rPr>
            <w:noProof/>
            <w:webHidden/>
          </w:rPr>
          <w:t>72</w:t>
        </w:r>
        <w:r>
          <w:rPr>
            <w:noProof/>
            <w:webHidden/>
          </w:rPr>
          <w:fldChar w:fldCharType="end"/>
        </w:r>
      </w:hyperlink>
    </w:p>
    <w:p w14:paraId="3E1298FB" w14:textId="0161AC03"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58" w:history="1">
        <w:r w:rsidRPr="005A0020">
          <w:rPr>
            <w:rStyle w:val="Hypertextovodkaz"/>
            <w:noProof/>
          </w:rPr>
          <w:t>2.5.5</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Další statistiky</w:t>
        </w:r>
        <w:r>
          <w:rPr>
            <w:noProof/>
            <w:webHidden/>
          </w:rPr>
          <w:tab/>
        </w:r>
        <w:r>
          <w:rPr>
            <w:noProof/>
            <w:webHidden/>
          </w:rPr>
          <w:fldChar w:fldCharType="begin"/>
        </w:r>
        <w:r>
          <w:rPr>
            <w:noProof/>
            <w:webHidden/>
          </w:rPr>
          <w:instrText xml:space="preserve"> PAGEREF _Toc174080858 \h </w:instrText>
        </w:r>
        <w:r>
          <w:rPr>
            <w:noProof/>
            <w:webHidden/>
          </w:rPr>
        </w:r>
        <w:r>
          <w:rPr>
            <w:noProof/>
            <w:webHidden/>
          </w:rPr>
          <w:fldChar w:fldCharType="separate"/>
        </w:r>
        <w:r>
          <w:rPr>
            <w:noProof/>
            <w:webHidden/>
          </w:rPr>
          <w:t>74</w:t>
        </w:r>
        <w:r>
          <w:rPr>
            <w:noProof/>
            <w:webHidden/>
          </w:rPr>
          <w:fldChar w:fldCharType="end"/>
        </w:r>
      </w:hyperlink>
    </w:p>
    <w:p w14:paraId="6A83AC06" w14:textId="02EC1287" w:rsidR="00551497" w:rsidRDefault="00551497">
      <w:pPr>
        <w:pStyle w:val="Obsah1"/>
        <w:tabs>
          <w:tab w:val="left" w:pos="482"/>
        </w:tabs>
        <w:rPr>
          <w:rFonts w:asciiTheme="minorHAnsi" w:eastAsiaTheme="minorEastAsia" w:hAnsiTheme="minorHAnsi" w:cstheme="minorBidi"/>
          <w:noProof/>
          <w:kern w:val="2"/>
          <w:sz w:val="22"/>
          <w:lang w:eastAsia="cs-CZ"/>
          <w14:ligatures w14:val="standardContextual"/>
        </w:rPr>
      </w:pPr>
      <w:hyperlink w:anchor="_Toc174080859" w:history="1">
        <w:r w:rsidRPr="005A0020">
          <w:rPr>
            <w:rStyle w:val="Hypertextovodkaz"/>
            <w:noProof/>
          </w:rPr>
          <w:t>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Krajské soudy</w:t>
        </w:r>
        <w:r>
          <w:rPr>
            <w:noProof/>
            <w:webHidden/>
          </w:rPr>
          <w:tab/>
        </w:r>
        <w:r>
          <w:rPr>
            <w:noProof/>
            <w:webHidden/>
          </w:rPr>
          <w:fldChar w:fldCharType="begin"/>
        </w:r>
        <w:r>
          <w:rPr>
            <w:noProof/>
            <w:webHidden/>
          </w:rPr>
          <w:instrText xml:space="preserve"> PAGEREF _Toc174080859 \h </w:instrText>
        </w:r>
        <w:r>
          <w:rPr>
            <w:noProof/>
            <w:webHidden/>
          </w:rPr>
        </w:r>
        <w:r>
          <w:rPr>
            <w:noProof/>
            <w:webHidden/>
          </w:rPr>
          <w:fldChar w:fldCharType="separate"/>
        </w:r>
        <w:r>
          <w:rPr>
            <w:noProof/>
            <w:webHidden/>
          </w:rPr>
          <w:t>81</w:t>
        </w:r>
        <w:r>
          <w:rPr>
            <w:noProof/>
            <w:webHidden/>
          </w:rPr>
          <w:fldChar w:fldCharType="end"/>
        </w:r>
      </w:hyperlink>
    </w:p>
    <w:p w14:paraId="586B5006" w14:textId="1EFF2768"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60" w:history="1">
        <w:r w:rsidRPr="005A0020">
          <w:rPr>
            <w:rStyle w:val="Hypertextovodkaz"/>
          </w:rPr>
          <w:t>3.1</w:t>
        </w:r>
        <w:r>
          <w:rPr>
            <w:rFonts w:asciiTheme="minorHAnsi" w:eastAsiaTheme="minorEastAsia" w:hAnsiTheme="minorHAnsi" w:cstheme="minorBidi"/>
            <w:kern w:val="2"/>
            <w:sz w:val="22"/>
            <w:lang w:eastAsia="cs-CZ"/>
            <w14:ligatures w14:val="standardContextual"/>
          </w:rPr>
          <w:tab/>
        </w:r>
        <w:r w:rsidRPr="005A0020">
          <w:rPr>
            <w:rStyle w:val="Hypertextovodkaz"/>
          </w:rPr>
          <w:t>Personál</w:t>
        </w:r>
        <w:r>
          <w:rPr>
            <w:webHidden/>
          </w:rPr>
          <w:tab/>
        </w:r>
        <w:r>
          <w:rPr>
            <w:webHidden/>
          </w:rPr>
          <w:fldChar w:fldCharType="begin"/>
        </w:r>
        <w:r>
          <w:rPr>
            <w:webHidden/>
          </w:rPr>
          <w:instrText xml:space="preserve"> PAGEREF _Toc174080860 \h </w:instrText>
        </w:r>
        <w:r>
          <w:rPr>
            <w:webHidden/>
          </w:rPr>
        </w:r>
        <w:r>
          <w:rPr>
            <w:webHidden/>
          </w:rPr>
          <w:fldChar w:fldCharType="separate"/>
        </w:r>
        <w:r>
          <w:rPr>
            <w:webHidden/>
          </w:rPr>
          <w:t>81</w:t>
        </w:r>
        <w:r>
          <w:rPr>
            <w:webHidden/>
          </w:rPr>
          <w:fldChar w:fldCharType="end"/>
        </w:r>
      </w:hyperlink>
    </w:p>
    <w:p w14:paraId="27E9DAF6" w14:textId="44F1376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61" w:history="1">
        <w:r w:rsidRPr="005A0020">
          <w:rPr>
            <w:rStyle w:val="Hypertextovodkaz"/>
            <w:noProof/>
          </w:rPr>
          <w:t>3.1.1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Soudci</w:t>
        </w:r>
        <w:r>
          <w:rPr>
            <w:noProof/>
            <w:webHidden/>
          </w:rPr>
          <w:tab/>
        </w:r>
        <w:r>
          <w:rPr>
            <w:noProof/>
            <w:webHidden/>
          </w:rPr>
          <w:fldChar w:fldCharType="begin"/>
        </w:r>
        <w:r>
          <w:rPr>
            <w:noProof/>
            <w:webHidden/>
          </w:rPr>
          <w:instrText xml:space="preserve"> PAGEREF _Toc174080861 \h </w:instrText>
        </w:r>
        <w:r>
          <w:rPr>
            <w:noProof/>
            <w:webHidden/>
          </w:rPr>
        </w:r>
        <w:r>
          <w:rPr>
            <w:noProof/>
            <w:webHidden/>
          </w:rPr>
          <w:fldChar w:fldCharType="separate"/>
        </w:r>
        <w:r>
          <w:rPr>
            <w:noProof/>
            <w:webHidden/>
          </w:rPr>
          <w:t>81</w:t>
        </w:r>
        <w:r>
          <w:rPr>
            <w:noProof/>
            <w:webHidden/>
          </w:rPr>
          <w:fldChar w:fldCharType="end"/>
        </w:r>
      </w:hyperlink>
    </w:p>
    <w:p w14:paraId="5181CE9B" w14:textId="50D28598"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62" w:history="1">
        <w:r w:rsidRPr="005A0020">
          <w:rPr>
            <w:rStyle w:val="Hypertextovodkaz"/>
            <w:noProof/>
          </w:rPr>
          <w:t>3.1.2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Zaměstnanci ve výkonu a ve správě</w:t>
        </w:r>
        <w:r>
          <w:rPr>
            <w:noProof/>
            <w:webHidden/>
          </w:rPr>
          <w:tab/>
        </w:r>
        <w:r>
          <w:rPr>
            <w:noProof/>
            <w:webHidden/>
          </w:rPr>
          <w:fldChar w:fldCharType="begin"/>
        </w:r>
        <w:r>
          <w:rPr>
            <w:noProof/>
            <w:webHidden/>
          </w:rPr>
          <w:instrText xml:space="preserve"> PAGEREF _Toc174080862 \h </w:instrText>
        </w:r>
        <w:r>
          <w:rPr>
            <w:noProof/>
            <w:webHidden/>
          </w:rPr>
        </w:r>
        <w:r>
          <w:rPr>
            <w:noProof/>
            <w:webHidden/>
          </w:rPr>
          <w:fldChar w:fldCharType="separate"/>
        </w:r>
        <w:r>
          <w:rPr>
            <w:noProof/>
            <w:webHidden/>
          </w:rPr>
          <w:t>86</w:t>
        </w:r>
        <w:r>
          <w:rPr>
            <w:noProof/>
            <w:webHidden/>
          </w:rPr>
          <w:fldChar w:fldCharType="end"/>
        </w:r>
      </w:hyperlink>
    </w:p>
    <w:p w14:paraId="7BDFF5D5" w14:textId="02DAC165"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63" w:history="1">
        <w:r w:rsidRPr="005A0020">
          <w:rPr>
            <w:rStyle w:val="Hypertextovodkaz"/>
            <w:noProof/>
          </w:rPr>
          <w:t>3.1.3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Přísedící soudu</w:t>
        </w:r>
        <w:r>
          <w:rPr>
            <w:noProof/>
            <w:webHidden/>
          </w:rPr>
          <w:tab/>
        </w:r>
        <w:r>
          <w:rPr>
            <w:noProof/>
            <w:webHidden/>
          </w:rPr>
          <w:fldChar w:fldCharType="begin"/>
        </w:r>
        <w:r>
          <w:rPr>
            <w:noProof/>
            <w:webHidden/>
          </w:rPr>
          <w:instrText xml:space="preserve"> PAGEREF _Toc174080863 \h </w:instrText>
        </w:r>
        <w:r>
          <w:rPr>
            <w:noProof/>
            <w:webHidden/>
          </w:rPr>
        </w:r>
        <w:r>
          <w:rPr>
            <w:noProof/>
            <w:webHidden/>
          </w:rPr>
          <w:fldChar w:fldCharType="separate"/>
        </w:r>
        <w:r>
          <w:rPr>
            <w:noProof/>
            <w:webHidden/>
          </w:rPr>
          <w:t>87</w:t>
        </w:r>
        <w:r>
          <w:rPr>
            <w:noProof/>
            <w:webHidden/>
          </w:rPr>
          <w:fldChar w:fldCharType="end"/>
        </w:r>
      </w:hyperlink>
    </w:p>
    <w:p w14:paraId="59E6F14D" w14:textId="3325CD45"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64" w:history="1">
        <w:r w:rsidRPr="005A0020">
          <w:rPr>
            <w:rStyle w:val="Hypertextovodkaz"/>
          </w:rPr>
          <w:t>3.2</w:t>
        </w:r>
        <w:r>
          <w:rPr>
            <w:rFonts w:asciiTheme="minorHAnsi" w:eastAsiaTheme="minorEastAsia" w:hAnsiTheme="minorHAnsi" w:cstheme="minorBidi"/>
            <w:kern w:val="2"/>
            <w:sz w:val="22"/>
            <w:lang w:eastAsia="cs-CZ"/>
            <w14:ligatures w14:val="standardContextual"/>
          </w:rPr>
          <w:tab/>
        </w:r>
        <w:r w:rsidRPr="005A0020">
          <w:rPr>
            <w:rStyle w:val="Hypertextovodkaz"/>
          </w:rPr>
          <w:t>Prvostupňová civilní a obchodní agenda</w:t>
        </w:r>
        <w:r>
          <w:rPr>
            <w:webHidden/>
          </w:rPr>
          <w:tab/>
        </w:r>
        <w:r>
          <w:rPr>
            <w:webHidden/>
          </w:rPr>
          <w:fldChar w:fldCharType="begin"/>
        </w:r>
        <w:r>
          <w:rPr>
            <w:webHidden/>
          </w:rPr>
          <w:instrText xml:space="preserve"> PAGEREF _Toc174080864 \h </w:instrText>
        </w:r>
        <w:r>
          <w:rPr>
            <w:webHidden/>
          </w:rPr>
        </w:r>
        <w:r>
          <w:rPr>
            <w:webHidden/>
          </w:rPr>
          <w:fldChar w:fldCharType="separate"/>
        </w:r>
        <w:r>
          <w:rPr>
            <w:webHidden/>
          </w:rPr>
          <w:t>89</w:t>
        </w:r>
        <w:r>
          <w:rPr>
            <w:webHidden/>
          </w:rPr>
          <w:fldChar w:fldCharType="end"/>
        </w:r>
      </w:hyperlink>
    </w:p>
    <w:p w14:paraId="0BC3F9CE" w14:textId="246FBE59"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65" w:history="1">
        <w:r w:rsidRPr="005A0020">
          <w:rPr>
            <w:rStyle w:val="Hypertextovodkaz"/>
            <w:noProof/>
          </w:rPr>
          <w:t>3.2.1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_Toc174080865 \h </w:instrText>
        </w:r>
        <w:r>
          <w:rPr>
            <w:noProof/>
            <w:webHidden/>
          </w:rPr>
        </w:r>
        <w:r>
          <w:rPr>
            <w:noProof/>
            <w:webHidden/>
          </w:rPr>
          <w:fldChar w:fldCharType="separate"/>
        </w:r>
        <w:r>
          <w:rPr>
            <w:noProof/>
            <w:webHidden/>
          </w:rPr>
          <w:t>89</w:t>
        </w:r>
        <w:r>
          <w:rPr>
            <w:noProof/>
            <w:webHidden/>
          </w:rPr>
          <w:fldChar w:fldCharType="end"/>
        </w:r>
      </w:hyperlink>
    </w:p>
    <w:p w14:paraId="78531DB6" w14:textId="0A753800"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66" w:history="1">
        <w:r w:rsidRPr="005A0020">
          <w:rPr>
            <w:rStyle w:val="Hypertextovodkaz"/>
            <w:noProof/>
          </w:rPr>
          <w:t>3.2.2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_Toc174080866 \h </w:instrText>
        </w:r>
        <w:r>
          <w:rPr>
            <w:noProof/>
            <w:webHidden/>
          </w:rPr>
        </w:r>
        <w:r>
          <w:rPr>
            <w:noProof/>
            <w:webHidden/>
          </w:rPr>
          <w:fldChar w:fldCharType="separate"/>
        </w:r>
        <w:r>
          <w:rPr>
            <w:noProof/>
            <w:webHidden/>
          </w:rPr>
          <w:t>92</w:t>
        </w:r>
        <w:r>
          <w:rPr>
            <w:noProof/>
            <w:webHidden/>
          </w:rPr>
          <w:fldChar w:fldCharType="end"/>
        </w:r>
      </w:hyperlink>
    </w:p>
    <w:p w14:paraId="27A7D311" w14:textId="11E45D06"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67" w:history="1">
        <w:r w:rsidRPr="005A0020">
          <w:rPr>
            <w:rStyle w:val="Hypertextovodkaz"/>
            <w:noProof/>
          </w:rPr>
          <w:t>3.2.3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 přepočtu na soudce</w:t>
        </w:r>
        <w:r>
          <w:rPr>
            <w:noProof/>
            <w:webHidden/>
          </w:rPr>
          <w:tab/>
        </w:r>
        <w:r>
          <w:rPr>
            <w:noProof/>
            <w:webHidden/>
          </w:rPr>
          <w:fldChar w:fldCharType="begin"/>
        </w:r>
        <w:r>
          <w:rPr>
            <w:noProof/>
            <w:webHidden/>
          </w:rPr>
          <w:instrText xml:space="preserve"> PAGEREF _Toc174080867 \h </w:instrText>
        </w:r>
        <w:r>
          <w:rPr>
            <w:noProof/>
            <w:webHidden/>
          </w:rPr>
        </w:r>
        <w:r>
          <w:rPr>
            <w:noProof/>
            <w:webHidden/>
          </w:rPr>
          <w:fldChar w:fldCharType="separate"/>
        </w:r>
        <w:r>
          <w:rPr>
            <w:noProof/>
            <w:webHidden/>
          </w:rPr>
          <w:t>93</w:t>
        </w:r>
        <w:r>
          <w:rPr>
            <w:noProof/>
            <w:webHidden/>
          </w:rPr>
          <w:fldChar w:fldCharType="end"/>
        </w:r>
      </w:hyperlink>
    </w:p>
    <w:p w14:paraId="6C590811" w14:textId="32375E89"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68" w:history="1">
        <w:r w:rsidRPr="005A0020">
          <w:rPr>
            <w:rStyle w:val="Hypertextovodkaz"/>
            <w:noProof/>
          </w:rPr>
          <w:t>3.2.4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_Toc174080868 \h </w:instrText>
        </w:r>
        <w:r>
          <w:rPr>
            <w:noProof/>
            <w:webHidden/>
          </w:rPr>
        </w:r>
        <w:r>
          <w:rPr>
            <w:noProof/>
            <w:webHidden/>
          </w:rPr>
          <w:fldChar w:fldCharType="separate"/>
        </w:r>
        <w:r>
          <w:rPr>
            <w:noProof/>
            <w:webHidden/>
          </w:rPr>
          <w:t>94</w:t>
        </w:r>
        <w:r>
          <w:rPr>
            <w:noProof/>
            <w:webHidden/>
          </w:rPr>
          <w:fldChar w:fldCharType="end"/>
        </w:r>
      </w:hyperlink>
    </w:p>
    <w:p w14:paraId="2E976CA9" w14:textId="0B370D1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69" w:history="1">
        <w:r w:rsidRPr="005A0020">
          <w:rPr>
            <w:rStyle w:val="Hypertextovodkaz"/>
            <w:noProof/>
          </w:rPr>
          <w:t>3.2.5</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Další statistiky</w:t>
        </w:r>
        <w:r>
          <w:rPr>
            <w:noProof/>
            <w:webHidden/>
          </w:rPr>
          <w:tab/>
        </w:r>
        <w:r>
          <w:rPr>
            <w:noProof/>
            <w:webHidden/>
          </w:rPr>
          <w:fldChar w:fldCharType="begin"/>
        </w:r>
        <w:r>
          <w:rPr>
            <w:noProof/>
            <w:webHidden/>
          </w:rPr>
          <w:instrText xml:space="preserve"> PAGEREF _Toc174080869 \h </w:instrText>
        </w:r>
        <w:r>
          <w:rPr>
            <w:noProof/>
            <w:webHidden/>
          </w:rPr>
        </w:r>
        <w:r>
          <w:rPr>
            <w:noProof/>
            <w:webHidden/>
          </w:rPr>
          <w:fldChar w:fldCharType="separate"/>
        </w:r>
        <w:r>
          <w:rPr>
            <w:noProof/>
            <w:webHidden/>
          </w:rPr>
          <w:t>96</w:t>
        </w:r>
        <w:r>
          <w:rPr>
            <w:noProof/>
            <w:webHidden/>
          </w:rPr>
          <w:fldChar w:fldCharType="end"/>
        </w:r>
      </w:hyperlink>
    </w:p>
    <w:p w14:paraId="02306C3C" w14:textId="3FEE9BF0"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70" w:history="1">
        <w:r w:rsidRPr="005A0020">
          <w:rPr>
            <w:rStyle w:val="Hypertextovodkaz"/>
          </w:rPr>
          <w:t>3.3</w:t>
        </w:r>
        <w:r>
          <w:rPr>
            <w:rFonts w:asciiTheme="minorHAnsi" w:eastAsiaTheme="minorEastAsia" w:hAnsiTheme="minorHAnsi" w:cstheme="minorBidi"/>
            <w:kern w:val="2"/>
            <w:sz w:val="22"/>
            <w:lang w:eastAsia="cs-CZ"/>
            <w14:ligatures w14:val="standardContextual"/>
          </w:rPr>
          <w:tab/>
        </w:r>
        <w:r w:rsidRPr="005A0020">
          <w:rPr>
            <w:rStyle w:val="Hypertextovodkaz"/>
          </w:rPr>
          <w:t>Civilní odvolací agenda</w:t>
        </w:r>
        <w:r>
          <w:rPr>
            <w:webHidden/>
          </w:rPr>
          <w:tab/>
        </w:r>
        <w:r>
          <w:rPr>
            <w:webHidden/>
          </w:rPr>
          <w:fldChar w:fldCharType="begin"/>
        </w:r>
        <w:r>
          <w:rPr>
            <w:webHidden/>
          </w:rPr>
          <w:instrText xml:space="preserve"> PAGEREF _Toc174080870 \h </w:instrText>
        </w:r>
        <w:r>
          <w:rPr>
            <w:webHidden/>
          </w:rPr>
        </w:r>
        <w:r>
          <w:rPr>
            <w:webHidden/>
          </w:rPr>
          <w:fldChar w:fldCharType="separate"/>
        </w:r>
        <w:r>
          <w:rPr>
            <w:webHidden/>
          </w:rPr>
          <w:t>101</w:t>
        </w:r>
        <w:r>
          <w:rPr>
            <w:webHidden/>
          </w:rPr>
          <w:fldChar w:fldCharType="end"/>
        </w:r>
      </w:hyperlink>
    </w:p>
    <w:p w14:paraId="16B4EF4C" w14:textId="7BE4C3D3"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71" w:history="1">
        <w:r w:rsidRPr="005A0020">
          <w:rPr>
            <w:rStyle w:val="Hypertextovodkaz"/>
            <w:noProof/>
          </w:rPr>
          <w:t>3.3.1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_Toc174080871 \h </w:instrText>
        </w:r>
        <w:r>
          <w:rPr>
            <w:noProof/>
            <w:webHidden/>
          </w:rPr>
        </w:r>
        <w:r>
          <w:rPr>
            <w:noProof/>
            <w:webHidden/>
          </w:rPr>
          <w:fldChar w:fldCharType="separate"/>
        </w:r>
        <w:r>
          <w:rPr>
            <w:noProof/>
            <w:webHidden/>
          </w:rPr>
          <w:t>101</w:t>
        </w:r>
        <w:r>
          <w:rPr>
            <w:noProof/>
            <w:webHidden/>
          </w:rPr>
          <w:fldChar w:fldCharType="end"/>
        </w:r>
      </w:hyperlink>
    </w:p>
    <w:p w14:paraId="364D049D" w14:textId="6F683FD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72" w:history="1">
        <w:r w:rsidRPr="005A0020">
          <w:rPr>
            <w:rStyle w:val="Hypertextovodkaz"/>
            <w:noProof/>
          </w:rPr>
          <w:t>3.3.2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_Toc174080872 \h </w:instrText>
        </w:r>
        <w:r>
          <w:rPr>
            <w:noProof/>
            <w:webHidden/>
          </w:rPr>
        </w:r>
        <w:r>
          <w:rPr>
            <w:noProof/>
            <w:webHidden/>
          </w:rPr>
          <w:fldChar w:fldCharType="separate"/>
        </w:r>
        <w:r>
          <w:rPr>
            <w:noProof/>
            <w:webHidden/>
          </w:rPr>
          <w:t>103</w:t>
        </w:r>
        <w:r>
          <w:rPr>
            <w:noProof/>
            <w:webHidden/>
          </w:rPr>
          <w:fldChar w:fldCharType="end"/>
        </w:r>
      </w:hyperlink>
    </w:p>
    <w:p w14:paraId="43B6C8E3" w14:textId="0E88245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73" w:history="1">
        <w:r w:rsidRPr="005A0020">
          <w:rPr>
            <w:rStyle w:val="Hypertextovodkaz"/>
            <w:noProof/>
          </w:rPr>
          <w:t>3.3.3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 v přepočtu na soudce</w:t>
        </w:r>
        <w:r>
          <w:rPr>
            <w:noProof/>
            <w:webHidden/>
          </w:rPr>
          <w:tab/>
        </w:r>
        <w:r>
          <w:rPr>
            <w:noProof/>
            <w:webHidden/>
          </w:rPr>
          <w:fldChar w:fldCharType="begin"/>
        </w:r>
        <w:r>
          <w:rPr>
            <w:noProof/>
            <w:webHidden/>
          </w:rPr>
          <w:instrText xml:space="preserve"> PAGEREF _Toc174080873 \h </w:instrText>
        </w:r>
        <w:r>
          <w:rPr>
            <w:noProof/>
            <w:webHidden/>
          </w:rPr>
        </w:r>
        <w:r>
          <w:rPr>
            <w:noProof/>
            <w:webHidden/>
          </w:rPr>
          <w:fldChar w:fldCharType="separate"/>
        </w:r>
        <w:r>
          <w:rPr>
            <w:noProof/>
            <w:webHidden/>
          </w:rPr>
          <w:t>104</w:t>
        </w:r>
        <w:r>
          <w:rPr>
            <w:noProof/>
            <w:webHidden/>
          </w:rPr>
          <w:fldChar w:fldCharType="end"/>
        </w:r>
      </w:hyperlink>
    </w:p>
    <w:p w14:paraId="56457BBD" w14:textId="408F5BC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74" w:history="1">
        <w:r w:rsidRPr="005A0020">
          <w:rPr>
            <w:rStyle w:val="Hypertextovodkaz"/>
            <w:noProof/>
          </w:rPr>
          <w:t>3.3.4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_Toc174080874 \h </w:instrText>
        </w:r>
        <w:r>
          <w:rPr>
            <w:noProof/>
            <w:webHidden/>
          </w:rPr>
        </w:r>
        <w:r>
          <w:rPr>
            <w:noProof/>
            <w:webHidden/>
          </w:rPr>
          <w:fldChar w:fldCharType="separate"/>
        </w:r>
        <w:r>
          <w:rPr>
            <w:noProof/>
            <w:webHidden/>
          </w:rPr>
          <w:t>105</w:t>
        </w:r>
        <w:r>
          <w:rPr>
            <w:noProof/>
            <w:webHidden/>
          </w:rPr>
          <w:fldChar w:fldCharType="end"/>
        </w:r>
      </w:hyperlink>
    </w:p>
    <w:p w14:paraId="42A8E23E" w14:textId="23E6DD31"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75" w:history="1">
        <w:r w:rsidRPr="005A0020">
          <w:rPr>
            <w:rStyle w:val="Hypertextovodkaz"/>
          </w:rPr>
          <w:t>3.4</w:t>
        </w:r>
        <w:r>
          <w:rPr>
            <w:rFonts w:asciiTheme="minorHAnsi" w:eastAsiaTheme="minorEastAsia" w:hAnsiTheme="minorHAnsi" w:cstheme="minorBidi"/>
            <w:kern w:val="2"/>
            <w:sz w:val="22"/>
            <w:lang w:eastAsia="cs-CZ"/>
            <w14:ligatures w14:val="standardContextual"/>
          </w:rPr>
          <w:tab/>
        </w:r>
        <w:r w:rsidRPr="005A0020">
          <w:rPr>
            <w:rStyle w:val="Hypertextovodkaz"/>
          </w:rPr>
          <w:t>Trestní prvostupňová agenda</w:t>
        </w:r>
        <w:r>
          <w:rPr>
            <w:webHidden/>
          </w:rPr>
          <w:tab/>
        </w:r>
        <w:r>
          <w:rPr>
            <w:webHidden/>
          </w:rPr>
          <w:fldChar w:fldCharType="begin"/>
        </w:r>
        <w:r>
          <w:rPr>
            <w:webHidden/>
          </w:rPr>
          <w:instrText xml:space="preserve"> PAGEREF _Toc174080875 \h </w:instrText>
        </w:r>
        <w:r>
          <w:rPr>
            <w:webHidden/>
          </w:rPr>
        </w:r>
        <w:r>
          <w:rPr>
            <w:webHidden/>
          </w:rPr>
          <w:fldChar w:fldCharType="separate"/>
        </w:r>
        <w:r>
          <w:rPr>
            <w:webHidden/>
          </w:rPr>
          <w:t>107</w:t>
        </w:r>
        <w:r>
          <w:rPr>
            <w:webHidden/>
          </w:rPr>
          <w:fldChar w:fldCharType="end"/>
        </w:r>
      </w:hyperlink>
    </w:p>
    <w:p w14:paraId="63FC4388" w14:textId="6E02212B"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76" w:history="1">
        <w:r w:rsidRPr="005A0020">
          <w:rPr>
            <w:rStyle w:val="Hypertextovodkaz"/>
            <w:noProof/>
          </w:rPr>
          <w:t>3.4.1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_Toc174080876 \h </w:instrText>
        </w:r>
        <w:r>
          <w:rPr>
            <w:noProof/>
            <w:webHidden/>
          </w:rPr>
        </w:r>
        <w:r>
          <w:rPr>
            <w:noProof/>
            <w:webHidden/>
          </w:rPr>
          <w:fldChar w:fldCharType="separate"/>
        </w:r>
        <w:r>
          <w:rPr>
            <w:noProof/>
            <w:webHidden/>
          </w:rPr>
          <w:t>107</w:t>
        </w:r>
        <w:r>
          <w:rPr>
            <w:noProof/>
            <w:webHidden/>
          </w:rPr>
          <w:fldChar w:fldCharType="end"/>
        </w:r>
      </w:hyperlink>
    </w:p>
    <w:p w14:paraId="5FB79E88" w14:textId="03C78FE8"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77" w:history="1">
        <w:r w:rsidRPr="005A0020">
          <w:rPr>
            <w:rStyle w:val="Hypertextovodkaz"/>
            <w:noProof/>
          </w:rPr>
          <w:t>3.4.2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_Toc174080877 \h </w:instrText>
        </w:r>
        <w:r>
          <w:rPr>
            <w:noProof/>
            <w:webHidden/>
          </w:rPr>
        </w:r>
        <w:r>
          <w:rPr>
            <w:noProof/>
            <w:webHidden/>
          </w:rPr>
          <w:fldChar w:fldCharType="separate"/>
        </w:r>
        <w:r>
          <w:rPr>
            <w:noProof/>
            <w:webHidden/>
          </w:rPr>
          <w:t>109</w:t>
        </w:r>
        <w:r>
          <w:rPr>
            <w:noProof/>
            <w:webHidden/>
          </w:rPr>
          <w:fldChar w:fldCharType="end"/>
        </w:r>
      </w:hyperlink>
    </w:p>
    <w:p w14:paraId="2249B75A" w14:textId="7188CEAB"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78" w:history="1">
        <w:r w:rsidRPr="005A0020">
          <w:rPr>
            <w:rStyle w:val="Hypertextovodkaz"/>
            <w:noProof/>
          </w:rPr>
          <w:t>3.4.3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 v přepočtu na soudce</w:t>
        </w:r>
        <w:r>
          <w:rPr>
            <w:noProof/>
            <w:webHidden/>
          </w:rPr>
          <w:tab/>
        </w:r>
        <w:r>
          <w:rPr>
            <w:noProof/>
            <w:webHidden/>
          </w:rPr>
          <w:fldChar w:fldCharType="begin"/>
        </w:r>
        <w:r>
          <w:rPr>
            <w:noProof/>
            <w:webHidden/>
          </w:rPr>
          <w:instrText xml:space="preserve"> PAGEREF _Toc174080878 \h </w:instrText>
        </w:r>
        <w:r>
          <w:rPr>
            <w:noProof/>
            <w:webHidden/>
          </w:rPr>
        </w:r>
        <w:r>
          <w:rPr>
            <w:noProof/>
            <w:webHidden/>
          </w:rPr>
          <w:fldChar w:fldCharType="separate"/>
        </w:r>
        <w:r>
          <w:rPr>
            <w:noProof/>
            <w:webHidden/>
          </w:rPr>
          <w:t>111</w:t>
        </w:r>
        <w:r>
          <w:rPr>
            <w:noProof/>
            <w:webHidden/>
          </w:rPr>
          <w:fldChar w:fldCharType="end"/>
        </w:r>
      </w:hyperlink>
    </w:p>
    <w:p w14:paraId="010BB969" w14:textId="1C18D914"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79" w:history="1">
        <w:r w:rsidRPr="005A0020">
          <w:rPr>
            <w:rStyle w:val="Hypertextovodkaz"/>
            <w:noProof/>
          </w:rPr>
          <w:t>3.4.4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_Toc174080879 \h </w:instrText>
        </w:r>
        <w:r>
          <w:rPr>
            <w:noProof/>
            <w:webHidden/>
          </w:rPr>
        </w:r>
        <w:r>
          <w:rPr>
            <w:noProof/>
            <w:webHidden/>
          </w:rPr>
          <w:fldChar w:fldCharType="separate"/>
        </w:r>
        <w:r>
          <w:rPr>
            <w:noProof/>
            <w:webHidden/>
          </w:rPr>
          <w:t>111</w:t>
        </w:r>
        <w:r>
          <w:rPr>
            <w:noProof/>
            <w:webHidden/>
          </w:rPr>
          <w:fldChar w:fldCharType="end"/>
        </w:r>
      </w:hyperlink>
    </w:p>
    <w:p w14:paraId="39D4B016" w14:textId="16BE3187"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80" w:history="1">
        <w:r w:rsidRPr="005A0020">
          <w:rPr>
            <w:rStyle w:val="Hypertextovodkaz"/>
            <w:noProof/>
          </w:rPr>
          <w:t>3.4.5</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Další statistiky</w:t>
        </w:r>
        <w:r>
          <w:rPr>
            <w:noProof/>
            <w:webHidden/>
          </w:rPr>
          <w:tab/>
        </w:r>
        <w:r>
          <w:rPr>
            <w:noProof/>
            <w:webHidden/>
          </w:rPr>
          <w:fldChar w:fldCharType="begin"/>
        </w:r>
        <w:r>
          <w:rPr>
            <w:noProof/>
            <w:webHidden/>
          </w:rPr>
          <w:instrText xml:space="preserve"> PAGEREF _Toc174080880 \h </w:instrText>
        </w:r>
        <w:r>
          <w:rPr>
            <w:noProof/>
            <w:webHidden/>
          </w:rPr>
        </w:r>
        <w:r>
          <w:rPr>
            <w:noProof/>
            <w:webHidden/>
          </w:rPr>
          <w:fldChar w:fldCharType="separate"/>
        </w:r>
        <w:r>
          <w:rPr>
            <w:noProof/>
            <w:webHidden/>
          </w:rPr>
          <w:t>113</w:t>
        </w:r>
        <w:r>
          <w:rPr>
            <w:noProof/>
            <w:webHidden/>
          </w:rPr>
          <w:fldChar w:fldCharType="end"/>
        </w:r>
      </w:hyperlink>
    </w:p>
    <w:p w14:paraId="2F7405A6" w14:textId="67DEA120"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81" w:history="1">
        <w:r w:rsidRPr="005A0020">
          <w:rPr>
            <w:rStyle w:val="Hypertextovodkaz"/>
          </w:rPr>
          <w:t>3.5</w:t>
        </w:r>
        <w:r>
          <w:rPr>
            <w:rFonts w:asciiTheme="minorHAnsi" w:eastAsiaTheme="minorEastAsia" w:hAnsiTheme="minorHAnsi" w:cstheme="minorBidi"/>
            <w:kern w:val="2"/>
            <w:sz w:val="22"/>
            <w:lang w:eastAsia="cs-CZ"/>
            <w14:ligatures w14:val="standardContextual"/>
          </w:rPr>
          <w:tab/>
        </w:r>
        <w:r w:rsidRPr="005A0020">
          <w:rPr>
            <w:rStyle w:val="Hypertextovodkaz"/>
          </w:rPr>
          <w:t>Trestní odvolací agenda</w:t>
        </w:r>
        <w:r>
          <w:rPr>
            <w:webHidden/>
          </w:rPr>
          <w:tab/>
        </w:r>
        <w:r>
          <w:rPr>
            <w:webHidden/>
          </w:rPr>
          <w:fldChar w:fldCharType="begin"/>
        </w:r>
        <w:r>
          <w:rPr>
            <w:webHidden/>
          </w:rPr>
          <w:instrText xml:space="preserve"> PAGEREF _Toc174080881 \h </w:instrText>
        </w:r>
        <w:r>
          <w:rPr>
            <w:webHidden/>
          </w:rPr>
        </w:r>
        <w:r>
          <w:rPr>
            <w:webHidden/>
          </w:rPr>
          <w:fldChar w:fldCharType="separate"/>
        </w:r>
        <w:r>
          <w:rPr>
            <w:webHidden/>
          </w:rPr>
          <w:t>117</w:t>
        </w:r>
        <w:r>
          <w:rPr>
            <w:webHidden/>
          </w:rPr>
          <w:fldChar w:fldCharType="end"/>
        </w:r>
      </w:hyperlink>
    </w:p>
    <w:p w14:paraId="11098574" w14:textId="4F013BDE"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82" w:history="1">
        <w:r w:rsidRPr="005A0020">
          <w:rPr>
            <w:rStyle w:val="Hypertextovodkaz"/>
            <w:noProof/>
          </w:rPr>
          <w:t>3.5.1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_Toc174080882 \h </w:instrText>
        </w:r>
        <w:r>
          <w:rPr>
            <w:noProof/>
            <w:webHidden/>
          </w:rPr>
        </w:r>
        <w:r>
          <w:rPr>
            <w:noProof/>
            <w:webHidden/>
          </w:rPr>
          <w:fldChar w:fldCharType="separate"/>
        </w:r>
        <w:r>
          <w:rPr>
            <w:noProof/>
            <w:webHidden/>
          </w:rPr>
          <w:t>117</w:t>
        </w:r>
        <w:r>
          <w:rPr>
            <w:noProof/>
            <w:webHidden/>
          </w:rPr>
          <w:fldChar w:fldCharType="end"/>
        </w:r>
      </w:hyperlink>
    </w:p>
    <w:p w14:paraId="355165F1" w14:textId="6C0A4EDC"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83" w:history="1">
        <w:r w:rsidRPr="005A0020">
          <w:rPr>
            <w:rStyle w:val="Hypertextovodkaz"/>
            <w:noProof/>
          </w:rPr>
          <w:t>3.5.2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_Toc174080883 \h </w:instrText>
        </w:r>
        <w:r>
          <w:rPr>
            <w:noProof/>
            <w:webHidden/>
          </w:rPr>
        </w:r>
        <w:r>
          <w:rPr>
            <w:noProof/>
            <w:webHidden/>
          </w:rPr>
          <w:fldChar w:fldCharType="separate"/>
        </w:r>
        <w:r>
          <w:rPr>
            <w:noProof/>
            <w:webHidden/>
          </w:rPr>
          <w:t>119</w:t>
        </w:r>
        <w:r>
          <w:rPr>
            <w:noProof/>
            <w:webHidden/>
          </w:rPr>
          <w:fldChar w:fldCharType="end"/>
        </w:r>
      </w:hyperlink>
    </w:p>
    <w:p w14:paraId="0EC0AE3D" w14:textId="71926EC9"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84" w:history="1">
        <w:r w:rsidRPr="005A0020">
          <w:rPr>
            <w:rStyle w:val="Hypertextovodkaz"/>
            <w:noProof/>
          </w:rPr>
          <w:t>3.5.3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 přepočtu na soudce</w:t>
        </w:r>
        <w:r>
          <w:rPr>
            <w:noProof/>
            <w:webHidden/>
          </w:rPr>
          <w:tab/>
        </w:r>
        <w:r>
          <w:rPr>
            <w:noProof/>
            <w:webHidden/>
          </w:rPr>
          <w:fldChar w:fldCharType="begin"/>
        </w:r>
        <w:r>
          <w:rPr>
            <w:noProof/>
            <w:webHidden/>
          </w:rPr>
          <w:instrText xml:space="preserve"> PAGEREF _Toc174080884 \h </w:instrText>
        </w:r>
        <w:r>
          <w:rPr>
            <w:noProof/>
            <w:webHidden/>
          </w:rPr>
        </w:r>
        <w:r>
          <w:rPr>
            <w:noProof/>
            <w:webHidden/>
          </w:rPr>
          <w:fldChar w:fldCharType="separate"/>
        </w:r>
        <w:r>
          <w:rPr>
            <w:noProof/>
            <w:webHidden/>
          </w:rPr>
          <w:t>120</w:t>
        </w:r>
        <w:r>
          <w:rPr>
            <w:noProof/>
            <w:webHidden/>
          </w:rPr>
          <w:fldChar w:fldCharType="end"/>
        </w:r>
      </w:hyperlink>
    </w:p>
    <w:p w14:paraId="10E90BEA" w14:textId="0DDE397F"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85" w:history="1">
        <w:r w:rsidRPr="005A0020">
          <w:rPr>
            <w:rStyle w:val="Hypertextovodkaz"/>
            <w:noProof/>
          </w:rPr>
          <w:t>3.5.4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_Toc174080885 \h </w:instrText>
        </w:r>
        <w:r>
          <w:rPr>
            <w:noProof/>
            <w:webHidden/>
          </w:rPr>
        </w:r>
        <w:r>
          <w:rPr>
            <w:noProof/>
            <w:webHidden/>
          </w:rPr>
          <w:fldChar w:fldCharType="separate"/>
        </w:r>
        <w:r>
          <w:rPr>
            <w:noProof/>
            <w:webHidden/>
          </w:rPr>
          <w:t>120</w:t>
        </w:r>
        <w:r>
          <w:rPr>
            <w:noProof/>
            <w:webHidden/>
          </w:rPr>
          <w:fldChar w:fldCharType="end"/>
        </w:r>
      </w:hyperlink>
    </w:p>
    <w:p w14:paraId="577ADADC" w14:textId="6B1FDA1E"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86" w:history="1">
        <w:r w:rsidRPr="005A0020">
          <w:rPr>
            <w:rStyle w:val="Hypertextovodkaz"/>
          </w:rPr>
          <w:t>3.6</w:t>
        </w:r>
        <w:r>
          <w:rPr>
            <w:rFonts w:asciiTheme="minorHAnsi" w:eastAsiaTheme="minorEastAsia" w:hAnsiTheme="minorHAnsi" w:cstheme="minorBidi"/>
            <w:kern w:val="2"/>
            <w:sz w:val="22"/>
            <w:lang w:eastAsia="cs-CZ"/>
            <w14:ligatures w14:val="standardContextual"/>
          </w:rPr>
          <w:tab/>
        </w:r>
        <w:r w:rsidRPr="005A0020">
          <w:rPr>
            <w:rStyle w:val="Hypertextovodkaz"/>
          </w:rPr>
          <w:t>Správní agenda</w:t>
        </w:r>
        <w:r>
          <w:rPr>
            <w:webHidden/>
          </w:rPr>
          <w:tab/>
        </w:r>
        <w:r>
          <w:rPr>
            <w:webHidden/>
          </w:rPr>
          <w:fldChar w:fldCharType="begin"/>
        </w:r>
        <w:r>
          <w:rPr>
            <w:webHidden/>
          </w:rPr>
          <w:instrText xml:space="preserve"> PAGEREF _Toc174080886 \h </w:instrText>
        </w:r>
        <w:r>
          <w:rPr>
            <w:webHidden/>
          </w:rPr>
        </w:r>
        <w:r>
          <w:rPr>
            <w:webHidden/>
          </w:rPr>
          <w:fldChar w:fldCharType="separate"/>
        </w:r>
        <w:r>
          <w:rPr>
            <w:webHidden/>
          </w:rPr>
          <w:t>122</w:t>
        </w:r>
        <w:r>
          <w:rPr>
            <w:webHidden/>
          </w:rPr>
          <w:fldChar w:fldCharType="end"/>
        </w:r>
      </w:hyperlink>
    </w:p>
    <w:p w14:paraId="1F2B155F" w14:textId="64C4BBD0"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87" w:history="1">
        <w:r w:rsidRPr="005A0020">
          <w:rPr>
            <w:rStyle w:val="Hypertextovodkaz"/>
            <w:noProof/>
          </w:rPr>
          <w:t>3.6.1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_Toc174080887 \h </w:instrText>
        </w:r>
        <w:r>
          <w:rPr>
            <w:noProof/>
            <w:webHidden/>
          </w:rPr>
        </w:r>
        <w:r>
          <w:rPr>
            <w:noProof/>
            <w:webHidden/>
          </w:rPr>
          <w:fldChar w:fldCharType="separate"/>
        </w:r>
        <w:r>
          <w:rPr>
            <w:noProof/>
            <w:webHidden/>
          </w:rPr>
          <w:t>122</w:t>
        </w:r>
        <w:r>
          <w:rPr>
            <w:noProof/>
            <w:webHidden/>
          </w:rPr>
          <w:fldChar w:fldCharType="end"/>
        </w:r>
      </w:hyperlink>
    </w:p>
    <w:p w14:paraId="52DFA31F" w14:textId="06A0EEBA"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88" w:history="1">
        <w:r w:rsidRPr="005A0020">
          <w:rPr>
            <w:rStyle w:val="Hypertextovodkaz"/>
            <w:noProof/>
          </w:rPr>
          <w:t>3.6.2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_Toc174080888 \h </w:instrText>
        </w:r>
        <w:r>
          <w:rPr>
            <w:noProof/>
            <w:webHidden/>
          </w:rPr>
        </w:r>
        <w:r>
          <w:rPr>
            <w:noProof/>
            <w:webHidden/>
          </w:rPr>
          <w:fldChar w:fldCharType="separate"/>
        </w:r>
        <w:r>
          <w:rPr>
            <w:noProof/>
            <w:webHidden/>
          </w:rPr>
          <w:t>124</w:t>
        </w:r>
        <w:r>
          <w:rPr>
            <w:noProof/>
            <w:webHidden/>
          </w:rPr>
          <w:fldChar w:fldCharType="end"/>
        </w:r>
      </w:hyperlink>
    </w:p>
    <w:p w14:paraId="6881AC48" w14:textId="514F1018"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89" w:history="1">
        <w:r w:rsidRPr="005A0020">
          <w:rPr>
            <w:rStyle w:val="Hypertextovodkaz"/>
            <w:noProof/>
          </w:rPr>
          <w:t>3.6.3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 v přepočtu na soudce</w:t>
        </w:r>
        <w:r>
          <w:rPr>
            <w:noProof/>
            <w:webHidden/>
          </w:rPr>
          <w:tab/>
        </w:r>
        <w:r>
          <w:rPr>
            <w:noProof/>
            <w:webHidden/>
          </w:rPr>
          <w:fldChar w:fldCharType="begin"/>
        </w:r>
        <w:r>
          <w:rPr>
            <w:noProof/>
            <w:webHidden/>
          </w:rPr>
          <w:instrText xml:space="preserve"> PAGEREF _Toc174080889 \h </w:instrText>
        </w:r>
        <w:r>
          <w:rPr>
            <w:noProof/>
            <w:webHidden/>
          </w:rPr>
        </w:r>
        <w:r>
          <w:rPr>
            <w:noProof/>
            <w:webHidden/>
          </w:rPr>
          <w:fldChar w:fldCharType="separate"/>
        </w:r>
        <w:r>
          <w:rPr>
            <w:noProof/>
            <w:webHidden/>
          </w:rPr>
          <w:t>126</w:t>
        </w:r>
        <w:r>
          <w:rPr>
            <w:noProof/>
            <w:webHidden/>
          </w:rPr>
          <w:fldChar w:fldCharType="end"/>
        </w:r>
      </w:hyperlink>
    </w:p>
    <w:p w14:paraId="51BB460F" w14:textId="758D0515"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90" w:history="1">
        <w:r w:rsidRPr="005A0020">
          <w:rPr>
            <w:rStyle w:val="Hypertextovodkaz"/>
            <w:noProof/>
          </w:rPr>
          <w:t>3.6.4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_Toc174080890 \h </w:instrText>
        </w:r>
        <w:r>
          <w:rPr>
            <w:noProof/>
            <w:webHidden/>
          </w:rPr>
        </w:r>
        <w:r>
          <w:rPr>
            <w:noProof/>
            <w:webHidden/>
          </w:rPr>
          <w:fldChar w:fldCharType="separate"/>
        </w:r>
        <w:r>
          <w:rPr>
            <w:noProof/>
            <w:webHidden/>
          </w:rPr>
          <w:t>126</w:t>
        </w:r>
        <w:r>
          <w:rPr>
            <w:noProof/>
            <w:webHidden/>
          </w:rPr>
          <w:fldChar w:fldCharType="end"/>
        </w:r>
      </w:hyperlink>
    </w:p>
    <w:p w14:paraId="187B899D" w14:textId="61AF74BF"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91" w:history="1">
        <w:r w:rsidRPr="005A0020">
          <w:rPr>
            <w:rStyle w:val="Hypertextovodkaz"/>
          </w:rPr>
          <w:t>3.7</w:t>
        </w:r>
        <w:r>
          <w:rPr>
            <w:rFonts w:asciiTheme="minorHAnsi" w:eastAsiaTheme="minorEastAsia" w:hAnsiTheme="minorHAnsi" w:cstheme="minorBidi"/>
            <w:kern w:val="2"/>
            <w:sz w:val="22"/>
            <w:lang w:eastAsia="cs-CZ"/>
            <w14:ligatures w14:val="standardContextual"/>
          </w:rPr>
          <w:tab/>
        </w:r>
        <w:r w:rsidRPr="005A0020">
          <w:rPr>
            <w:rStyle w:val="Hypertextovodkaz"/>
          </w:rPr>
          <w:t>Insolvenční agenda</w:t>
        </w:r>
        <w:r>
          <w:rPr>
            <w:webHidden/>
          </w:rPr>
          <w:tab/>
        </w:r>
        <w:r>
          <w:rPr>
            <w:webHidden/>
          </w:rPr>
          <w:fldChar w:fldCharType="begin"/>
        </w:r>
        <w:r>
          <w:rPr>
            <w:webHidden/>
          </w:rPr>
          <w:instrText xml:space="preserve"> PAGEREF _Toc174080891 \h </w:instrText>
        </w:r>
        <w:r>
          <w:rPr>
            <w:webHidden/>
          </w:rPr>
        </w:r>
        <w:r>
          <w:rPr>
            <w:webHidden/>
          </w:rPr>
          <w:fldChar w:fldCharType="separate"/>
        </w:r>
        <w:r>
          <w:rPr>
            <w:webHidden/>
          </w:rPr>
          <w:t>128</w:t>
        </w:r>
        <w:r>
          <w:rPr>
            <w:webHidden/>
          </w:rPr>
          <w:fldChar w:fldCharType="end"/>
        </w:r>
      </w:hyperlink>
    </w:p>
    <w:p w14:paraId="565B0F8B" w14:textId="2620585C"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92" w:history="1">
        <w:r w:rsidRPr="005A0020">
          <w:rPr>
            <w:rStyle w:val="Hypertextovodkaz"/>
            <w:noProof/>
          </w:rPr>
          <w:t>3.7.1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_Toc174080892 \h </w:instrText>
        </w:r>
        <w:r>
          <w:rPr>
            <w:noProof/>
            <w:webHidden/>
          </w:rPr>
        </w:r>
        <w:r>
          <w:rPr>
            <w:noProof/>
            <w:webHidden/>
          </w:rPr>
          <w:fldChar w:fldCharType="separate"/>
        </w:r>
        <w:r>
          <w:rPr>
            <w:noProof/>
            <w:webHidden/>
          </w:rPr>
          <w:t>128</w:t>
        </w:r>
        <w:r>
          <w:rPr>
            <w:noProof/>
            <w:webHidden/>
          </w:rPr>
          <w:fldChar w:fldCharType="end"/>
        </w:r>
      </w:hyperlink>
    </w:p>
    <w:p w14:paraId="7E703A95" w14:textId="11E6E11C"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93" w:history="1">
        <w:r w:rsidRPr="005A0020">
          <w:rPr>
            <w:rStyle w:val="Hypertextovodkaz"/>
            <w:noProof/>
          </w:rPr>
          <w:t>3.7.2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_Toc174080893 \h </w:instrText>
        </w:r>
        <w:r>
          <w:rPr>
            <w:noProof/>
            <w:webHidden/>
          </w:rPr>
        </w:r>
        <w:r>
          <w:rPr>
            <w:noProof/>
            <w:webHidden/>
          </w:rPr>
          <w:fldChar w:fldCharType="separate"/>
        </w:r>
        <w:r>
          <w:rPr>
            <w:noProof/>
            <w:webHidden/>
          </w:rPr>
          <w:t>130</w:t>
        </w:r>
        <w:r>
          <w:rPr>
            <w:noProof/>
            <w:webHidden/>
          </w:rPr>
          <w:fldChar w:fldCharType="end"/>
        </w:r>
      </w:hyperlink>
    </w:p>
    <w:p w14:paraId="32846655" w14:textId="60BA9E5C"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94" w:history="1">
        <w:r w:rsidRPr="005A0020">
          <w:rPr>
            <w:rStyle w:val="Hypertextovodkaz"/>
            <w:noProof/>
          </w:rPr>
          <w:t>3.7.3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 v přepočtu na soudce</w:t>
        </w:r>
        <w:r>
          <w:rPr>
            <w:noProof/>
            <w:webHidden/>
          </w:rPr>
          <w:tab/>
        </w:r>
        <w:r>
          <w:rPr>
            <w:noProof/>
            <w:webHidden/>
          </w:rPr>
          <w:fldChar w:fldCharType="begin"/>
        </w:r>
        <w:r>
          <w:rPr>
            <w:noProof/>
            <w:webHidden/>
          </w:rPr>
          <w:instrText xml:space="preserve"> PAGEREF _Toc174080894 \h </w:instrText>
        </w:r>
        <w:r>
          <w:rPr>
            <w:noProof/>
            <w:webHidden/>
          </w:rPr>
        </w:r>
        <w:r>
          <w:rPr>
            <w:noProof/>
            <w:webHidden/>
          </w:rPr>
          <w:fldChar w:fldCharType="separate"/>
        </w:r>
        <w:r>
          <w:rPr>
            <w:noProof/>
            <w:webHidden/>
          </w:rPr>
          <w:t>131</w:t>
        </w:r>
        <w:r>
          <w:rPr>
            <w:noProof/>
            <w:webHidden/>
          </w:rPr>
          <w:fldChar w:fldCharType="end"/>
        </w:r>
      </w:hyperlink>
    </w:p>
    <w:p w14:paraId="1C569CA1" w14:textId="7417C84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95" w:history="1">
        <w:r w:rsidRPr="005A0020">
          <w:rPr>
            <w:rStyle w:val="Hypertextovodkaz"/>
            <w:noProof/>
          </w:rPr>
          <w:t>3.7.4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Další statistiky</w:t>
        </w:r>
        <w:r>
          <w:rPr>
            <w:noProof/>
            <w:webHidden/>
          </w:rPr>
          <w:tab/>
        </w:r>
        <w:r>
          <w:rPr>
            <w:noProof/>
            <w:webHidden/>
          </w:rPr>
          <w:fldChar w:fldCharType="begin"/>
        </w:r>
        <w:r>
          <w:rPr>
            <w:noProof/>
            <w:webHidden/>
          </w:rPr>
          <w:instrText xml:space="preserve"> PAGEREF _Toc174080895 \h </w:instrText>
        </w:r>
        <w:r>
          <w:rPr>
            <w:noProof/>
            <w:webHidden/>
          </w:rPr>
        </w:r>
        <w:r>
          <w:rPr>
            <w:noProof/>
            <w:webHidden/>
          </w:rPr>
          <w:fldChar w:fldCharType="separate"/>
        </w:r>
        <w:r>
          <w:rPr>
            <w:noProof/>
            <w:webHidden/>
          </w:rPr>
          <w:t>132</w:t>
        </w:r>
        <w:r>
          <w:rPr>
            <w:noProof/>
            <w:webHidden/>
          </w:rPr>
          <w:fldChar w:fldCharType="end"/>
        </w:r>
      </w:hyperlink>
    </w:p>
    <w:p w14:paraId="41C3867C" w14:textId="32C1DFA6"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896" w:history="1">
        <w:r w:rsidRPr="005A0020">
          <w:rPr>
            <w:rStyle w:val="Hypertextovodkaz"/>
          </w:rPr>
          <w:t>3.8</w:t>
        </w:r>
        <w:r>
          <w:rPr>
            <w:rFonts w:asciiTheme="minorHAnsi" w:eastAsiaTheme="minorEastAsia" w:hAnsiTheme="minorHAnsi" w:cstheme="minorBidi"/>
            <w:kern w:val="2"/>
            <w:sz w:val="22"/>
            <w:lang w:eastAsia="cs-CZ"/>
            <w14:ligatures w14:val="standardContextual"/>
          </w:rPr>
          <w:tab/>
        </w:r>
        <w:r w:rsidRPr="005A0020">
          <w:rPr>
            <w:rStyle w:val="Hypertextovodkaz"/>
          </w:rPr>
          <w:t>Incidenční spory</w:t>
        </w:r>
        <w:r>
          <w:rPr>
            <w:webHidden/>
          </w:rPr>
          <w:tab/>
        </w:r>
        <w:r>
          <w:rPr>
            <w:webHidden/>
          </w:rPr>
          <w:fldChar w:fldCharType="begin"/>
        </w:r>
        <w:r>
          <w:rPr>
            <w:webHidden/>
          </w:rPr>
          <w:instrText xml:space="preserve"> PAGEREF _Toc174080896 \h </w:instrText>
        </w:r>
        <w:r>
          <w:rPr>
            <w:webHidden/>
          </w:rPr>
        </w:r>
        <w:r>
          <w:rPr>
            <w:webHidden/>
          </w:rPr>
          <w:fldChar w:fldCharType="separate"/>
        </w:r>
        <w:r>
          <w:rPr>
            <w:webHidden/>
          </w:rPr>
          <w:t>134</w:t>
        </w:r>
        <w:r>
          <w:rPr>
            <w:webHidden/>
          </w:rPr>
          <w:fldChar w:fldCharType="end"/>
        </w:r>
      </w:hyperlink>
    </w:p>
    <w:p w14:paraId="050B0D28" w14:textId="4CDA5D3F"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97" w:history="1">
        <w:r w:rsidRPr="005A0020">
          <w:rPr>
            <w:rStyle w:val="Hypertextovodkaz"/>
            <w:noProof/>
          </w:rPr>
          <w:t>3.8.1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_Toc174080897 \h </w:instrText>
        </w:r>
        <w:r>
          <w:rPr>
            <w:noProof/>
            <w:webHidden/>
          </w:rPr>
        </w:r>
        <w:r>
          <w:rPr>
            <w:noProof/>
            <w:webHidden/>
          </w:rPr>
          <w:fldChar w:fldCharType="separate"/>
        </w:r>
        <w:r>
          <w:rPr>
            <w:noProof/>
            <w:webHidden/>
          </w:rPr>
          <w:t>134</w:t>
        </w:r>
        <w:r>
          <w:rPr>
            <w:noProof/>
            <w:webHidden/>
          </w:rPr>
          <w:fldChar w:fldCharType="end"/>
        </w:r>
      </w:hyperlink>
    </w:p>
    <w:p w14:paraId="14045D4C" w14:textId="2A1A5762"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98" w:history="1">
        <w:r w:rsidRPr="005A0020">
          <w:rPr>
            <w:rStyle w:val="Hypertextovodkaz"/>
            <w:noProof/>
          </w:rPr>
          <w:t>3.8.2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_Toc174080898 \h </w:instrText>
        </w:r>
        <w:r>
          <w:rPr>
            <w:noProof/>
            <w:webHidden/>
          </w:rPr>
        </w:r>
        <w:r>
          <w:rPr>
            <w:noProof/>
            <w:webHidden/>
          </w:rPr>
          <w:fldChar w:fldCharType="separate"/>
        </w:r>
        <w:r>
          <w:rPr>
            <w:noProof/>
            <w:webHidden/>
          </w:rPr>
          <w:t>136</w:t>
        </w:r>
        <w:r>
          <w:rPr>
            <w:noProof/>
            <w:webHidden/>
          </w:rPr>
          <w:fldChar w:fldCharType="end"/>
        </w:r>
      </w:hyperlink>
    </w:p>
    <w:p w14:paraId="067BF512" w14:textId="671DC1C0"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899" w:history="1">
        <w:r w:rsidRPr="005A0020">
          <w:rPr>
            <w:rStyle w:val="Hypertextovodkaz"/>
            <w:noProof/>
          </w:rPr>
          <w:t>3.8.3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 v přepočtu na soudce</w:t>
        </w:r>
        <w:r>
          <w:rPr>
            <w:noProof/>
            <w:webHidden/>
          </w:rPr>
          <w:tab/>
        </w:r>
        <w:r>
          <w:rPr>
            <w:noProof/>
            <w:webHidden/>
          </w:rPr>
          <w:fldChar w:fldCharType="begin"/>
        </w:r>
        <w:r>
          <w:rPr>
            <w:noProof/>
            <w:webHidden/>
          </w:rPr>
          <w:instrText xml:space="preserve"> PAGEREF _Toc174080899 \h </w:instrText>
        </w:r>
        <w:r>
          <w:rPr>
            <w:noProof/>
            <w:webHidden/>
          </w:rPr>
        </w:r>
        <w:r>
          <w:rPr>
            <w:noProof/>
            <w:webHidden/>
          </w:rPr>
          <w:fldChar w:fldCharType="separate"/>
        </w:r>
        <w:r>
          <w:rPr>
            <w:noProof/>
            <w:webHidden/>
          </w:rPr>
          <w:t>137</w:t>
        </w:r>
        <w:r>
          <w:rPr>
            <w:noProof/>
            <w:webHidden/>
          </w:rPr>
          <w:fldChar w:fldCharType="end"/>
        </w:r>
      </w:hyperlink>
    </w:p>
    <w:p w14:paraId="5C755974" w14:textId="33DFBD69"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00" w:history="1">
        <w:r w:rsidRPr="005A0020">
          <w:rPr>
            <w:rStyle w:val="Hypertextovodkaz"/>
            <w:noProof/>
          </w:rPr>
          <w:t>3.8.4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Disposition time (dispoziční čas)</w:t>
        </w:r>
        <w:r>
          <w:rPr>
            <w:noProof/>
            <w:webHidden/>
          </w:rPr>
          <w:tab/>
        </w:r>
        <w:r>
          <w:rPr>
            <w:noProof/>
            <w:webHidden/>
          </w:rPr>
          <w:fldChar w:fldCharType="begin"/>
        </w:r>
        <w:r>
          <w:rPr>
            <w:noProof/>
            <w:webHidden/>
          </w:rPr>
          <w:instrText xml:space="preserve"> PAGEREF _Toc174080900 \h </w:instrText>
        </w:r>
        <w:r>
          <w:rPr>
            <w:noProof/>
            <w:webHidden/>
          </w:rPr>
        </w:r>
        <w:r>
          <w:rPr>
            <w:noProof/>
            <w:webHidden/>
          </w:rPr>
          <w:fldChar w:fldCharType="separate"/>
        </w:r>
        <w:r>
          <w:rPr>
            <w:noProof/>
            <w:webHidden/>
          </w:rPr>
          <w:t>138</w:t>
        </w:r>
        <w:r>
          <w:rPr>
            <w:noProof/>
            <w:webHidden/>
          </w:rPr>
          <w:fldChar w:fldCharType="end"/>
        </w:r>
      </w:hyperlink>
    </w:p>
    <w:p w14:paraId="1CF58D89" w14:textId="15DAED65" w:rsidR="00551497" w:rsidRDefault="00551497">
      <w:pPr>
        <w:pStyle w:val="Obsah1"/>
        <w:tabs>
          <w:tab w:val="left" w:pos="482"/>
        </w:tabs>
        <w:rPr>
          <w:rFonts w:asciiTheme="minorHAnsi" w:eastAsiaTheme="minorEastAsia" w:hAnsiTheme="minorHAnsi" w:cstheme="minorBidi"/>
          <w:noProof/>
          <w:kern w:val="2"/>
          <w:sz w:val="22"/>
          <w:lang w:eastAsia="cs-CZ"/>
          <w14:ligatures w14:val="standardContextual"/>
        </w:rPr>
      </w:pPr>
      <w:hyperlink w:anchor="_Toc174080901" w:history="1">
        <w:r w:rsidRPr="005A0020">
          <w:rPr>
            <w:rStyle w:val="Hypertextovodkaz"/>
            <w:noProof/>
            <w:lang w:eastAsia="cs-CZ"/>
          </w:rPr>
          <w:t>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Vrchní soudy</w:t>
        </w:r>
        <w:r>
          <w:rPr>
            <w:noProof/>
            <w:webHidden/>
          </w:rPr>
          <w:tab/>
        </w:r>
        <w:r>
          <w:rPr>
            <w:noProof/>
            <w:webHidden/>
          </w:rPr>
          <w:fldChar w:fldCharType="begin"/>
        </w:r>
        <w:r>
          <w:rPr>
            <w:noProof/>
            <w:webHidden/>
          </w:rPr>
          <w:instrText xml:space="preserve"> PAGEREF _Toc174080901 \h </w:instrText>
        </w:r>
        <w:r>
          <w:rPr>
            <w:noProof/>
            <w:webHidden/>
          </w:rPr>
        </w:r>
        <w:r>
          <w:rPr>
            <w:noProof/>
            <w:webHidden/>
          </w:rPr>
          <w:fldChar w:fldCharType="separate"/>
        </w:r>
        <w:r>
          <w:rPr>
            <w:noProof/>
            <w:webHidden/>
          </w:rPr>
          <w:t>140</w:t>
        </w:r>
        <w:r>
          <w:rPr>
            <w:noProof/>
            <w:webHidden/>
          </w:rPr>
          <w:fldChar w:fldCharType="end"/>
        </w:r>
      </w:hyperlink>
    </w:p>
    <w:p w14:paraId="134384CF" w14:textId="47087AF6"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02" w:history="1">
        <w:r w:rsidRPr="005A0020">
          <w:rPr>
            <w:rStyle w:val="Hypertextovodkaz"/>
            <w:lang w:eastAsia="cs-CZ"/>
          </w:rPr>
          <w:t>4.1</w:t>
        </w:r>
        <w:r>
          <w:rPr>
            <w:rFonts w:asciiTheme="minorHAnsi" w:eastAsiaTheme="minorEastAsia" w:hAnsiTheme="minorHAnsi" w:cstheme="minorBidi"/>
            <w:kern w:val="2"/>
            <w:sz w:val="22"/>
            <w:lang w:eastAsia="cs-CZ"/>
            <w14:ligatures w14:val="standardContextual"/>
          </w:rPr>
          <w:tab/>
        </w:r>
        <w:r w:rsidRPr="005A0020">
          <w:rPr>
            <w:rStyle w:val="Hypertextovodkaz"/>
            <w:lang w:eastAsia="cs-CZ"/>
          </w:rPr>
          <w:t>Personál</w:t>
        </w:r>
        <w:r>
          <w:rPr>
            <w:webHidden/>
          </w:rPr>
          <w:tab/>
        </w:r>
        <w:r>
          <w:rPr>
            <w:webHidden/>
          </w:rPr>
          <w:fldChar w:fldCharType="begin"/>
        </w:r>
        <w:r>
          <w:rPr>
            <w:webHidden/>
          </w:rPr>
          <w:instrText xml:space="preserve"> PAGEREF _Toc174080902 \h </w:instrText>
        </w:r>
        <w:r>
          <w:rPr>
            <w:webHidden/>
          </w:rPr>
        </w:r>
        <w:r>
          <w:rPr>
            <w:webHidden/>
          </w:rPr>
          <w:fldChar w:fldCharType="separate"/>
        </w:r>
        <w:r>
          <w:rPr>
            <w:webHidden/>
          </w:rPr>
          <w:t>140</w:t>
        </w:r>
        <w:r>
          <w:rPr>
            <w:webHidden/>
          </w:rPr>
          <w:fldChar w:fldCharType="end"/>
        </w:r>
      </w:hyperlink>
    </w:p>
    <w:p w14:paraId="204AA9FB" w14:textId="229C7300"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03" w:history="1">
        <w:r w:rsidRPr="005A0020">
          <w:rPr>
            <w:rStyle w:val="Hypertextovodkaz"/>
            <w:noProof/>
            <w:lang w:eastAsia="cs-CZ"/>
          </w:rPr>
          <w:t>4.1.1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Soudci</w:t>
        </w:r>
        <w:r>
          <w:rPr>
            <w:noProof/>
            <w:webHidden/>
          </w:rPr>
          <w:tab/>
        </w:r>
        <w:r>
          <w:rPr>
            <w:noProof/>
            <w:webHidden/>
          </w:rPr>
          <w:fldChar w:fldCharType="begin"/>
        </w:r>
        <w:r>
          <w:rPr>
            <w:noProof/>
            <w:webHidden/>
          </w:rPr>
          <w:instrText xml:space="preserve"> PAGEREF _Toc174080903 \h </w:instrText>
        </w:r>
        <w:r>
          <w:rPr>
            <w:noProof/>
            <w:webHidden/>
          </w:rPr>
        </w:r>
        <w:r>
          <w:rPr>
            <w:noProof/>
            <w:webHidden/>
          </w:rPr>
          <w:fldChar w:fldCharType="separate"/>
        </w:r>
        <w:r>
          <w:rPr>
            <w:noProof/>
            <w:webHidden/>
          </w:rPr>
          <w:t>140</w:t>
        </w:r>
        <w:r>
          <w:rPr>
            <w:noProof/>
            <w:webHidden/>
          </w:rPr>
          <w:fldChar w:fldCharType="end"/>
        </w:r>
      </w:hyperlink>
    </w:p>
    <w:p w14:paraId="6B67BF2C" w14:textId="0895F034"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04" w:history="1">
        <w:r w:rsidRPr="005A0020">
          <w:rPr>
            <w:rStyle w:val="Hypertextovodkaz"/>
            <w:noProof/>
            <w:lang w:eastAsia="cs-CZ"/>
          </w:rPr>
          <w:t>4.1.2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Zaměstnanci ve výkonu</w:t>
        </w:r>
        <w:r>
          <w:rPr>
            <w:noProof/>
            <w:webHidden/>
          </w:rPr>
          <w:tab/>
        </w:r>
        <w:r>
          <w:rPr>
            <w:noProof/>
            <w:webHidden/>
          </w:rPr>
          <w:fldChar w:fldCharType="begin"/>
        </w:r>
        <w:r>
          <w:rPr>
            <w:noProof/>
            <w:webHidden/>
          </w:rPr>
          <w:instrText xml:space="preserve"> PAGEREF _Toc174080904 \h </w:instrText>
        </w:r>
        <w:r>
          <w:rPr>
            <w:noProof/>
            <w:webHidden/>
          </w:rPr>
        </w:r>
        <w:r>
          <w:rPr>
            <w:noProof/>
            <w:webHidden/>
          </w:rPr>
          <w:fldChar w:fldCharType="separate"/>
        </w:r>
        <w:r>
          <w:rPr>
            <w:noProof/>
            <w:webHidden/>
          </w:rPr>
          <w:t>144</w:t>
        </w:r>
        <w:r>
          <w:rPr>
            <w:noProof/>
            <w:webHidden/>
          </w:rPr>
          <w:fldChar w:fldCharType="end"/>
        </w:r>
      </w:hyperlink>
    </w:p>
    <w:p w14:paraId="061DF5A5" w14:textId="2E18BB5C"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05" w:history="1">
        <w:r w:rsidRPr="005A0020">
          <w:rPr>
            <w:rStyle w:val="Hypertextovodkaz"/>
          </w:rPr>
          <w:t>4.2</w:t>
        </w:r>
        <w:r>
          <w:rPr>
            <w:rFonts w:asciiTheme="minorHAnsi" w:eastAsiaTheme="minorEastAsia" w:hAnsiTheme="minorHAnsi" w:cstheme="minorBidi"/>
            <w:kern w:val="2"/>
            <w:sz w:val="22"/>
            <w:lang w:eastAsia="cs-CZ"/>
            <w14:ligatures w14:val="standardContextual"/>
          </w:rPr>
          <w:tab/>
        </w:r>
        <w:r w:rsidRPr="005A0020">
          <w:rPr>
            <w:rStyle w:val="Hypertextovodkaz"/>
          </w:rPr>
          <w:t>Civilní a obchodní odvolací agenda</w:t>
        </w:r>
        <w:r>
          <w:rPr>
            <w:webHidden/>
          </w:rPr>
          <w:tab/>
        </w:r>
        <w:r>
          <w:rPr>
            <w:webHidden/>
          </w:rPr>
          <w:fldChar w:fldCharType="begin"/>
        </w:r>
        <w:r>
          <w:rPr>
            <w:webHidden/>
          </w:rPr>
          <w:instrText xml:space="preserve"> PAGEREF _Toc174080905 \h </w:instrText>
        </w:r>
        <w:r>
          <w:rPr>
            <w:webHidden/>
          </w:rPr>
        </w:r>
        <w:r>
          <w:rPr>
            <w:webHidden/>
          </w:rPr>
          <w:fldChar w:fldCharType="separate"/>
        </w:r>
        <w:r>
          <w:rPr>
            <w:webHidden/>
          </w:rPr>
          <w:t>145</w:t>
        </w:r>
        <w:r>
          <w:rPr>
            <w:webHidden/>
          </w:rPr>
          <w:fldChar w:fldCharType="end"/>
        </w:r>
      </w:hyperlink>
    </w:p>
    <w:p w14:paraId="46657BC1" w14:textId="1A7DCA33"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06" w:history="1">
        <w:r w:rsidRPr="005A0020">
          <w:rPr>
            <w:rStyle w:val="Hypertextovodkaz"/>
            <w:noProof/>
            <w:lang w:eastAsia="cs-CZ"/>
          </w:rPr>
          <w:t>4.2.1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Délka řízení</w:t>
        </w:r>
        <w:r>
          <w:rPr>
            <w:noProof/>
            <w:webHidden/>
          </w:rPr>
          <w:tab/>
        </w:r>
        <w:r>
          <w:rPr>
            <w:noProof/>
            <w:webHidden/>
          </w:rPr>
          <w:fldChar w:fldCharType="begin"/>
        </w:r>
        <w:r>
          <w:rPr>
            <w:noProof/>
            <w:webHidden/>
          </w:rPr>
          <w:instrText xml:space="preserve"> PAGEREF _Toc174080906 \h </w:instrText>
        </w:r>
        <w:r>
          <w:rPr>
            <w:noProof/>
            <w:webHidden/>
          </w:rPr>
        </w:r>
        <w:r>
          <w:rPr>
            <w:noProof/>
            <w:webHidden/>
          </w:rPr>
          <w:fldChar w:fldCharType="separate"/>
        </w:r>
        <w:r>
          <w:rPr>
            <w:noProof/>
            <w:webHidden/>
          </w:rPr>
          <w:t>145</w:t>
        </w:r>
        <w:r>
          <w:rPr>
            <w:noProof/>
            <w:webHidden/>
          </w:rPr>
          <w:fldChar w:fldCharType="end"/>
        </w:r>
      </w:hyperlink>
    </w:p>
    <w:p w14:paraId="3E497986" w14:textId="2139AE37"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07" w:history="1">
        <w:r w:rsidRPr="005A0020">
          <w:rPr>
            <w:rStyle w:val="Hypertextovodkaz"/>
            <w:noProof/>
            <w:lang w:eastAsia="cs-CZ"/>
          </w:rPr>
          <w:t>4.2.2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_Toc174080907 \h </w:instrText>
        </w:r>
        <w:r>
          <w:rPr>
            <w:noProof/>
            <w:webHidden/>
          </w:rPr>
        </w:r>
        <w:r>
          <w:rPr>
            <w:noProof/>
            <w:webHidden/>
          </w:rPr>
          <w:fldChar w:fldCharType="separate"/>
        </w:r>
        <w:r>
          <w:rPr>
            <w:noProof/>
            <w:webHidden/>
          </w:rPr>
          <w:t>146</w:t>
        </w:r>
        <w:r>
          <w:rPr>
            <w:noProof/>
            <w:webHidden/>
          </w:rPr>
          <w:fldChar w:fldCharType="end"/>
        </w:r>
      </w:hyperlink>
    </w:p>
    <w:p w14:paraId="23C7DE6D" w14:textId="109BC370"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08" w:history="1">
        <w:r w:rsidRPr="005A0020">
          <w:rPr>
            <w:rStyle w:val="Hypertextovodkaz"/>
            <w:noProof/>
            <w:lang w:eastAsia="cs-CZ"/>
          </w:rPr>
          <w:t>4.2.3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 přepočtu na soudce</w:t>
        </w:r>
        <w:r>
          <w:rPr>
            <w:noProof/>
            <w:webHidden/>
          </w:rPr>
          <w:tab/>
        </w:r>
        <w:r>
          <w:rPr>
            <w:noProof/>
            <w:webHidden/>
          </w:rPr>
          <w:fldChar w:fldCharType="begin"/>
        </w:r>
        <w:r>
          <w:rPr>
            <w:noProof/>
            <w:webHidden/>
          </w:rPr>
          <w:instrText xml:space="preserve"> PAGEREF _Toc174080908 \h </w:instrText>
        </w:r>
        <w:r>
          <w:rPr>
            <w:noProof/>
            <w:webHidden/>
          </w:rPr>
        </w:r>
        <w:r>
          <w:rPr>
            <w:noProof/>
            <w:webHidden/>
          </w:rPr>
          <w:fldChar w:fldCharType="separate"/>
        </w:r>
        <w:r>
          <w:rPr>
            <w:noProof/>
            <w:webHidden/>
          </w:rPr>
          <w:t>147</w:t>
        </w:r>
        <w:r>
          <w:rPr>
            <w:noProof/>
            <w:webHidden/>
          </w:rPr>
          <w:fldChar w:fldCharType="end"/>
        </w:r>
      </w:hyperlink>
    </w:p>
    <w:p w14:paraId="45ACBFC8" w14:textId="70A7733F"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09" w:history="1">
        <w:r w:rsidRPr="005A0020">
          <w:rPr>
            <w:rStyle w:val="Hypertextovodkaz"/>
            <w:noProof/>
            <w:lang w:eastAsia="cs-CZ"/>
          </w:rPr>
          <w:t>4.2.4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_Toc174080909 \h </w:instrText>
        </w:r>
        <w:r>
          <w:rPr>
            <w:noProof/>
            <w:webHidden/>
          </w:rPr>
        </w:r>
        <w:r>
          <w:rPr>
            <w:noProof/>
            <w:webHidden/>
          </w:rPr>
          <w:fldChar w:fldCharType="separate"/>
        </w:r>
        <w:r>
          <w:rPr>
            <w:noProof/>
            <w:webHidden/>
          </w:rPr>
          <w:t>147</w:t>
        </w:r>
        <w:r>
          <w:rPr>
            <w:noProof/>
            <w:webHidden/>
          </w:rPr>
          <w:fldChar w:fldCharType="end"/>
        </w:r>
      </w:hyperlink>
    </w:p>
    <w:p w14:paraId="0F4640BD" w14:textId="325BBEB2"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10" w:history="1">
        <w:r w:rsidRPr="005A0020">
          <w:rPr>
            <w:rStyle w:val="Hypertextovodkaz"/>
            <w:lang w:eastAsia="cs-CZ"/>
          </w:rPr>
          <w:t>4.3</w:t>
        </w:r>
        <w:r>
          <w:rPr>
            <w:rFonts w:asciiTheme="minorHAnsi" w:eastAsiaTheme="minorEastAsia" w:hAnsiTheme="minorHAnsi" w:cstheme="minorBidi"/>
            <w:kern w:val="2"/>
            <w:sz w:val="22"/>
            <w:lang w:eastAsia="cs-CZ"/>
            <w14:ligatures w14:val="standardContextual"/>
          </w:rPr>
          <w:tab/>
        </w:r>
        <w:r w:rsidRPr="005A0020">
          <w:rPr>
            <w:rStyle w:val="Hypertextovodkaz"/>
            <w:lang w:eastAsia="cs-CZ"/>
          </w:rPr>
          <w:t>Trestní odvolací agenda</w:t>
        </w:r>
        <w:r>
          <w:rPr>
            <w:webHidden/>
          </w:rPr>
          <w:tab/>
        </w:r>
        <w:r>
          <w:rPr>
            <w:webHidden/>
          </w:rPr>
          <w:fldChar w:fldCharType="begin"/>
        </w:r>
        <w:r>
          <w:rPr>
            <w:webHidden/>
          </w:rPr>
          <w:instrText xml:space="preserve"> PAGEREF _Toc174080910 \h </w:instrText>
        </w:r>
        <w:r>
          <w:rPr>
            <w:webHidden/>
          </w:rPr>
        </w:r>
        <w:r>
          <w:rPr>
            <w:webHidden/>
          </w:rPr>
          <w:fldChar w:fldCharType="separate"/>
        </w:r>
        <w:r>
          <w:rPr>
            <w:webHidden/>
          </w:rPr>
          <w:t>149</w:t>
        </w:r>
        <w:r>
          <w:rPr>
            <w:webHidden/>
          </w:rPr>
          <w:fldChar w:fldCharType="end"/>
        </w:r>
      </w:hyperlink>
    </w:p>
    <w:p w14:paraId="152E476A" w14:textId="2ED6DEA9"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11" w:history="1">
        <w:r w:rsidRPr="005A0020">
          <w:rPr>
            <w:rStyle w:val="Hypertextovodkaz"/>
            <w:noProof/>
            <w:lang w:eastAsia="cs-CZ"/>
          </w:rPr>
          <w:t>4.3.1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Délka řízení</w:t>
        </w:r>
        <w:r>
          <w:rPr>
            <w:noProof/>
            <w:webHidden/>
          </w:rPr>
          <w:tab/>
        </w:r>
        <w:r>
          <w:rPr>
            <w:noProof/>
            <w:webHidden/>
          </w:rPr>
          <w:fldChar w:fldCharType="begin"/>
        </w:r>
        <w:r>
          <w:rPr>
            <w:noProof/>
            <w:webHidden/>
          </w:rPr>
          <w:instrText xml:space="preserve"> PAGEREF _Toc174080911 \h </w:instrText>
        </w:r>
        <w:r>
          <w:rPr>
            <w:noProof/>
            <w:webHidden/>
          </w:rPr>
        </w:r>
        <w:r>
          <w:rPr>
            <w:noProof/>
            <w:webHidden/>
          </w:rPr>
          <w:fldChar w:fldCharType="separate"/>
        </w:r>
        <w:r>
          <w:rPr>
            <w:noProof/>
            <w:webHidden/>
          </w:rPr>
          <w:t>149</w:t>
        </w:r>
        <w:r>
          <w:rPr>
            <w:noProof/>
            <w:webHidden/>
          </w:rPr>
          <w:fldChar w:fldCharType="end"/>
        </w:r>
      </w:hyperlink>
    </w:p>
    <w:p w14:paraId="2B765C31" w14:textId="52F5676C"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12" w:history="1">
        <w:r w:rsidRPr="005A0020">
          <w:rPr>
            <w:rStyle w:val="Hypertextovodkaz"/>
            <w:noProof/>
            <w:lang w:eastAsia="cs-CZ"/>
          </w:rPr>
          <w:t>4.3.2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_Toc174080912 \h </w:instrText>
        </w:r>
        <w:r>
          <w:rPr>
            <w:noProof/>
            <w:webHidden/>
          </w:rPr>
        </w:r>
        <w:r>
          <w:rPr>
            <w:noProof/>
            <w:webHidden/>
          </w:rPr>
          <w:fldChar w:fldCharType="separate"/>
        </w:r>
        <w:r>
          <w:rPr>
            <w:noProof/>
            <w:webHidden/>
          </w:rPr>
          <w:t>150</w:t>
        </w:r>
        <w:r>
          <w:rPr>
            <w:noProof/>
            <w:webHidden/>
          </w:rPr>
          <w:fldChar w:fldCharType="end"/>
        </w:r>
      </w:hyperlink>
    </w:p>
    <w:p w14:paraId="76BB7D7E" w14:textId="6B3B4005"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13" w:history="1">
        <w:r w:rsidRPr="005A0020">
          <w:rPr>
            <w:rStyle w:val="Hypertextovodkaz"/>
            <w:noProof/>
            <w:lang w:eastAsia="cs-CZ"/>
          </w:rPr>
          <w:t>4.3.3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 v přepočtu na soudce</w:t>
        </w:r>
        <w:r>
          <w:rPr>
            <w:noProof/>
            <w:webHidden/>
          </w:rPr>
          <w:tab/>
        </w:r>
        <w:r>
          <w:rPr>
            <w:noProof/>
            <w:webHidden/>
          </w:rPr>
          <w:fldChar w:fldCharType="begin"/>
        </w:r>
        <w:r>
          <w:rPr>
            <w:noProof/>
            <w:webHidden/>
          </w:rPr>
          <w:instrText xml:space="preserve"> PAGEREF _Toc174080913 \h </w:instrText>
        </w:r>
        <w:r>
          <w:rPr>
            <w:noProof/>
            <w:webHidden/>
          </w:rPr>
        </w:r>
        <w:r>
          <w:rPr>
            <w:noProof/>
            <w:webHidden/>
          </w:rPr>
          <w:fldChar w:fldCharType="separate"/>
        </w:r>
        <w:r>
          <w:rPr>
            <w:noProof/>
            <w:webHidden/>
          </w:rPr>
          <w:t>151</w:t>
        </w:r>
        <w:r>
          <w:rPr>
            <w:noProof/>
            <w:webHidden/>
          </w:rPr>
          <w:fldChar w:fldCharType="end"/>
        </w:r>
      </w:hyperlink>
    </w:p>
    <w:p w14:paraId="11CA45BC" w14:textId="25C8C49B"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14" w:history="1">
        <w:r w:rsidRPr="005A0020">
          <w:rPr>
            <w:rStyle w:val="Hypertextovodkaz"/>
            <w:noProof/>
            <w:lang w:eastAsia="cs-CZ"/>
          </w:rPr>
          <w:t>4.3.4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Disposition time</w:t>
        </w:r>
        <w:r>
          <w:rPr>
            <w:noProof/>
            <w:webHidden/>
          </w:rPr>
          <w:tab/>
        </w:r>
        <w:r>
          <w:rPr>
            <w:noProof/>
            <w:webHidden/>
          </w:rPr>
          <w:fldChar w:fldCharType="begin"/>
        </w:r>
        <w:r>
          <w:rPr>
            <w:noProof/>
            <w:webHidden/>
          </w:rPr>
          <w:instrText xml:space="preserve"> PAGEREF _Toc174080914 \h </w:instrText>
        </w:r>
        <w:r>
          <w:rPr>
            <w:noProof/>
            <w:webHidden/>
          </w:rPr>
        </w:r>
        <w:r>
          <w:rPr>
            <w:noProof/>
            <w:webHidden/>
          </w:rPr>
          <w:fldChar w:fldCharType="separate"/>
        </w:r>
        <w:r>
          <w:rPr>
            <w:noProof/>
            <w:webHidden/>
          </w:rPr>
          <w:t>151</w:t>
        </w:r>
        <w:r>
          <w:rPr>
            <w:noProof/>
            <w:webHidden/>
          </w:rPr>
          <w:fldChar w:fldCharType="end"/>
        </w:r>
      </w:hyperlink>
    </w:p>
    <w:p w14:paraId="17E1F39F" w14:textId="65F85A5B"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15" w:history="1">
        <w:r w:rsidRPr="005A0020">
          <w:rPr>
            <w:rStyle w:val="Hypertextovodkaz"/>
          </w:rPr>
          <w:t>4.4</w:t>
        </w:r>
        <w:r>
          <w:rPr>
            <w:rFonts w:asciiTheme="minorHAnsi" w:eastAsiaTheme="minorEastAsia" w:hAnsiTheme="minorHAnsi" w:cstheme="minorBidi"/>
            <w:kern w:val="2"/>
            <w:sz w:val="22"/>
            <w:lang w:eastAsia="cs-CZ"/>
            <w14:ligatures w14:val="standardContextual"/>
          </w:rPr>
          <w:tab/>
        </w:r>
        <w:r w:rsidRPr="005A0020">
          <w:rPr>
            <w:rStyle w:val="Hypertextovodkaz"/>
          </w:rPr>
          <w:t>Insolvenční agenda – II. Stupeň</w:t>
        </w:r>
        <w:r>
          <w:rPr>
            <w:webHidden/>
          </w:rPr>
          <w:tab/>
        </w:r>
        <w:r>
          <w:rPr>
            <w:webHidden/>
          </w:rPr>
          <w:fldChar w:fldCharType="begin"/>
        </w:r>
        <w:r>
          <w:rPr>
            <w:webHidden/>
          </w:rPr>
          <w:instrText xml:space="preserve"> PAGEREF _Toc174080915 \h </w:instrText>
        </w:r>
        <w:r>
          <w:rPr>
            <w:webHidden/>
          </w:rPr>
        </w:r>
        <w:r>
          <w:rPr>
            <w:webHidden/>
          </w:rPr>
          <w:fldChar w:fldCharType="separate"/>
        </w:r>
        <w:r>
          <w:rPr>
            <w:webHidden/>
          </w:rPr>
          <w:t>153</w:t>
        </w:r>
        <w:r>
          <w:rPr>
            <w:webHidden/>
          </w:rPr>
          <w:fldChar w:fldCharType="end"/>
        </w:r>
      </w:hyperlink>
    </w:p>
    <w:p w14:paraId="524BE8B0" w14:textId="676C5299"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16" w:history="1">
        <w:r w:rsidRPr="005A0020">
          <w:rPr>
            <w:rStyle w:val="Hypertextovodkaz"/>
            <w:noProof/>
            <w:lang w:eastAsia="cs-CZ"/>
          </w:rPr>
          <w:t>4.4.1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_Toc174080916 \h </w:instrText>
        </w:r>
        <w:r>
          <w:rPr>
            <w:noProof/>
            <w:webHidden/>
          </w:rPr>
        </w:r>
        <w:r>
          <w:rPr>
            <w:noProof/>
            <w:webHidden/>
          </w:rPr>
          <w:fldChar w:fldCharType="separate"/>
        </w:r>
        <w:r>
          <w:rPr>
            <w:noProof/>
            <w:webHidden/>
          </w:rPr>
          <w:t>153</w:t>
        </w:r>
        <w:r>
          <w:rPr>
            <w:noProof/>
            <w:webHidden/>
          </w:rPr>
          <w:fldChar w:fldCharType="end"/>
        </w:r>
      </w:hyperlink>
    </w:p>
    <w:p w14:paraId="452A7E2E" w14:textId="7E2C2525"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17" w:history="1">
        <w:r w:rsidRPr="005A0020">
          <w:rPr>
            <w:rStyle w:val="Hypertextovodkaz"/>
            <w:noProof/>
            <w:lang w:eastAsia="cs-CZ"/>
          </w:rPr>
          <w:t>4.4.2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_Toc174080917 \h </w:instrText>
        </w:r>
        <w:r>
          <w:rPr>
            <w:noProof/>
            <w:webHidden/>
          </w:rPr>
        </w:r>
        <w:r>
          <w:rPr>
            <w:noProof/>
            <w:webHidden/>
          </w:rPr>
          <w:fldChar w:fldCharType="separate"/>
        </w:r>
        <w:r>
          <w:rPr>
            <w:noProof/>
            <w:webHidden/>
          </w:rPr>
          <w:t>154</w:t>
        </w:r>
        <w:r>
          <w:rPr>
            <w:noProof/>
            <w:webHidden/>
          </w:rPr>
          <w:fldChar w:fldCharType="end"/>
        </w:r>
      </w:hyperlink>
    </w:p>
    <w:p w14:paraId="0A37872D" w14:textId="4D6B368B"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18" w:history="1">
        <w:r w:rsidRPr="005A0020">
          <w:rPr>
            <w:rStyle w:val="Hypertextovodkaz"/>
          </w:rPr>
          <w:t>4.5</w:t>
        </w:r>
        <w:r>
          <w:rPr>
            <w:rFonts w:asciiTheme="minorHAnsi" w:eastAsiaTheme="minorEastAsia" w:hAnsiTheme="minorHAnsi" w:cstheme="minorBidi"/>
            <w:kern w:val="2"/>
            <w:sz w:val="22"/>
            <w:lang w:eastAsia="cs-CZ"/>
            <w14:ligatures w14:val="standardContextual"/>
          </w:rPr>
          <w:tab/>
        </w:r>
        <w:r w:rsidRPr="005A0020">
          <w:rPr>
            <w:rStyle w:val="Hypertextovodkaz"/>
          </w:rPr>
          <w:t>Incidenční spory – II. Stupeň</w:t>
        </w:r>
        <w:r>
          <w:rPr>
            <w:webHidden/>
          </w:rPr>
          <w:tab/>
        </w:r>
        <w:r>
          <w:rPr>
            <w:webHidden/>
          </w:rPr>
          <w:fldChar w:fldCharType="begin"/>
        </w:r>
        <w:r>
          <w:rPr>
            <w:webHidden/>
          </w:rPr>
          <w:instrText xml:space="preserve"> PAGEREF _Toc174080918 \h </w:instrText>
        </w:r>
        <w:r>
          <w:rPr>
            <w:webHidden/>
          </w:rPr>
        </w:r>
        <w:r>
          <w:rPr>
            <w:webHidden/>
          </w:rPr>
          <w:fldChar w:fldCharType="separate"/>
        </w:r>
        <w:r>
          <w:rPr>
            <w:webHidden/>
          </w:rPr>
          <w:t>156</w:t>
        </w:r>
        <w:r>
          <w:rPr>
            <w:webHidden/>
          </w:rPr>
          <w:fldChar w:fldCharType="end"/>
        </w:r>
      </w:hyperlink>
    </w:p>
    <w:p w14:paraId="0F49825F" w14:textId="1FBD1F98"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19" w:history="1">
        <w:r w:rsidRPr="005A0020">
          <w:rPr>
            <w:rStyle w:val="Hypertextovodkaz"/>
            <w:noProof/>
          </w:rPr>
          <w:t>4.5.1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Délka řízení</w:t>
        </w:r>
        <w:r>
          <w:rPr>
            <w:noProof/>
            <w:webHidden/>
          </w:rPr>
          <w:tab/>
        </w:r>
        <w:r>
          <w:rPr>
            <w:noProof/>
            <w:webHidden/>
          </w:rPr>
          <w:fldChar w:fldCharType="begin"/>
        </w:r>
        <w:r>
          <w:rPr>
            <w:noProof/>
            <w:webHidden/>
          </w:rPr>
          <w:instrText xml:space="preserve"> PAGEREF _Toc174080919 \h </w:instrText>
        </w:r>
        <w:r>
          <w:rPr>
            <w:noProof/>
            <w:webHidden/>
          </w:rPr>
        </w:r>
        <w:r>
          <w:rPr>
            <w:noProof/>
            <w:webHidden/>
          </w:rPr>
          <w:fldChar w:fldCharType="separate"/>
        </w:r>
        <w:r>
          <w:rPr>
            <w:noProof/>
            <w:webHidden/>
          </w:rPr>
          <w:t>156</w:t>
        </w:r>
        <w:r>
          <w:rPr>
            <w:noProof/>
            <w:webHidden/>
          </w:rPr>
          <w:fldChar w:fldCharType="end"/>
        </w:r>
      </w:hyperlink>
    </w:p>
    <w:p w14:paraId="121B32C2" w14:textId="6A12BC87"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20" w:history="1">
        <w:r w:rsidRPr="005A0020">
          <w:rPr>
            <w:rStyle w:val="Hypertextovodkaz"/>
            <w:noProof/>
            <w:lang w:eastAsia="cs-CZ"/>
          </w:rPr>
          <w:t>4.5.2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_Toc174080920 \h </w:instrText>
        </w:r>
        <w:r>
          <w:rPr>
            <w:noProof/>
            <w:webHidden/>
          </w:rPr>
        </w:r>
        <w:r>
          <w:rPr>
            <w:noProof/>
            <w:webHidden/>
          </w:rPr>
          <w:fldChar w:fldCharType="separate"/>
        </w:r>
        <w:r>
          <w:rPr>
            <w:noProof/>
            <w:webHidden/>
          </w:rPr>
          <w:t>157</w:t>
        </w:r>
        <w:r>
          <w:rPr>
            <w:noProof/>
            <w:webHidden/>
          </w:rPr>
          <w:fldChar w:fldCharType="end"/>
        </w:r>
      </w:hyperlink>
    </w:p>
    <w:p w14:paraId="3876F174" w14:textId="150BBBB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21" w:history="1">
        <w:r w:rsidRPr="005A0020">
          <w:rPr>
            <w:rStyle w:val="Hypertextovodkaz"/>
            <w:noProof/>
            <w:lang w:eastAsia="cs-CZ"/>
          </w:rPr>
          <w:t>4.5.3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Disposition time (dispoziční čas)</w:t>
        </w:r>
        <w:r>
          <w:rPr>
            <w:noProof/>
            <w:webHidden/>
          </w:rPr>
          <w:tab/>
        </w:r>
        <w:r>
          <w:rPr>
            <w:noProof/>
            <w:webHidden/>
          </w:rPr>
          <w:fldChar w:fldCharType="begin"/>
        </w:r>
        <w:r>
          <w:rPr>
            <w:noProof/>
            <w:webHidden/>
          </w:rPr>
          <w:instrText xml:space="preserve"> PAGEREF _Toc174080921 \h </w:instrText>
        </w:r>
        <w:r>
          <w:rPr>
            <w:noProof/>
            <w:webHidden/>
          </w:rPr>
        </w:r>
        <w:r>
          <w:rPr>
            <w:noProof/>
            <w:webHidden/>
          </w:rPr>
          <w:fldChar w:fldCharType="separate"/>
        </w:r>
        <w:r>
          <w:rPr>
            <w:noProof/>
            <w:webHidden/>
          </w:rPr>
          <w:t>158</w:t>
        </w:r>
        <w:r>
          <w:rPr>
            <w:noProof/>
            <w:webHidden/>
          </w:rPr>
          <w:fldChar w:fldCharType="end"/>
        </w:r>
      </w:hyperlink>
    </w:p>
    <w:p w14:paraId="4619B2BA" w14:textId="618C806C" w:rsidR="00551497" w:rsidRDefault="00551497">
      <w:pPr>
        <w:pStyle w:val="Obsah1"/>
        <w:tabs>
          <w:tab w:val="left" w:pos="482"/>
        </w:tabs>
        <w:rPr>
          <w:rFonts w:asciiTheme="minorHAnsi" w:eastAsiaTheme="minorEastAsia" w:hAnsiTheme="minorHAnsi" w:cstheme="minorBidi"/>
          <w:noProof/>
          <w:kern w:val="2"/>
          <w:sz w:val="22"/>
          <w:lang w:eastAsia="cs-CZ"/>
          <w14:ligatures w14:val="standardContextual"/>
        </w:rPr>
      </w:pPr>
      <w:hyperlink w:anchor="_Toc174080922" w:history="1">
        <w:r w:rsidRPr="005A0020">
          <w:rPr>
            <w:rStyle w:val="Hypertextovodkaz"/>
            <w:noProof/>
            <w:lang w:eastAsia="cs-CZ"/>
          </w:rPr>
          <w:t>5</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Nejvyšší soud</w:t>
        </w:r>
        <w:r>
          <w:rPr>
            <w:noProof/>
            <w:webHidden/>
          </w:rPr>
          <w:tab/>
        </w:r>
        <w:r>
          <w:rPr>
            <w:noProof/>
            <w:webHidden/>
          </w:rPr>
          <w:fldChar w:fldCharType="begin"/>
        </w:r>
        <w:r>
          <w:rPr>
            <w:noProof/>
            <w:webHidden/>
          </w:rPr>
          <w:instrText xml:space="preserve"> PAGEREF _Toc174080922 \h </w:instrText>
        </w:r>
        <w:r>
          <w:rPr>
            <w:noProof/>
            <w:webHidden/>
          </w:rPr>
        </w:r>
        <w:r>
          <w:rPr>
            <w:noProof/>
            <w:webHidden/>
          </w:rPr>
          <w:fldChar w:fldCharType="separate"/>
        </w:r>
        <w:r>
          <w:rPr>
            <w:noProof/>
            <w:webHidden/>
          </w:rPr>
          <w:t>159</w:t>
        </w:r>
        <w:r>
          <w:rPr>
            <w:noProof/>
            <w:webHidden/>
          </w:rPr>
          <w:fldChar w:fldCharType="end"/>
        </w:r>
      </w:hyperlink>
    </w:p>
    <w:p w14:paraId="62EA5D43" w14:textId="663F3283"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23" w:history="1">
        <w:r w:rsidRPr="005A0020">
          <w:rPr>
            <w:rStyle w:val="Hypertextovodkaz"/>
            <w:lang w:eastAsia="cs-CZ"/>
          </w:rPr>
          <w:t>5.1</w:t>
        </w:r>
        <w:r>
          <w:rPr>
            <w:rFonts w:asciiTheme="minorHAnsi" w:eastAsiaTheme="minorEastAsia" w:hAnsiTheme="minorHAnsi" w:cstheme="minorBidi"/>
            <w:kern w:val="2"/>
            <w:sz w:val="22"/>
            <w:lang w:eastAsia="cs-CZ"/>
            <w14:ligatures w14:val="standardContextual"/>
          </w:rPr>
          <w:tab/>
        </w:r>
        <w:r w:rsidRPr="005A0020">
          <w:rPr>
            <w:rStyle w:val="Hypertextovodkaz"/>
            <w:lang w:eastAsia="cs-CZ"/>
          </w:rPr>
          <w:t>Personál</w:t>
        </w:r>
        <w:r>
          <w:rPr>
            <w:webHidden/>
          </w:rPr>
          <w:tab/>
        </w:r>
        <w:r>
          <w:rPr>
            <w:webHidden/>
          </w:rPr>
          <w:fldChar w:fldCharType="begin"/>
        </w:r>
        <w:r>
          <w:rPr>
            <w:webHidden/>
          </w:rPr>
          <w:instrText xml:space="preserve"> PAGEREF _Toc174080923 \h </w:instrText>
        </w:r>
        <w:r>
          <w:rPr>
            <w:webHidden/>
          </w:rPr>
        </w:r>
        <w:r>
          <w:rPr>
            <w:webHidden/>
          </w:rPr>
          <w:fldChar w:fldCharType="separate"/>
        </w:r>
        <w:r>
          <w:rPr>
            <w:webHidden/>
          </w:rPr>
          <w:t>159</w:t>
        </w:r>
        <w:r>
          <w:rPr>
            <w:webHidden/>
          </w:rPr>
          <w:fldChar w:fldCharType="end"/>
        </w:r>
      </w:hyperlink>
    </w:p>
    <w:p w14:paraId="5408CF6C" w14:textId="19E262B8"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24" w:history="1">
        <w:r w:rsidRPr="005A0020">
          <w:rPr>
            <w:rStyle w:val="Hypertextovodkaz"/>
            <w:noProof/>
            <w:lang w:eastAsia="cs-CZ"/>
          </w:rPr>
          <w:t>5.1.1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Soudci</w:t>
        </w:r>
        <w:r>
          <w:rPr>
            <w:noProof/>
            <w:webHidden/>
          </w:rPr>
          <w:tab/>
        </w:r>
        <w:r>
          <w:rPr>
            <w:noProof/>
            <w:webHidden/>
          </w:rPr>
          <w:fldChar w:fldCharType="begin"/>
        </w:r>
        <w:r>
          <w:rPr>
            <w:noProof/>
            <w:webHidden/>
          </w:rPr>
          <w:instrText xml:space="preserve"> PAGEREF _Toc174080924 \h </w:instrText>
        </w:r>
        <w:r>
          <w:rPr>
            <w:noProof/>
            <w:webHidden/>
          </w:rPr>
        </w:r>
        <w:r>
          <w:rPr>
            <w:noProof/>
            <w:webHidden/>
          </w:rPr>
          <w:fldChar w:fldCharType="separate"/>
        </w:r>
        <w:r>
          <w:rPr>
            <w:noProof/>
            <w:webHidden/>
          </w:rPr>
          <w:t>159</w:t>
        </w:r>
        <w:r>
          <w:rPr>
            <w:noProof/>
            <w:webHidden/>
          </w:rPr>
          <w:fldChar w:fldCharType="end"/>
        </w:r>
      </w:hyperlink>
    </w:p>
    <w:p w14:paraId="710A3447" w14:textId="1F5C008F"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25" w:history="1">
        <w:r w:rsidRPr="005A0020">
          <w:rPr>
            <w:rStyle w:val="Hypertextovodkaz"/>
            <w:noProof/>
            <w:lang w:eastAsia="cs-CZ"/>
          </w:rPr>
          <w:t>5.1.2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Zaměstnanci ve výkonu</w:t>
        </w:r>
        <w:r>
          <w:rPr>
            <w:noProof/>
            <w:webHidden/>
          </w:rPr>
          <w:tab/>
        </w:r>
        <w:r>
          <w:rPr>
            <w:noProof/>
            <w:webHidden/>
          </w:rPr>
          <w:fldChar w:fldCharType="begin"/>
        </w:r>
        <w:r>
          <w:rPr>
            <w:noProof/>
            <w:webHidden/>
          </w:rPr>
          <w:instrText xml:space="preserve"> PAGEREF _Toc174080925 \h </w:instrText>
        </w:r>
        <w:r>
          <w:rPr>
            <w:noProof/>
            <w:webHidden/>
          </w:rPr>
        </w:r>
        <w:r>
          <w:rPr>
            <w:noProof/>
            <w:webHidden/>
          </w:rPr>
          <w:fldChar w:fldCharType="separate"/>
        </w:r>
        <w:r>
          <w:rPr>
            <w:noProof/>
            <w:webHidden/>
          </w:rPr>
          <w:t>162</w:t>
        </w:r>
        <w:r>
          <w:rPr>
            <w:noProof/>
            <w:webHidden/>
          </w:rPr>
          <w:fldChar w:fldCharType="end"/>
        </w:r>
      </w:hyperlink>
    </w:p>
    <w:p w14:paraId="2F848407" w14:textId="3CEE15E5"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26" w:history="1">
        <w:r w:rsidRPr="005A0020">
          <w:rPr>
            <w:rStyle w:val="Hypertextovodkaz"/>
            <w:lang w:eastAsia="cs-CZ"/>
          </w:rPr>
          <w:t>5.2</w:t>
        </w:r>
        <w:r>
          <w:rPr>
            <w:rFonts w:asciiTheme="minorHAnsi" w:eastAsiaTheme="minorEastAsia" w:hAnsiTheme="minorHAnsi" w:cstheme="minorBidi"/>
            <w:kern w:val="2"/>
            <w:sz w:val="22"/>
            <w:lang w:eastAsia="cs-CZ"/>
            <w14:ligatures w14:val="standardContextual"/>
          </w:rPr>
          <w:tab/>
        </w:r>
        <w:r w:rsidRPr="005A0020">
          <w:rPr>
            <w:rStyle w:val="Hypertextovodkaz"/>
            <w:lang w:eastAsia="cs-CZ"/>
          </w:rPr>
          <w:t>Civilní dovolací agenda</w:t>
        </w:r>
        <w:r>
          <w:rPr>
            <w:webHidden/>
          </w:rPr>
          <w:tab/>
        </w:r>
        <w:r>
          <w:rPr>
            <w:webHidden/>
          </w:rPr>
          <w:fldChar w:fldCharType="begin"/>
        </w:r>
        <w:r>
          <w:rPr>
            <w:webHidden/>
          </w:rPr>
          <w:instrText xml:space="preserve"> PAGEREF _Toc174080926 \h </w:instrText>
        </w:r>
        <w:r>
          <w:rPr>
            <w:webHidden/>
          </w:rPr>
        </w:r>
        <w:r>
          <w:rPr>
            <w:webHidden/>
          </w:rPr>
          <w:fldChar w:fldCharType="separate"/>
        </w:r>
        <w:r>
          <w:rPr>
            <w:webHidden/>
          </w:rPr>
          <w:t>163</w:t>
        </w:r>
        <w:r>
          <w:rPr>
            <w:webHidden/>
          </w:rPr>
          <w:fldChar w:fldCharType="end"/>
        </w:r>
      </w:hyperlink>
    </w:p>
    <w:p w14:paraId="09C9BA51" w14:textId="398AA14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27" w:history="1">
        <w:r w:rsidRPr="005A0020">
          <w:rPr>
            <w:rStyle w:val="Hypertextovodkaz"/>
            <w:noProof/>
            <w:lang w:eastAsia="cs-CZ"/>
          </w:rPr>
          <w:t>5.2.1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_Toc174080927 \h </w:instrText>
        </w:r>
        <w:r>
          <w:rPr>
            <w:noProof/>
            <w:webHidden/>
          </w:rPr>
        </w:r>
        <w:r>
          <w:rPr>
            <w:noProof/>
            <w:webHidden/>
          </w:rPr>
          <w:fldChar w:fldCharType="separate"/>
        </w:r>
        <w:r>
          <w:rPr>
            <w:noProof/>
            <w:webHidden/>
          </w:rPr>
          <w:t>163</w:t>
        </w:r>
        <w:r>
          <w:rPr>
            <w:noProof/>
            <w:webHidden/>
          </w:rPr>
          <w:fldChar w:fldCharType="end"/>
        </w:r>
      </w:hyperlink>
    </w:p>
    <w:p w14:paraId="1AFD6AA1" w14:textId="424C9DD8"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28" w:history="1">
        <w:r w:rsidRPr="005A0020">
          <w:rPr>
            <w:rStyle w:val="Hypertextovodkaz"/>
          </w:rPr>
          <w:t>5.3</w:t>
        </w:r>
        <w:r>
          <w:rPr>
            <w:rFonts w:asciiTheme="minorHAnsi" w:eastAsiaTheme="minorEastAsia" w:hAnsiTheme="minorHAnsi" w:cstheme="minorBidi"/>
            <w:kern w:val="2"/>
            <w:sz w:val="22"/>
            <w:lang w:eastAsia="cs-CZ"/>
            <w14:ligatures w14:val="standardContextual"/>
          </w:rPr>
          <w:tab/>
        </w:r>
        <w:r w:rsidRPr="005A0020">
          <w:rPr>
            <w:rStyle w:val="Hypertextovodkaz"/>
          </w:rPr>
          <w:t>Trestní dovolací agenda</w:t>
        </w:r>
        <w:r>
          <w:rPr>
            <w:webHidden/>
          </w:rPr>
          <w:tab/>
        </w:r>
        <w:r>
          <w:rPr>
            <w:webHidden/>
          </w:rPr>
          <w:fldChar w:fldCharType="begin"/>
        </w:r>
        <w:r>
          <w:rPr>
            <w:webHidden/>
          </w:rPr>
          <w:instrText xml:space="preserve"> PAGEREF _Toc174080928 \h </w:instrText>
        </w:r>
        <w:r>
          <w:rPr>
            <w:webHidden/>
          </w:rPr>
        </w:r>
        <w:r>
          <w:rPr>
            <w:webHidden/>
          </w:rPr>
          <w:fldChar w:fldCharType="separate"/>
        </w:r>
        <w:r>
          <w:rPr>
            <w:webHidden/>
          </w:rPr>
          <w:t>164</w:t>
        </w:r>
        <w:r>
          <w:rPr>
            <w:webHidden/>
          </w:rPr>
          <w:fldChar w:fldCharType="end"/>
        </w:r>
      </w:hyperlink>
    </w:p>
    <w:p w14:paraId="06F0549E" w14:textId="5121FE24"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29" w:history="1">
        <w:r w:rsidRPr="005A0020">
          <w:rPr>
            <w:rStyle w:val="Hypertextovodkaz"/>
            <w:noProof/>
            <w:lang w:eastAsia="cs-CZ"/>
          </w:rPr>
          <w:t>5.3.1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_Toc174080929 \h </w:instrText>
        </w:r>
        <w:r>
          <w:rPr>
            <w:noProof/>
            <w:webHidden/>
          </w:rPr>
        </w:r>
        <w:r>
          <w:rPr>
            <w:noProof/>
            <w:webHidden/>
          </w:rPr>
          <w:fldChar w:fldCharType="separate"/>
        </w:r>
        <w:r>
          <w:rPr>
            <w:noProof/>
            <w:webHidden/>
          </w:rPr>
          <w:t>164</w:t>
        </w:r>
        <w:r>
          <w:rPr>
            <w:noProof/>
            <w:webHidden/>
          </w:rPr>
          <w:fldChar w:fldCharType="end"/>
        </w:r>
      </w:hyperlink>
    </w:p>
    <w:p w14:paraId="4CEAF8BB" w14:textId="083DB784"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30" w:history="1">
        <w:r w:rsidRPr="005A0020">
          <w:rPr>
            <w:rStyle w:val="Hypertextovodkaz"/>
          </w:rPr>
          <w:t>5.4</w:t>
        </w:r>
        <w:r>
          <w:rPr>
            <w:rFonts w:asciiTheme="minorHAnsi" w:eastAsiaTheme="minorEastAsia" w:hAnsiTheme="minorHAnsi" w:cstheme="minorBidi"/>
            <w:kern w:val="2"/>
            <w:sz w:val="22"/>
            <w:lang w:eastAsia="cs-CZ"/>
            <w14:ligatures w14:val="standardContextual"/>
          </w:rPr>
          <w:tab/>
        </w:r>
        <w:r w:rsidRPr="005A0020">
          <w:rPr>
            <w:rStyle w:val="Hypertextovodkaz"/>
          </w:rPr>
          <w:t>Stížnosti pro porušení zákona</w:t>
        </w:r>
        <w:r>
          <w:rPr>
            <w:webHidden/>
          </w:rPr>
          <w:tab/>
        </w:r>
        <w:r>
          <w:rPr>
            <w:webHidden/>
          </w:rPr>
          <w:fldChar w:fldCharType="begin"/>
        </w:r>
        <w:r>
          <w:rPr>
            <w:webHidden/>
          </w:rPr>
          <w:instrText xml:space="preserve"> PAGEREF _Toc174080930 \h </w:instrText>
        </w:r>
        <w:r>
          <w:rPr>
            <w:webHidden/>
          </w:rPr>
        </w:r>
        <w:r>
          <w:rPr>
            <w:webHidden/>
          </w:rPr>
          <w:fldChar w:fldCharType="separate"/>
        </w:r>
        <w:r>
          <w:rPr>
            <w:webHidden/>
          </w:rPr>
          <w:t>165</w:t>
        </w:r>
        <w:r>
          <w:rPr>
            <w:webHidden/>
          </w:rPr>
          <w:fldChar w:fldCharType="end"/>
        </w:r>
      </w:hyperlink>
    </w:p>
    <w:p w14:paraId="6D54F4C6" w14:textId="745917B4"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31" w:history="1">
        <w:r w:rsidRPr="005A0020">
          <w:rPr>
            <w:rStyle w:val="Hypertextovodkaz"/>
            <w:noProof/>
            <w:lang w:eastAsia="cs-CZ"/>
          </w:rPr>
          <w:t>5.4.1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_Toc174080931 \h </w:instrText>
        </w:r>
        <w:r>
          <w:rPr>
            <w:noProof/>
            <w:webHidden/>
          </w:rPr>
        </w:r>
        <w:r>
          <w:rPr>
            <w:noProof/>
            <w:webHidden/>
          </w:rPr>
          <w:fldChar w:fldCharType="separate"/>
        </w:r>
        <w:r>
          <w:rPr>
            <w:noProof/>
            <w:webHidden/>
          </w:rPr>
          <w:t>165</w:t>
        </w:r>
        <w:r>
          <w:rPr>
            <w:noProof/>
            <w:webHidden/>
          </w:rPr>
          <w:fldChar w:fldCharType="end"/>
        </w:r>
      </w:hyperlink>
    </w:p>
    <w:p w14:paraId="6F3F3DC6" w14:textId="7009D53F"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32" w:history="1">
        <w:r w:rsidRPr="005A0020">
          <w:rPr>
            <w:rStyle w:val="Hypertextovodkaz"/>
          </w:rPr>
          <w:t>5.5</w:t>
        </w:r>
        <w:r>
          <w:rPr>
            <w:rFonts w:asciiTheme="minorHAnsi" w:eastAsiaTheme="minorEastAsia" w:hAnsiTheme="minorHAnsi" w:cstheme="minorBidi"/>
            <w:kern w:val="2"/>
            <w:sz w:val="22"/>
            <w:lang w:eastAsia="cs-CZ"/>
            <w14:ligatures w14:val="standardContextual"/>
          </w:rPr>
          <w:tab/>
        </w:r>
        <w:r w:rsidRPr="005A0020">
          <w:rPr>
            <w:rStyle w:val="Hypertextovodkaz"/>
          </w:rPr>
          <w:t>Insolvenční agenda</w:t>
        </w:r>
        <w:r>
          <w:rPr>
            <w:webHidden/>
          </w:rPr>
          <w:tab/>
        </w:r>
        <w:r>
          <w:rPr>
            <w:webHidden/>
          </w:rPr>
          <w:fldChar w:fldCharType="begin"/>
        </w:r>
        <w:r>
          <w:rPr>
            <w:webHidden/>
          </w:rPr>
          <w:instrText xml:space="preserve"> PAGEREF _Toc174080932 \h </w:instrText>
        </w:r>
        <w:r>
          <w:rPr>
            <w:webHidden/>
          </w:rPr>
        </w:r>
        <w:r>
          <w:rPr>
            <w:webHidden/>
          </w:rPr>
          <w:fldChar w:fldCharType="separate"/>
        </w:r>
        <w:r>
          <w:rPr>
            <w:webHidden/>
          </w:rPr>
          <w:t>166</w:t>
        </w:r>
        <w:r>
          <w:rPr>
            <w:webHidden/>
          </w:rPr>
          <w:fldChar w:fldCharType="end"/>
        </w:r>
      </w:hyperlink>
    </w:p>
    <w:p w14:paraId="6831B9DB" w14:textId="1C8BC943"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33" w:history="1">
        <w:r w:rsidRPr="005A0020">
          <w:rPr>
            <w:rStyle w:val="Hypertextovodkaz"/>
            <w:noProof/>
            <w:lang w:eastAsia="cs-CZ"/>
          </w:rPr>
          <w:t>5.5.1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_Toc174080933 \h </w:instrText>
        </w:r>
        <w:r>
          <w:rPr>
            <w:noProof/>
            <w:webHidden/>
          </w:rPr>
        </w:r>
        <w:r>
          <w:rPr>
            <w:noProof/>
            <w:webHidden/>
          </w:rPr>
          <w:fldChar w:fldCharType="separate"/>
        </w:r>
        <w:r>
          <w:rPr>
            <w:noProof/>
            <w:webHidden/>
          </w:rPr>
          <w:t>166</w:t>
        </w:r>
        <w:r>
          <w:rPr>
            <w:noProof/>
            <w:webHidden/>
          </w:rPr>
          <w:fldChar w:fldCharType="end"/>
        </w:r>
      </w:hyperlink>
    </w:p>
    <w:p w14:paraId="56B3FA2C" w14:textId="343C364C" w:rsidR="00551497" w:rsidRDefault="00551497">
      <w:pPr>
        <w:pStyle w:val="Obsah1"/>
        <w:tabs>
          <w:tab w:val="left" w:pos="482"/>
        </w:tabs>
        <w:rPr>
          <w:rFonts w:asciiTheme="minorHAnsi" w:eastAsiaTheme="minorEastAsia" w:hAnsiTheme="minorHAnsi" w:cstheme="minorBidi"/>
          <w:noProof/>
          <w:kern w:val="2"/>
          <w:sz w:val="22"/>
          <w:lang w:eastAsia="cs-CZ"/>
          <w14:ligatures w14:val="standardContextual"/>
        </w:rPr>
      </w:pPr>
      <w:hyperlink w:anchor="_Toc174080934" w:history="1">
        <w:r w:rsidRPr="005A0020">
          <w:rPr>
            <w:rStyle w:val="Hypertextovodkaz"/>
            <w:noProof/>
            <w:lang w:eastAsia="cs-CZ"/>
          </w:rPr>
          <w:t>6</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Nejvyšší správní soud</w:t>
        </w:r>
        <w:r>
          <w:rPr>
            <w:noProof/>
            <w:webHidden/>
          </w:rPr>
          <w:tab/>
        </w:r>
        <w:r>
          <w:rPr>
            <w:noProof/>
            <w:webHidden/>
          </w:rPr>
          <w:fldChar w:fldCharType="begin"/>
        </w:r>
        <w:r>
          <w:rPr>
            <w:noProof/>
            <w:webHidden/>
          </w:rPr>
          <w:instrText xml:space="preserve"> PAGEREF _Toc174080934 \h </w:instrText>
        </w:r>
        <w:r>
          <w:rPr>
            <w:noProof/>
            <w:webHidden/>
          </w:rPr>
        </w:r>
        <w:r>
          <w:rPr>
            <w:noProof/>
            <w:webHidden/>
          </w:rPr>
          <w:fldChar w:fldCharType="separate"/>
        </w:r>
        <w:r>
          <w:rPr>
            <w:noProof/>
            <w:webHidden/>
          </w:rPr>
          <w:t>167</w:t>
        </w:r>
        <w:r>
          <w:rPr>
            <w:noProof/>
            <w:webHidden/>
          </w:rPr>
          <w:fldChar w:fldCharType="end"/>
        </w:r>
      </w:hyperlink>
    </w:p>
    <w:p w14:paraId="51914E3D" w14:textId="1EDC4BAE"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35" w:history="1">
        <w:r w:rsidRPr="005A0020">
          <w:rPr>
            <w:rStyle w:val="Hypertextovodkaz"/>
            <w:lang w:eastAsia="cs-CZ"/>
          </w:rPr>
          <w:t>6.1</w:t>
        </w:r>
        <w:r>
          <w:rPr>
            <w:rFonts w:asciiTheme="minorHAnsi" w:eastAsiaTheme="minorEastAsia" w:hAnsiTheme="minorHAnsi" w:cstheme="minorBidi"/>
            <w:kern w:val="2"/>
            <w:sz w:val="22"/>
            <w:lang w:eastAsia="cs-CZ"/>
            <w14:ligatures w14:val="standardContextual"/>
          </w:rPr>
          <w:tab/>
        </w:r>
        <w:r w:rsidRPr="005A0020">
          <w:rPr>
            <w:rStyle w:val="Hypertextovodkaz"/>
            <w:lang w:eastAsia="cs-CZ"/>
          </w:rPr>
          <w:t>Personál</w:t>
        </w:r>
        <w:r>
          <w:rPr>
            <w:webHidden/>
          </w:rPr>
          <w:tab/>
        </w:r>
        <w:r>
          <w:rPr>
            <w:webHidden/>
          </w:rPr>
          <w:fldChar w:fldCharType="begin"/>
        </w:r>
        <w:r>
          <w:rPr>
            <w:webHidden/>
          </w:rPr>
          <w:instrText xml:space="preserve"> PAGEREF _Toc174080935 \h </w:instrText>
        </w:r>
        <w:r>
          <w:rPr>
            <w:webHidden/>
          </w:rPr>
        </w:r>
        <w:r>
          <w:rPr>
            <w:webHidden/>
          </w:rPr>
          <w:fldChar w:fldCharType="separate"/>
        </w:r>
        <w:r>
          <w:rPr>
            <w:webHidden/>
          </w:rPr>
          <w:t>167</w:t>
        </w:r>
        <w:r>
          <w:rPr>
            <w:webHidden/>
          </w:rPr>
          <w:fldChar w:fldCharType="end"/>
        </w:r>
      </w:hyperlink>
    </w:p>
    <w:p w14:paraId="4E735559" w14:textId="16871B9A"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36" w:history="1">
        <w:r w:rsidRPr="005A0020">
          <w:rPr>
            <w:rStyle w:val="Hypertextovodkaz"/>
            <w:noProof/>
            <w:lang w:eastAsia="cs-CZ"/>
          </w:rPr>
          <w:t>6.1.1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Soudci</w:t>
        </w:r>
        <w:r>
          <w:rPr>
            <w:noProof/>
            <w:webHidden/>
          </w:rPr>
          <w:tab/>
        </w:r>
        <w:r>
          <w:rPr>
            <w:noProof/>
            <w:webHidden/>
          </w:rPr>
          <w:fldChar w:fldCharType="begin"/>
        </w:r>
        <w:r>
          <w:rPr>
            <w:noProof/>
            <w:webHidden/>
          </w:rPr>
          <w:instrText xml:space="preserve"> PAGEREF _Toc174080936 \h </w:instrText>
        </w:r>
        <w:r>
          <w:rPr>
            <w:noProof/>
            <w:webHidden/>
          </w:rPr>
        </w:r>
        <w:r>
          <w:rPr>
            <w:noProof/>
            <w:webHidden/>
          </w:rPr>
          <w:fldChar w:fldCharType="separate"/>
        </w:r>
        <w:r>
          <w:rPr>
            <w:noProof/>
            <w:webHidden/>
          </w:rPr>
          <w:t>167</w:t>
        </w:r>
        <w:r>
          <w:rPr>
            <w:noProof/>
            <w:webHidden/>
          </w:rPr>
          <w:fldChar w:fldCharType="end"/>
        </w:r>
      </w:hyperlink>
    </w:p>
    <w:p w14:paraId="399E1358" w14:textId="6AC84446"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37" w:history="1">
        <w:r w:rsidRPr="005A0020">
          <w:rPr>
            <w:rStyle w:val="Hypertextovodkaz"/>
            <w:noProof/>
            <w:lang w:eastAsia="cs-CZ"/>
          </w:rPr>
          <w:t>6.1.2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Zaměstnanci ve výkonu</w:t>
        </w:r>
        <w:r>
          <w:rPr>
            <w:noProof/>
            <w:webHidden/>
          </w:rPr>
          <w:tab/>
        </w:r>
        <w:r>
          <w:rPr>
            <w:noProof/>
            <w:webHidden/>
          </w:rPr>
          <w:fldChar w:fldCharType="begin"/>
        </w:r>
        <w:r>
          <w:rPr>
            <w:noProof/>
            <w:webHidden/>
          </w:rPr>
          <w:instrText xml:space="preserve"> PAGEREF _Toc174080937 \h </w:instrText>
        </w:r>
        <w:r>
          <w:rPr>
            <w:noProof/>
            <w:webHidden/>
          </w:rPr>
        </w:r>
        <w:r>
          <w:rPr>
            <w:noProof/>
            <w:webHidden/>
          </w:rPr>
          <w:fldChar w:fldCharType="separate"/>
        </w:r>
        <w:r>
          <w:rPr>
            <w:noProof/>
            <w:webHidden/>
          </w:rPr>
          <w:t>169</w:t>
        </w:r>
        <w:r>
          <w:rPr>
            <w:noProof/>
            <w:webHidden/>
          </w:rPr>
          <w:fldChar w:fldCharType="end"/>
        </w:r>
      </w:hyperlink>
    </w:p>
    <w:p w14:paraId="0058F2E9" w14:textId="4CBC0CEF"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38" w:history="1">
        <w:r w:rsidRPr="005A0020">
          <w:rPr>
            <w:rStyle w:val="Hypertextovodkaz"/>
          </w:rPr>
          <w:t>6.2</w:t>
        </w:r>
        <w:r>
          <w:rPr>
            <w:rFonts w:asciiTheme="minorHAnsi" w:eastAsiaTheme="minorEastAsia" w:hAnsiTheme="minorHAnsi" w:cstheme="minorBidi"/>
            <w:kern w:val="2"/>
            <w:sz w:val="22"/>
            <w:lang w:eastAsia="cs-CZ"/>
            <w14:ligatures w14:val="standardContextual"/>
          </w:rPr>
          <w:tab/>
        </w:r>
        <w:r w:rsidRPr="005A0020">
          <w:rPr>
            <w:rStyle w:val="Hypertextovodkaz"/>
          </w:rPr>
          <w:t>Řízení o kasačních stížnostech</w:t>
        </w:r>
        <w:r>
          <w:rPr>
            <w:webHidden/>
          </w:rPr>
          <w:tab/>
        </w:r>
        <w:r>
          <w:rPr>
            <w:webHidden/>
          </w:rPr>
          <w:fldChar w:fldCharType="begin"/>
        </w:r>
        <w:r>
          <w:rPr>
            <w:webHidden/>
          </w:rPr>
          <w:instrText xml:space="preserve"> PAGEREF _Toc174080938 \h </w:instrText>
        </w:r>
        <w:r>
          <w:rPr>
            <w:webHidden/>
          </w:rPr>
        </w:r>
        <w:r>
          <w:rPr>
            <w:webHidden/>
          </w:rPr>
          <w:fldChar w:fldCharType="separate"/>
        </w:r>
        <w:r>
          <w:rPr>
            <w:webHidden/>
          </w:rPr>
          <w:t>170</w:t>
        </w:r>
        <w:r>
          <w:rPr>
            <w:webHidden/>
          </w:rPr>
          <w:fldChar w:fldCharType="end"/>
        </w:r>
      </w:hyperlink>
    </w:p>
    <w:p w14:paraId="6F6B833F" w14:textId="04C84354"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39" w:history="1">
        <w:r w:rsidRPr="005A0020">
          <w:rPr>
            <w:rStyle w:val="Hypertextovodkaz"/>
            <w:noProof/>
          </w:rPr>
          <w:t>6.2.1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rPr>
          <w:t>Vyřizování věcí</w:t>
        </w:r>
        <w:r>
          <w:rPr>
            <w:noProof/>
            <w:webHidden/>
          </w:rPr>
          <w:tab/>
        </w:r>
        <w:r>
          <w:rPr>
            <w:noProof/>
            <w:webHidden/>
          </w:rPr>
          <w:fldChar w:fldCharType="begin"/>
        </w:r>
        <w:r>
          <w:rPr>
            <w:noProof/>
            <w:webHidden/>
          </w:rPr>
          <w:instrText xml:space="preserve"> PAGEREF _Toc174080939 \h </w:instrText>
        </w:r>
        <w:r>
          <w:rPr>
            <w:noProof/>
            <w:webHidden/>
          </w:rPr>
        </w:r>
        <w:r>
          <w:rPr>
            <w:noProof/>
            <w:webHidden/>
          </w:rPr>
          <w:fldChar w:fldCharType="separate"/>
        </w:r>
        <w:r>
          <w:rPr>
            <w:noProof/>
            <w:webHidden/>
          </w:rPr>
          <w:t>170</w:t>
        </w:r>
        <w:r>
          <w:rPr>
            <w:noProof/>
            <w:webHidden/>
          </w:rPr>
          <w:fldChar w:fldCharType="end"/>
        </w:r>
      </w:hyperlink>
    </w:p>
    <w:p w14:paraId="0A970758" w14:textId="29E9721C"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40" w:history="1">
        <w:r w:rsidRPr="005A0020">
          <w:rPr>
            <w:rStyle w:val="Hypertextovodkaz"/>
            <w:lang w:eastAsia="cs-CZ"/>
          </w:rPr>
          <w:t>6.3</w:t>
        </w:r>
        <w:r>
          <w:rPr>
            <w:rFonts w:asciiTheme="minorHAnsi" w:eastAsiaTheme="minorEastAsia" w:hAnsiTheme="minorHAnsi" w:cstheme="minorBidi"/>
            <w:kern w:val="2"/>
            <w:sz w:val="22"/>
            <w:lang w:eastAsia="cs-CZ"/>
            <w14:ligatures w14:val="standardContextual"/>
          </w:rPr>
          <w:tab/>
        </w:r>
        <w:r w:rsidRPr="005A0020">
          <w:rPr>
            <w:rStyle w:val="Hypertextovodkaz"/>
            <w:lang w:eastAsia="cs-CZ"/>
          </w:rPr>
          <w:t>Řízení ve věcech soudců</w:t>
        </w:r>
        <w:r>
          <w:rPr>
            <w:webHidden/>
          </w:rPr>
          <w:tab/>
        </w:r>
        <w:r>
          <w:rPr>
            <w:webHidden/>
          </w:rPr>
          <w:fldChar w:fldCharType="begin"/>
        </w:r>
        <w:r>
          <w:rPr>
            <w:webHidden/>
          </w:rPr>
          <w:instrText xml:space="preserve"> PAGEREF _Toc174080940 \h </w:instrText>
        </w:r>
        <w:r>
          <w:rPr>
            <w:webHidden/>
          </w:rPr>
        </w:r>
        <w:r>
          <w:rPr>
            <w:webHidden/>
          </w:rPr>
          <w:fldChar w:fldCharType="separate"/>
        </w:r>
        <w:r>
          <w:rPr>
            <w:webHidden/>
          </w:rPr>
          <w:t>171</w:t>
        </w:r>
        <w:r>
          <w:rPr>
            <w:webHidden/>
          </w:rPr>
          <w:fldChar w:fldCharType="end"/>
        </w:r>
      </w:hyperlink>
    </w:p>
    <w:p w14:paraId="5F017BC8" w14:textId="34D59650"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41" w:history="1">
        <w:r w:rsidRPr="005A0020">
          <w:rPr>
            <w:rStyle w:val="Hypertextovodkaz"/>
            <w:noProof/>
            <w:lang w:eastAsia="cs-CZ"/>
          </w:rPr>
          <w:t>6.3.1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Vyřizování věcí</w:t>
        </w:r>
        <w:r>
          <w:rPr>
            <w:noProof/>
            <w:webHidden/>
          </w:rPr>
          <w:tab/>
        </w:r>
        <w:r>
          <w:rPr>
            <w:noProof/>
            <w:webHidden/>
          </w:rPr>
          <w:fldChar w:fldCharType="begin"/>
        </w:r>
        <w:r>
          <w:rPr>
            <w:noProof/>
            <w:webHidden/>
          </w:rPr>
          <w:instrText xml:space="preserve"> PAGEREF _Toc174080941 \h </w:instrText>
        </w:r>
        <w:r>
          <w:rPr>
            <w:noProof/>
            <w:webHidden/>
          </w:rPr>
        </w:r>
        <w:r>
          <w:rPr>
            <w:noProof/>
            <w:webHidden/>
          </w:rPr>
          <w:fldChar w:fldCharType="separate"/>
        </w:r>
        <w:r>
          <w:rPr>
            <w:noProof/>
            <w:webHidden/>
          </w:rPr>
          <w:t>171</w:t>
        </w:r>
        <w:r>
          <w:rPr>
            <w:noProof/>
            <w:webHidden/>
          </w:rPr>
          <w:fldChar w:fldCharType="end"/>
        </w:r>
      </w:hyperlink>
    </w:p>
    <w:p w14:paraId="56F68611" w14:textId="01822D89" w:rsidR="00551497" w:rsidRDefault="00551497">
      <w:pPr>
        <w:pStyle w:val="Obsah1"/>
        <w:tabs>
          <w:tab w:val="left" w:pos="482"/>
        </w:tabs>
        <w:rPr>
          <w:rFonts w:asciiTheme="minorHAnsi" w:eastAsiaTheme="minorEastAsia" w:hAnsiTheme="minorHAnsi" w:cstheme="minorBidi"/>
          <w:noProof/>
          <w:kern w:val="2"/>
          <w:sz w:val="22"/>
          <w:lang w:eastAsia="cs-CZ"/>
          <w14:ligatures w14:val="standardContextual"/>
        </w:rPr>
      </w:pPr>
      <w:hyperlink w:anchor="_Toc174080942" w:history="1">
        <w:r w:rsidRPr="005A0020">
          <w:rPr>
            <w:rStyle w:val="Hypertextovodkaz"/>
            <w:noProof/>
            <w:lang w:eastAsia="cs-CZ"/>
          </w:rPr>
          <w:t>7</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Mezinárodní srovnání</w:t>
        </w:r>
        <w:r>
          <w:rPr>
            <w:noProof/>
            <w:webHidden/>
          </w:rPr>
          <w:tab/>
        </w:r>
        <w:r>
          <w:rPr>
            <w:noProof/>
            <w:webHidden/>
          </w:rPr>
          <w:fldChar w:fldCharType="begin"/>
        </w:r>
        <w:r>
          <w:rPr>
            <w:noProof/>
            <w:webHidden/>
          </w:rPr>
          <w:instrText xml:space="preserve"> PAGEREF _Toc174080942 \h </w:instrText>
        </w:r>
        <w:r>
          <w:rPr>
            <w:noProof/>
            <w:webHidden/>
          </w:rPr>
        </w:r>
        <w:r>
          <w:rPr>
            <w:noProof/>
            <w:webHidden/>
          </w:rPr>
          <w:fldChar w:fldCharType="separate"/>
        </w:r>
        <w:r>
          <w:rPr>
            <w:noProof/>
            <w:webHidden/>
          </w:rPr>
          <w:t>173</w:t>
        </w:r>
        <w:r>
          <w:rPr>
            <w:noProof/>
            <w:webHidden/>
          </w:rPr>
          <w:fldChar w:fldCharType="end"/>
        </w:r>
      </w:hyperlink>
    </w:p>
    <w:p w14:paraId="4A820EEB" w14:textId="527C5792"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43" w:history="1">
        <w:r w:rsidRPr="005A0020">
          <w:rPr>
            <w:rStyle w:val="Hypertextovodkaz"/>
            <w:noProof/>
          </w:rPr>
          <w:t>7.1.1</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Počet soudců</w:t>
        </w:r>
        <w:r>
          <w:rPr>
            <w:noProof/>
            <w:webHidden/>
          </w:rPr>
          <w:tab/>
        </w:r>
        <w:r>
          <w:rPr>
            <w:noProof/>
            <w:webHidden/>
          </w:rPr>
          <w:fldChar w:fldCharType="begin"/>
        </w:r>
        <w:r>
          <w:rPr>
            <w:noProof/>
            <w:webHidden/>
          </w:rPr>
          <w:instrText xml:space="preserve"> PAGEREF _Toc174080943 \h </w:instrText>
        </w:r>
        <w:r>
          <w:rPr>
            <w:noProof/>
            <w:webHidden/>
          </w:rPr>
        </w:r>
        <w:r>
          <w:rPr>
            <w:noProof/>
            <w:webHidden/>
          </w:rPr>
          <w:fldChar w:fldCharType="separate"/>
        </w:r>
        <w:r>
          <w:rPr>
            <w:noProof/>
            <w:webHidden/>
          </w:rPr>
          <w:t>173</w:t>
        </w:r>
        <w:r>
          <w:rPr>
            <w:noProof/>
            <w:webHidden/>
          </w:rPr>
          <w:fldChar w:fldCharType="end"/>
        </w:r>
      </w:hyperlink>
    </w:p>
    <w:p w14:paraId="7A8337EA" w14:textId="7700F12B"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44" w:history="1">
        <w:r w:rsidRPr="005A0020">
          <w:rPr>
            <w:rStyle w:val="Hypertextovodkaz"/>
            <w:noProof/>
          </w:rPr>
          <w:t>7.1.2</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Účinnost soudní ochrany</w:t>
        </w:r>
        <w:r>
          <w:rPr>
            <w:noProof/>
            <w:webHidden/>
          </w:rPr>
          <w:tab/>
        </w:r>
        <w:r>
          <w:rPr>
            <w:noProof/>
            <w:webHidden/>
          </w:rPr>
          <w:fldChar w:fldCharType="begin"/>
        </w:r>
        <w:r>
          <w:rPr>
            <w:noProof/>
            <w:webHidden/>
          </w:rPr>
          <w:instrText xml:space="preserve"> PAGEREF _Toc174080944 \h </w:instrText>
        </w:r>
        <w:r>
          <w:rPr>
            <w:noProof/>
            <w:webHidden/>
          </w:rPr>
        </w:r>
        <w:r>
          <w:rPr>
            <w:noProof/>
            <w:webHidden/>
          </w:rPr>
          <w:fldChar w:fldCharType="separate"/>
        </w:r>
        <w:r>
          <w:rPr>
            <w:noProof/>
            <w:webHidden/>
          </w:rPr>
          <w:t>174</w:t>
        </w:r>
        <w:r>
          <w:rPr>
            <w:noProof/>
            <w:webHidden/>
          </w:rPr>
          <w:fldChar w:fldCharType="end"/>
        </w:r>
      </w:hyperlink>
    </w:p>
    <w:p w14:paraId="17051774" w14:textId="7A6632A0"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45" w:history="1">
        <w:r w:rsidRPr="005A0020">
          <w:rPr>
            <w:rStyle w:val="Hypertextovodkaz"/>
            <w:noProof/>
          </w:rPr>
          <w:t>7.1.3</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Efektivnost soudního systému</w:t>
        </w:r>
        <w:r>
          <w:rPr>
            <w:noProof/>
            <w:webHidden/>
          </w:rPr>
          <w:tab/>
        </w:r>
        <w:r>
          <w:rPr>
            <w:noProof/>
            <w:webHidden/>
          </w:rPr>
          <w:fldChar w:fldCharType="begin"/>
        </w:r>
        <w:r>
          <w:rPr>
            <w:noProof/>
            <w:webHidden/>
          </w:rPr>
          <w:instrText xml:space="preserve"> PAGEREF _Toc174080945 \h </w:instrText>
        </w:r>
        <w:r>
          <w:rPr>
            <w:noProof/>
            <w:webHidden/>
          </w:rPr>
        </w:r>
        <w:r>
          <w:rPr>
            <w:noProof/>
            <w:webHidden/>
          </w:rPr>
          <w:fldChar w:fldCharType="separate"/>
        </w:r>
        <w:r>
          <w:rPr>
            <w:noProof/>
            <w:webHidden/>
          </w:rPr>
          <w:t>177</w:t>
        </w:r>
        <w:r>
          <w:rPr>
            <w:noProof/>
            <w:webHidden/>
          </w:rPr>
          <w:fldChar w:fldCharType="end"/>
        </w:r>
      </w:hyperlink>
    </w:p>
    <w:p w14:paraId="396171F7" w14:textId="0930696A"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46" w:history="1">
        <w:r w:rsidRPr="005A0020">
          <w:rPr>
            <w:rStyle w:val="Hypertextovodkaz"/>
            <w:noProof/>
          </w:rPr>
          <w:t>7.1.4</w:t>
        </w:r>
        <w:r>
          <w:rPr>
            <w:rFonts w:asciiTheme="minorHAnsi" w:eastAsiaTheme="minorEastAsia" w:hAnsiTheme="minorHAnsi" w:cstheme="minorBidi"/>
            <w:noProof/>
            <w:kern w:val="2"/>
            <w:sz w:val="22"/>
            <w:lang w:eastAsia="cs-CZ"/>
            <w14:ligatures w14:val="standardContextual"/>
          </w:rPr>
          <w:tab/>
        </w:r>
        <w:r w:rsidRPr="005A0020">
          <w:rPr>
            <w:rStyle w:val="Hypertextovodkaz"/>
            <w:noProof/>
            <w:lang w:eastAsia="cs-CZ"/>
          </w:rPr>
          <w:t>Obchodování s lidmi</w:t>
        </w:r>
        <w:r>
          <w:rPr>
            <w:noProof/>
            <w:webHidden/>
          </w:rPr>
          <w:tab/>
        </w:r>
        <w:r>
          <w:rPr>
            <w:noProof/>
            <w:webHidden/>
          </w:rPr>
          <w:fldChar w:fldCharType="begin"/>
        </w:r>
        <w:r>
          <w:rPr>
            <w:noProof/>
            <w:webHidden/>
          </w:rPr>
          <w:instrText xml:space="preserve"> PAGEREF _Toc174080946 \h </w:instrText>
        </w:r>
        <w:r>
          <w:rPr>
            <w:noProof/>
            <w:webHidden/>
          </w:rPr>
        </w:r>
        <w:r>
          <w:rPr>
            <w:noProof/>
            <w:webHidden/>
          </w:rPr>
          <w:fldChar w:fldCharType="separate"/>
        </w:r>
        <w:r>
          <w:rPr>
            <w:noProof/>
            <w:webHidden/>
          </w:rPr>
          <w:t>179</w:t>
        </w:r>
        <w:r>
          <w:rPr>
            <w:noProof/>
            <w:webHidden/>
          </w:rPr>
          <w:fldChar w:fldCharType="end"/>
        </w:r>
      </w:hyperlink>
    </w:p>
    <w:p w14:paraId="6A5DECBD" w14:textId="76732093" w:rsidR="00551497" w:rsidRDefault="00551497">
      <w:pPr>
        <w:pStyle w:val="Obsah1"/>
        <w:rPr>
          <w:rFonts w:asciiTheme="minorHAnsi" w:eastAsiaTheme="minorEastAsia" w:hAnsiTheme="minorHAnsi" w:cstheme="minorBidi"/>
          <w:noProof/>
          <w:kern w:val="2"/>
          <w:sz w:val="22"/>
          <w:lang w:eastAsia="cs-CZ"/>
          <w14:ligatures w14:val="standardContextual"/>
        </w:rPr>
      </w:pPr>
      <w:hyperlink w:anchor="_Toc174080947" w:history="1">
        <w:r w:rsidRPr="005A0020">
          <w:rPr>
            <w:rStyle w:val="Hypertextovodkaz"/>
            <w:noProof/>
          </w:rPr>
          <w:t>Seznam grafů</w:t>
        </w:r>
        <w:r>
          <w:rPr>
            <w:noProof/>
            <w:webHidden/>
          </w:rPr>
          <w:tab/>
        </w:r>
        <w:r>
          <w:rPr>
            <w:noProof/>
            <w:webHidden/>
          </w:rPr>
          <w:fldChar w:fldCharType="begin"/>
        </w:r>
        <w:r>
          <w:rPr>
            <w:noProof/>
            <w:webHidden/>
          </w:rPr>
          <w:instrText xml:space="preserve"> PAGEREF _Toc174080947 \h </w:instrText>
        </w:r>
        <w:r>
          <w:rPr>
            <w:noProof/>
            <w:webHidden/>
          </w:rPr>
        </w:r>
        <w:r>
          <w:rPr>
            <w:noProof/>
            <w:webHidden/>
          </w:rPr>
          <w:fldChar w:fldCharType="separate"/>
        </w:r>
        <w:r>
          <w:rPr>
            <w:noProof/>
            <w:webHidden/>
          </w:rPr>
          <w:t>189</w:t>
        </w:r>
        <w:r>
          <w:rPr>
            <w:noProof/>
            <w:webHidden/>
          </w:rPr>
          <w:fldChar w:fldCharType="end"/>
        </w:r>
      </w:hyperlink>
    </w:p>
    <w:p w14:paraId="305010F6" w14:textId="57C15882" w:rsidR="00551497" w:rsidRDefault="00551497">
      <w:pPr>
        <w:pStyle w:val="Obsah1"/>
        <w:rPr>
          <w:rFonts w:asciiTheme="minorHAnsi" w:eastAsiaTheme="minorEastAsia" w:hAnsiTheme="minorHAnsi" w:cstheme="minorBidi"/>
          <w:noProof/>
          <w:kern w:val="2"/>
          <w:sz w:val="22"/>
          <w:lang w:eastAsia="cs-CZ"/>
          <w14:ligatures w14:val="standardContextual"/>
        </w:rPr>
      </w:pPr>
      <w:hyperlink w:anchor="_Toc174080948" w:history="1">
        <w:r w:rsidRPr="005A0020">
          <w:rPr>
            <w:rStyle w:val="Hypertextovodkaz"/>
            <w:noProof/>
          </w:rPr>
          <w:t>Seznam tabulek</w:t>
        </w:r>
        <w:r>
          <w:rPr>
            <w:noProof/>
            <w:webHidden/>
          </w:rPr>
          <w:tab/>
        </w:r>
        <w:r>
          <w:rPr>
            <w:noProof/>
            <w:webHidden/>
          </w:rPr>
          <w:fldChar w:fldCharType="begin"/>
        </w:r>
        <w:r>
          <w:rPr>
            <w:noProof/>
            <w:webHidden/>
          </w:rPr>
          <w:instrText xml:space="preserve"> PAGEREF _Toc174080948 \h </w:instrText>
        </w:r>
        <w:r>
          <w:rPr>
            <w:noProof/>
            <w:webHidden/>
          </w:rPr>
        </w:r>
        <w:r>
          <w:rPr>
            <w:noProof/>
            <w:webHidden/>
          </w:rPr>
          <w:fldChar w:fldCharType="separate"/>
        </w:r>
        <w:r>
          <w:rPr>
            <w:noProof/>
            <w:webHidden/>
          </w:rPr>
          <w:t>192</w:t>
        </w:r>
        <w:r>
          <w:rPr>
            <w:noProof/>
            <w:webHidden/>
          </w:rPr>
          <w:fldChar w:fldCharType="end"/>
        </w:r>
      </w:hyperlink>
    </w:p>
    <w:p w14:paraId="0AA78257" w14:textId="2CFA3381" w:rsidR="00551497" w:rsidRDefault="00551497">
      <w:pPr>
        <w:pStyle w:val="Obsah1"/>
        <w:rPr>
          <w:rFonts w:asciiTheme="minorHAnsi" w:eastAsiaTheme="minorEastAsia" w:hAnsiTheme="minorHAnsi" w:cstheme="minorBidi"/>
          <w:noProof/>
          <w:kern w:val="2"/>
          <w:sz w:val="22"/>
          <w:lang w:eastAsia="cs-CZ"/>
          <w14:ligatures w14:val="standardContextual"/>
        </w:rPr>
      </w:pPr>
      <w:hyperlink w:anchor="_Toc174080949" w:history="1">
        <w:r w:rsidRPr="005A0020">
          <w:rPr>
            <w:rStyle w:val="Hypertextovodkaz"/>
            <w:noProof/>
          </w:rPr>
          <w:t>Přílohy</w:t>
        </w:r>
        <w:r>
          <w:rPr>
            <w:noProof/>
            <w:webHidden/>
          </w:rPr>
          <w:tab/>
        </w:r>
        <w:r>
          <w:rPr>
            <w:noProof/>
            <w:webHidden/>
          </w:rPr>
          <w:fldChar w:fldCharType="begin"/>
        </w:r>
        <w:r>
          <w:rPr>
            <w:noProof/>
            <w:webHidden/>
          </w:rPr>
          <w:instrText xml:space="preserve"> PAGEREF _Toc174080949 \h </w:instrText>
        </w:r>
        <w:r>
          <w:rPr>
            <w:noProof/>
            <w:webHidden/>
          </w:rPr>
        </w:r>
        <w:r>
          <w:rPr>
            <w:noProof/>
            <w:webHidden/>
          </w:rPr>
          <w:fldChar w:fldCharType="separate"/>
        </w:r>
        <w:r>
          <w:rPr>
            <w:noProof/>
            <w:webHidden/>
          </w:rPr>
          <w:t>195</w:t>
        </w:r>
        <w:r>
          <w:rPr>
            <w:noProof/>
            <w:webHidden/>
          </w:rPr>
          <w:fldChar w:fldCharType="end"/>
        </w:r>
      </w:hyperlink>
    </w:p>
    <w:p w14:paraId="573FF655" w14:textId="40B6F28D"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50" w:history="1">
        <w:r w:rsidRPr="005A0020">
          <w:rPr>
            <w:rStyle w:val="Hypertextovodkaz"/>
          </w:rPr>
          <w:t>Příloha A – seznam použitých pojmů</w:t>
        </w:r>
        <w:r>
          <w:rPr>
            <w:webHidden/>
          </w:rPr>
          <w:tab/>
        </w:r>
        <w:r>
          <w:rPr>
            <w:webHidden/>
          </w:rPr>
          <w:fldChar w:fldCharType="begin"/>
        </w:r>
        <w:r>
          <w:rPr>
            <w:webHidden/>
          </w:rPr>
          <w:instrText xml:space="preserve"> PAGEREF _Toc174080950 \h </w:instrText>
        </w:r>
        <w:r>
          <w:rPr>
            <w:webHidden/>
          </w:rPr>
        </w:r>
        <w:r>
          <w:rPr>
            <w:webHidden/>
          </w:rPr>
          <w:fldChar w:fldCharType="separate"/>
        </w:r>
        <w:r>
          <w:rPr>
            <w:webHidden/>
          </w:rPr>
          <w:t>195</w:t>
        </w:r>
        <w:r>
          <w:rPr>
            <w:webHidden/>
          </w:rPr>
          <w:fldChar w:fldCharType="end"/>
        </w:r>
      </w:hyperlink>
    </w:p>
    <w:p w14:paraId="4BD9F398" w14:textId="79D4A62D"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51" w:history="1">
        <w:r w:rsidRPr="005A0020">
          <w:rPr>
            <w:rStyle w:val="Hypertextovodkaz"/>
            <w:noProof/>
          </w:rPr>
          <w:t>Statistické pojmy a použité statistické ukazatele</w:t>
        </w:r>
        <w:r>
          <w:rPr>
            <w:noProof/>
            <w:webHidden/>
          </w:rPr>
          <w:tab/>
        </w:r>
        <w:r>
          <w:rPr>
            <w:noProof/>
            <w:webHidden/>
          </w:rPr>
          <w:fldChar w:fldCharType="begin"/>
        </w:r>
        <w:r>
          <w:rPr>
            <w:noProof/>
            <w:webHidden/>
          </w:rPr>
          <w:instrText xml:space="preserve"> PAGEREF _Toc174080951 \h </w:instrText>
        </w:r>
        <w:r>
          <w:rPr>
            <w:noProof/>
            <w:webHidden/>
          </w:rPr>
        </w:r>
        <w:r>
          <w:rPr>
            <w:noProof/>
            <w:webHidden/>
          </w:rPr>
          <w:fldChar w:fldCharType="separate"/>
        </w:r>
        <w:r>
          <w:rPr>
            <w:noProof/>
            <w:webHidden/>
          </w:rPr>
          <w:t>195</w:t>
        </w:r>
        <w:r>
          <w:rPr>
            <w:noProof/>
            <w:webHidden/>
          </w:rPr>
          <w:fldChar w:fldCharType="end"/>
        </w:r>
      </w:hyperlink>
    </w:p>
    <w:p w14:paraId="0362EA76" w14:textId="0A526C21" w:rsidR="00551497" w:rsidRDefault="00551497">
      <w:pPr>
        <w:pStyle w:val="Obsah3"/>
        <w:rPr>
          <w:rFonts w:asciiTheme="minorHAnsi" w:eastAsiaTheme="minorEastAsia" w:hAnsiTheme="minorHAnsi" w:cstheme="minorBidi"/>
          <w:noProof/>
          <w:kern w:val="2"/>
          <w:sz w:val="22"/>
          <w:lang w:eastAsia="cs-CZ"/>
          <w14:ligatures w14:val="standardContextual"/>
        </w:rPr>
      </w:pPr>
      <w:hyperlink w:anchor="_Toc174080952" w:history="1">
        <w:r w:rsidRPr="005A0020">
          <w:rPr>
            <w:rStyle w:val="Hypertextovodkaz"/>
            <w:noProof/>
          </w:rPr>
          <w:t>Právní a ostatní pojmy</w:t>
        </w:r>
        <w:r>
          <w:rPr>
            <w:noProof/>
            <w:webHidden/>
          </w:rPr>
          <w:tab/>
        </w:r>
        <w:r>
          <w:rPr>
            <w:noProof/>
            <w:webHidden/>
          </w:rPr>
          <w:fldChar w:fldCharType="begin"/>
        </w:r>
        <w:r>
          <w:rPr>
            <w:noProof/>
            <w:webHidden/>
          </w:rPr>
          <w:instrText xml:space="preserve"> PAGEREF _Toc174080952 \h </w:instrText>
        </w:r>
        <w:r>
          <w:rPr>
            <w:noProof/>
            <w:webHidden/>
          </w:rPr>
        </w:r>
        <w:r>
          <w:rPr>
            <w:noProof/>
            <w:webHidden/>
          </w:rPr>
          <w:fldChar w:fldCharType="separate"/>
        </w:r>
        <w:r>
          <w:rPr>
            <w:noProof/>
            <w:webHidden/>
          </w:rPr>
          <w:t>200</w:t>
        </w:r>
        <w:r>
          <w:rPr>
            <w:noProof/>
            <w:webHidden/>
          </w:rPr>
          <w:fldChar w:fldCharType="end"/>
        </w:r>
      </w:hyperlink>
    </w:p>
    <w:p w14:paraId="04C954FD" w14:textId="1FE57B14"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53" w:history="1">
        <w:r w:rsidRPr="005A0020">
          <w:rPr>
            <w:rStyle w:val="Hypertextovodkaz"/>
          </w:rPr>
          <w:t>Příloha B – seznam zkr. soudních okresů a soudních obvodů hl. m. Prahy</w:t>
        </w:r>
        <w:r>
          <w:rPr>
            <w:webHidden/>
          </w:rPr>
          <w:tab/>
        </w:r>
        <w:r>
          <w:rPr>
            <w:webHidden/>
          </w:rPr>
          <w:fldChar w:fldCharType="begin"/>
        </w:r>
        <w:r>
          <w:rPr>
            <w:webHidden/>
          </w:rPr>
          <w:instrText xml:space="preserve"> PAGEREF _Toc174080953 \h </w:instrText>
        </w:r>
        <w:r>
          <w:rPr>
            <w:webHidden/>
          </w:rPr>
        </w:r>
        <w:r>
          <w:rPr>
            <w:webHidden/>
          </w:rPr>
          <w:fldChar w:fldCharType="separate"/>
        </w:r>
        <w:r>
          <w:rPr>
            <w:webHidden/>
          </w:rPr>
          <w:t>205</w:t>
        </w:r>
        <w:r>
          <w:rPr>
            <w:webHidden/>
          </w:rPr>
          <w:fldChar w:fldCharType="end"/>
        </w:r>
      </w:hyperlink>
    </w:p>
    <w:p w14:paraId="3ACE1027" w14:textId="5E39B3DA"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54" w:history="1">
        <w:r w:rsidRPr="005A0020">
          <w:rPr>
            <w:rStyle w:val="Hypertextovodkaz"/>
          </w:rPr>
          <w:t>Příloha C – seznam vybraných rejstříků soudů</w:t>
        </w:r>
        <w:r>
          <w:rPr>
            <w:webHidden/>
          </w:rPr>
          <w:tab/>
        </w:r>
        <w:r>
          <w:rPr>
            <w:webHidden/>
          </w:rPr>
          <w:fldChar w:fldCharType="begin"/>
        </w:r>
        <w:r>
          <w:rPr>
            <w:webHidden/>
          </w:rPr>
          <w:instrText xml:space="preserve"> PAGEREF _Toc174080954 \h </w:instrText>
        </w:r>
        <w:r>
          <w:rPr>
            <w:webHidden/>
          </w:rPr>
        </w:r>
        <w:r>
          <w:rPr>
            <w:webHidden/>
          </w:rPr>
          <w:fldChar w:fldCharType="separate"/>
        </w:r>
        <w:r>
          <w:rPr>
            <w:webHidden/>
          </w:rPr>
          <w:t>206</w:t>
        </w:r>
        <w:r>
          <w:rPr>
            <w:webHidden/>
          </w:rPr>
          <w:fldChar w:fldCharType="end"/>
        </w:r>
      </w:hyperlink>
    </w:p>
    <w:p w14:paraId="0E4E8263" w14:textId="696695CD" w:rsidR="00551497" w:rsidRDefault="00551497">
      <w:pPr>
        <w:pStyle w:val="Obsah2"/>
        <w:rPr>
          <w:rFonts w:asciiTheme="minorHAnsi" w:eastAsiaTheme="minorEastAsia" w:hAnsiTheme="minorHAnsi" w:cstheme="minorBidi"/>
          <w:kern w:val="2"/>
          <w:sz w:val="22"/>
          <w:lang w:eastAsia="cs-CZ"/>
          <w14:ligatures w14:val="standardContextual"/>
        </w:rPr>
      </w:pPr>
      <w:hyperlink w:anchor="_Toc174080955" w:history="1">
        <w:r w:rsidRPr="005A0020">
          <w:rPr>
            <w:rStyle w:val="Hypertextovodkaz"/>
          </w:rPr>
          <w:t>Příloha D – přehledové listy s daty soudů</w:t>
        </w:r>
        <w:r>
          <w:rPr>
            <w:webHidden/>
          </w:rPr>
          <w:tab/>
        </w:r>
        <w:r>
          <w:rPr>
            <w:webHidden/>
          </w:rPr>
          <w:fldChar w:fldCharType="begin"/>
        </w:r>
        <w:r>
          <w:rPr>
            <w:webHidden/>
          </w:rPr>
          <w:instrText xml:space="preserve"> PAGEREF _Toc174080955 \h </w:instrText>
        </w:r>
        <w:r>
          <w:rPr>
            <w:webHidden/>
          </w:rPr>
        </w:r>
        <w:r>
          <w:rPr>
            <w:webHidden/>
          </w:rPr>
          <w:fldChar w:fldCharType="separate"/>
        </w:r>
        <w:r>
          <w:rPr>
            <w:webHidden/>
          </w:rPr>
          <w:t>208</w:t>
        </w:r>
        <w:r>
          <w:rPr>
            <w:webHidden/>
          </w:rPr>
          <w:fldChar w:fldCharType="end"/>
        </w:r>
      </w:hyperlink>
    </w:p>
    <w:p w14:paraId="480D4A29" w14:textId="74ECB7C0" w:rsidR="008430BD" w:rsidRPr="00730B1E" w:rsidRDefault="008430BD" w:rsidP="008430BD">
      <w:pPr>
        <w:rPr>
          <w:sz w:val="2"/>
          <w:szCs w:val="2"/>
        </w:rPr>
      </w:pPr>
      <w:r w:rsidRPr="00730B1E">
        <w:fldChar w:fldCharType="end"/>
      </w:r>
    </w:p>
    <w:p w14:paraId="40E2D053" w14:textId="17906AAC" w:rsidR="008430BD" w:rsidRPr="00730B1E" w:rsidRDefault="008430BD" w:rsidP="008430BD">
      <w:pPr>
        <w:pStyle w:val="Nadpis1"/>
        <w:pageBreakBefore/>
        <w:numPr>
          <w:ilvl w:val="0"/>
          <w:numId w:val="1"/>
        </w:numPr>
        <w:spacing w:after="120"/>
      </w:pPr>
      <w:bookmarkStart w:id="4" w:name="_Toc487791222"/>
      <w:bookmarkStart w:id="5" w:name="_Toc106092709"/>
      <w:bookmarkStart w:id="6" w:name="_Toc169250792"/>
      <w:bookmarkStart w:id="7" w:name="_Toc174080828"/>
      <w:r w:rsidRPr="00730B1E">
        <w:lastRenderedPageBreak/>
        <w:t>Úvod</w:t>
      </w:r>
      <w:bookmarkEnd w:id="4"/>
      <w:bookmarkEnd w:id="5"/>
      <w:r w:rsidR="00BB7181" w:rsidRPr="00730B1E">
        <w:t xml:space="preserve"> a shrnutí</w:t>
      </w:r>
      <w:bookmarkEnd w:id="6"/>
      <w:bookmarkEnd w:id="7"/>
    </w:p>
    <w:p w14:paraId="479E51A1" w14:textId="7D4FE047" w:rsidR="00B07E76" w:rsidRPr="00730B1E" w:rsidRDefault="008430BD" w:rsidP="008430BD">
      <w:pPr>
        <w:pStyle w:val="OdstavecASR"/>
      </w:pPr>
      <w:r w:rsidRPr="00730B1E">
        <w:t xml:space="preserve">Cílem této výroční zprávy je seznámit odbornou i laickou veřejnost s činností české justice z pohledu statistik. Zpráva obsahuje vybraná statistická data za okresní, krajské a vrchní soudy, Nejvyšší soud a Nejvyšší správní soud. Každému článku soudní soustavy se věnuje jedna část, která se následně dělí na kapitoly a podkapitoly. Každá kapitola se zabývá buď vybranou agendou soudu, nebo obsahuje údaje o personálu. Dílčí podkapitoly se pak zaměřují na určitý statistický ukazatel (délka řízení, vyřizování věcí apod.). </w:t>
      </w:r>
      <w:r w:rsidR="00A06253" w:rsidRPr="00730B1E">
        <w:t>Část 7 pak</w:t>
      </w:r>
      <w:r w:rsidR="00A74487" w:rsidRPr="00730B1E">
        <w:t> </w:t>
      </w:r>
      <w:r w:rsidRPr="00730B1E">
        <w:t>krátce ČR srovnává s ostatními členskými státy EU.</w:t>
      </w:r>
    </w:p>
    <w:p w14:paraId="49E9366D" w14:textId="7609DA2C" w:rsidR="008430BD" w:rsidRPr="00730B1E" w:rsidRDefault="008430BD" w:rsidP="008430BD">
      <w:pPr>
        <w:pStyle w:val="OdstavecASR"/>
      </w:pPr>
      <w:r w:rsidRPr="00730B1E">
        <w:t>Kapitola 1.1 podrobněji vysvětluje účel této zprávy, seznamuje čtenáře s jejími základními východisky, předpoklady a určitými omezeními a přidává další poznámky, které je třeba mít při čtení dokumentu na mysli.</w:t>
      </w:r>
    </w:p>
    <w:p w14:paraId="12D9E2DF" w14:textId="68CEFE05" w:rsidR="008430BD" w:rsidRPr="00730B1E" w:rsidRDefault="008430BD" w:rsidP="008430BD">
      <w:pPr>
        <w:pStyle w:val="OdstavecASR"/>
      </w:pPr>
      <w:r w:rsidRPr="00730B1E">
        <w:t xml:space="preserve">Statistická výroční zpráva za rok </w:t>
      </w:r>
      <w:r w:rsidR="00E03913" w:rsidRPr="00730B1E">
        <w:t>202</w:t>
      </w:r>
      <w:r w:rsidR="00A06253" w:rsidRPr="00730B1E">
        <w:t>3</w:t>
      </w:r>
      <w:r w:rsidR="00E03913" w:rsidRPr="00730B1E">
        <w:t xml:space="preserve"> </w:t>
      </w:r>
      <w:r w:rsidRPr="00730B1E">
        <w:t>je v mnoha ohledech (obsažená data, metodologie komentáře, grafická úprava apod.) velmi podobná zprávám předchozím, určitých změn však doznala. Jako každý rok byly doplněny nové ukazatele, upřesněna metodika některých výpočtů apod. Kapitola 1.2 vyjmenovává a stručně popisuje nejvýznamnější z těchto změn.</w:t>
      </w:r>
    </w:p>
    <w:p w14:paraId="27870419" w14:textId="40CEF5BD" w:rsidR="00A06253" w:rsidRPr="00730B1E" w:rsidRDefault="00703F67" w:rsidP="008430BD">
      <w:pPr>
        <w:pStyle w:val="OdstavecASR"/>
      </w:pPr>
      <w:r w:rsidRPr="00730B1E">
        <w:t>Kapitola 1.3</w:t>
      </w:r>
      <w:r w:rsidR="00A06253" w:rsidRPr="00730B1E">
        <w:t xml:space="preserve"> </w:t>
      </w:r>
      <w:r w:rsidR="00487CD9" w:rsidRPr="00730B1E">
        <w:t>obsahuje stručné shrnutí základních informací obsažených v dalších kapitolách zprávy</w:t>
      </w:r>
      <w:r w:rsidR="00A06253" w:rsidRPr="00730B1E">
        <w:t>.</w:t>
      </w:r>
    </w:p>
    <w:p w14:paraId="4BE12E5F" w14:textId="77777777" w:rsidR="008430BD" w:rsidRPr="00730B1E" w:rsidRDefault="008430BD" w:rsidP="008430BD">
      <w:pPr>
        <w:pStyle w:val="Nadpis2"/>
        <w:numPr>
          <w:ilvl w:val="1"/>
          <w:numId w:val="1"/>
        </w:numPr>
        <w:spacing w:before="120"/>
        <w:rPr>
          <w:color w:val="auto"/>
        </w:rPr>
      </w:pPr>
      <w:bookmarkStart w:id="8" w:name="_Ref482901858"/>
      <w:bookmarkStart w:id="9" w:name="_Ref482901954"/>
      <w:bookmarkStart w:id="10" w:name="_Toc487791223"/>
      <w:bookmarkStart w:id="11" w:name="_Toc517118504"/>
      <w:bookmarkStart w:id="12" w:name="_Toc106092710"/>
      <w:bookmarkStart w:id="13" w:name="_Toc169250793"/>
      <w:bookmarkStart w:id="14" w:name="_Toc174080829"/>
      <w:r w:rsidRPr="00730B1E">
        <w:rPr>
          <w:color w:val="auto"/>
        </w:rPr>
        <w:t>Základní východiska, předpoklady, omezení a upřesňující poznámky</w:t>
      </w:r>
      <w:bookmarkEnd w:id="8"/>
      <w:bookmarkEnd w:id="9"/>
      <w:bookmarkEnd w:id="10"/>
      <w:bookmarkEnd w:id="11"/>
      <w:bookmarkEnd w:id="12"/>
      <w:bookmarkEnd w:id="13"/>
      <w:bookmarkEnd w:id="14"/>
    </w:p>
    <w:p w14:paraId="18BCD68B" w14:textId="77777777" w:rsidR="008430BD" w:rsidRPr="00730B1E" w:rsidRDefault="008430BD" w:rsidP="008430BD">
      <w:pPr>
        <w:pStyle w:val="OdstavecASR"/>
      </w:pPr>
      <w:r w:rsidRPr="00730B1E">
        <w:t>Při čtení této zprávy je třeba pamatovat zejména na následující skutečnosti:</w:t>
      </w:r>
    </w:p>
    <w:p w14:paraId="1F7F58C8" w14:textId="3A8AEFF2" w:rsidR="008430BD" w:rsidRPr="00730B1E" w:rsidRDefault="008430BD" w:rsidP="008430BD">
      <w:pPr>
        <w:pStyle w:val="Odstavecseseznamem"/>
        <w:numPr>
          <w:ilvl w:val="0"/>
          <w:numId w:val="2"/>
        </w:numPr>
      </w:pPr>
      <w:r w:rsidRPr="00730B1E">
        <w:t>Cílem zprávy je poskytnout čtenáři přístupný, ale poměrně detailní náhled na fungování české justice prostřednictvím statistik. Oproti ostatním veřejně dostupným zdrojům justičních statistik (Justiční statistické ročenky</w:t>
      </w:r>
      <w:r w:rsidRPr="00730B1E">
        <w:rPr>
          <w:rStyle w:val="Znakapoznpodarou"/>
        </w:rPr>
        <w:footnoteReference w:id="2"/>
      </w:r>
      <w:r w:rsidRPr="00730B1E">
        <w:t xml:space="preserve">, </w:t>
      </w:r>
      <w:hyperlink r:id="rId10" w:history="1">
        <w:r w:rsidRPr="00E5732D">
          <w:rPr>
            <w:rStyle w:val="Hypertextovodkaz"/>
          </w:rPr>
          <w:t>internetové stránky InfoData</w:t>
        </w:r>
      </w:hyperlink>
      <w:r w:rsidR="000777CE" w:rsidRPr="00730B1E">
        <w:t xml:space="preserve">, </w:t>
      </w:r>
      <w:r w:rsidRPr="00730B1E">
        <w:t>data publikovaná Českým statistickým úřadem) má tato zpráva mnoho výhod:</w:t>
      </w:r>
    </w:p>
    <w:p w14:paraId="737DB2AA" w14:textId="77777777" w:rsidR="008430BD" w:rsidRPr="00730B1E" w:rsidRDefault="008430BD" w:rsidP="008430BD">
      <w:pPr>
        <w:pStyle w:val="Odstavecseseznamem"/>
        <w:numPr>
          <w:ilvl w:val="1"/>
          <w:numId w:val="2"/>
        </w:numPr>
      </w:pPr>
      <w:r w:rsidRPr="00730B1E">
        <w:t>Obsahuje množství dat, která nejsou jinak dostupná, například nejen průměrné, ale i mediánové délky řízení.</w:t>
      </w:r>
    </w:p>
    <w:p w14:paraId="383C24EF" w14:textId="3C7883A9" w:rsidR="008430BD" w:rsidRPr="00730B1E" w:rsidRDefault="008430BD" w:rsidP="008430BD">
      <w:pPr>
        <w:pStyle w:val="Odstavecseseznamem"/>
        <w:numPr>
          <w:ilvl w:val="1"/>
          <w:numId w:val="2"/>
        </w:numPr>
      </w:pPr>
      <w:r w:rsidRPr="00730B1E">
        <w:t>V průběhu let docházelo ke změnám v legislativě a způsobu vedení statistik</w:t>
      </w:r>
      <w:r w:rsidR="00D65742" w:rsidRPr="00730B1E">
        <w:t xml:space="preserve">, v důsledku čehož zejména </w:t>
      </w:r>
      <w:r w:rsidRPr="00730B1E">
        <w:t xml:space="preserve">některé zdroje (například InfoData) ne vždy detailně rozlišují </w:t>
      </w:r>
      <w:r w:rsidR="00D65742" w:rsidRPr="00730B1E">
        <w:t xml:space="preserve">jednotlivé soudní </w:t>
      </w:r>
      <w:r w:rsidRPr="00730B1E">
        <w:t xml:space="preserve">rejstříky. Ostatní zdroje dat rovněž obsahují jisté, byť velmi malé, množství chybných pozorování. Data v této zprávě jsou vždy, když je to možné, očištěna </w:t>
      </w:r>
      <w:r w:rsidR="000C3B1E" w:rsidRPr="00730B1E">
        <w:t>a </w:t>
      </w:r>
      <w:r w:rsidRPr="00730B1E">
        <w:t>výše zmíněnými nedostatky tak netrpí.</w:t>
      </w:r>
    </w:p>
    <w:p w14:paraId="7661C45B" w14:textId="77777777" w:rsidR="008430BD" w:rsidRPr="00730B1E" w:rsidRDefault="008430BD" w:rsidP="008430BD">
      <w:pPr>
        <w:pStyle w:val="Odstavecseseznamem"/>
        <w:numPr>
          <w:ilvl w:val="1"/>
          <w:numId w:val="2"/>
        </w:numPr>
      </w:pPr>
      <w:r w:rsidRPr="00730B1E">
        <w:t>Data jsou zobrazena v přehledné podobě v různých typech grafů, případně tabulkách. Především sledování vývoje ukazatelů v čase nebo rozdílů mezi jednotlivými soudy je takto výrazně snadnější.</w:t>
      </w:r>
    </w:p>
    <w:p w14:paraId="1FB6C79A" w14:textId="77777777" w:rsidR="008430BD" w:rsidRPr="00730B1E" w:rsidRDefault="008430BD" w:rsidP="008430BD">
      <w:pPr>
        <w:pStyle w:val="Odstavecseseznamem"/>
        <w:numPr>
          <w:ilvl w:val="1"/>
          <w:numId w:val="2"/>
        </w:numPr>
      </w:pPr>
      <w:r w:rsidRPr="00730B1E">
        <w:t>Data jsou doplněna komentářem a vysvětlivkami.</w:t>
      </w:r>
    </w:p>
    <w:p w14:paraId="42143231" w14:textId="77777777" w:rsidR="008430BD" w:rsidRPr="00730B1E" w:rsidRDefault="008430BD" w:rsidP="008430BD">
      <w:pPr>
        <w:pStyle w:val="Odstavecseseznamem"/>
        <w:numPr>
          <w:ilvl w:val="0"/>
          <w:numId w:val="2"/>
        </w:numPr>
      </w:pPr>
      <w:r w:rsidRPr="00730B1E">
        <w:t>Zpráva sice poskytuje detailní náhled, nejedná se však o podrobnou analýzu dané problematiky. K takové analýze by byla třeba hlubší práce s daty a využití pokročilejších statistických a ekonometrických metod, které ale přesahují účel tohoto materiálu. Ve zprávě jsou téměř výhradně využita statistická data dostupná Ministerstvu spravedlnosti, velmi zřídka pak další „nestatistické“ informace z jiných zdrojů.</w:t>
      </w:r>
    </w:p>
    <w:p w14:paraId="1BD65413" w14:textId="15F79A66" w:rsidR="008430BD" w:rsidRPr="00730B1E" w:rsidRDefault="008430BD" w:rsidP="008430BD">
      <w:pPr>
        <w:pStyle w:val="Odstavecseseznamem"/>
        <w:numPr>
          <w:ilvl w:val="0"/>
          <w:numId w:val="2"/>
        </w:numPr>
      </w:pPr>
      <w:r w:rsidRPr="00730B1E">
        <w:t xml:space="preserve">Definitivní závěry nemohou být vyvozovány pouze na základě jednoho statistického ukazatele. Například vysoké délky řízení nemusí znamenat (a často také neznamenají), že </w:t>
      </w:r>
      <w:r w:rsidRPr="00730B1E">
        <w:lastRenderedPageBreak/>
        <w:t xml:space="preserve">soud pracuje špatně. Mohou ve skutečnosti ukazovat to, že soud z nějakého důvodu (nízký počet personálu, </w:t>
      </w:r>
      <w:r w:rsidR="00D65742" w:rsidRPr="00730B1E">
        <w:t xml:space="preserve">nevhodná </w:t>
      </w:r>
      <w:r w:rsidRPr="00730B1E">
        <w:t xml:space="preserve">organizace práce apod.) </w:t>
      </w:r>
      <w:r w:rsidR="00D65742" w:rsidRPr="00730B1E">
        <w:t>nezvládal</w:t>
      </w:r>
      <w:r w:rsidRPr="00730B1E">
        <w:t xml:space="preserve"> vyřizovat svou agendu před několika lety, a ačkoliv již nyní pracuje dobře, potýká se s problémy, které vznikly dříve.</w:t>
      </w:r>
    </w:p>
    <w:p w14:paraId="08642151" w14:textId="712DBE33" w:rsidR="008430BD" w:rsidRPr="00730B1E" w:rsidRDefault="008430BD" w:rsidP="008430BD">
      <w:pPr>
        <w:pStyle w:val="Odstavecseseznamem"/>
        <w:numPr>
          <w:ilvl w:val="0"/>
          <w:numId w:val="2"/>
        </w:numPr>
      </w:pPr>
      <w:r w:rsidRPr="00730B1E">
        <w:t>Zpráva se zabývá pouze hlavními agendami soudů</w:t>
      </w:r>
      <w:r w:rsidR="00F732C0" w:rsidRPr="00730B1E">
        <w:t xml:space="preserve">, </w:t>
      </w:r>
      <w:r w:rsidR="00726EC3" w:rsidRPr="00730B1E">
        <w:t>i </w:t>
      </w:r>
      <w:r w:rsidR="00F732C0" w:rsidRPr="00730B1E">
        <w:t>když</w:t>
      </w:r>
      <w:r w:rsidRPr="00730B1E">
        <w:t xml:space="preserve"> </w:t>
      </w:r>
      <w:r w:rsidR="00F732C0" w:rsidRPr="00730B1E">
        <w:t>s</w:t>
      </w:r>
      <w:r w:rsidRPr="00730B1E">
        <w:t xml:space="preserve">oudy vyřizují i množství vedlejších agend. Základní údaje o nich lze </w:t>
      </w:r>
      <w:r w:rsidR="00F732C0" w:rsidRPr="00730B1E">
        <w:t xml:space="preserve">však </w:t>
      </w:r>
      <w:r w:rsidRPr="00730B1E">
        <w:t xml:space="preserve">najít v jiných informačních zdrojích (InfoData, Statistická ročenka). </w:t>
      </w:r>
      <w:r w:rsidR="00D65742" w:rsidRPr="00730B1E">
        <w:t>Užitečný přehled jednotlivých zdrojů je zveřejněn</w:t>
      </w:r>
      <w:r w:rsidR="00726EC3" w:rsidRPr="00730B1E">
        <w:t> </w:t>
      </w:r>
      <w:r w:rsidRPr="00730B1E">
        <w:t>na internetových stránkách Ministerstva spravedlnosti v části věnující se justiční statistice</w:t>
      </w:r>
      <w:r w:rsidRPr="00730B1E">
        <w:rPr>
          <w:rStyle w:val="Znakapoznpodarou"/>
        </w:rPr>
        <w:footnoteReference w:id="3"/>
      </w:r>
      <w:r w:rsidRPr="00730B1E">
        <w:t>.</w:t>
      </w:r>
    </w:p>
    <w:p w14:paraId="045ECDB0" w14:textId="65C4160D" w:rsidR="008430BD" w:rsidRPr="00730B1E" w:rsidRDefault="008430BD" w:rsidP="008430BD">
      <w:pPr>
        <w:pStyle w:val="Odstavecseseznamem"/>
        <w:numPr>
          <w:ilvl w:val="0"/>
          <w:numId w:val="2"/>
        </w:numPr>
      </w:pPr>
      <w:r w:rsidRPr="00730B1E">
        <w:t xml:space="preserve">Soudní obvody neodpovídají </w:t>
      </w:r>
      <w:r w:rsidR="001B1856" w:rsidRPr="00730B1E">
        <w:t xml:space="preserve">stávajícímu </w:t>
      </w:r>
      <w:r w:rsidRPr="00730B1E">
        <w:t>samosprávn</w:t>
      </w:r>
      <w:r w:rsidR="00311BE7" w:rsidRPr="00730B1E">
        <w:t>ému</w:t>
      </w:r>
      <w:r w:rsidRPr="00730B1E">
        <w:t xml:space="preserve"> členění státu </w:t>
      </w:r>
      <w:r w:rsidR="00D65742" w:rsidRPr="00730B1E">
        <w:t xml:space="preserve">ani novému zákonu o územně správním členění státu z roku 2020, </w:t>
      </w:r>
      <w:r w:rsidRPr="00730B1E">
        <w:t xml:space="preserve">a vycházejí </w:t>
      </w:r>
      <w:r w:rsidR="00D65742" w:rsidRPr="00730B1E">
        <w:t xml:space="preserve">tak stále </w:t>
      </w:r>
      <w:r w:rsidRPr="00730B1E">
        <w:t>v základu ze správního členění z roku 1960.</w:t>
      </w:r>
      <w:r w:rsidR="007F5182" w:rsidRPr="00730B1E">
        <w:t xml:space="preserve"> </w:t>
      </w:r>
      <w:r w:rsidRPr="00730B1E">
        <w:t>Na úrovni okresů se hranice liší pouze mírně</w:t>
      </w:r>
      <w:r w:rsidR="00202836" w:rsidRPr="00730B1E">
        <w:t>, nicméně určité</w:t>
      </w:r>
      <w:r w:rsidRPr="00730B1E">
        <w:t xml:space="preserve"> odlišnosti můžeme najít u okresů </w:t>
      </w:r>
      <w:r w:rsidR="0053190F" w:rsidRPr="00730B1E">
        <w:t>Brno</w:t>
      </w:r>
      <w:r w:rsidR="0053190F" w:rsidRPr="00730B1E">
        <w:noBreakHyphen/>
      </w:r>
      <w:r w:rsidRPr="00730B1E">
        <w:t xml:space="preserve">venkov, Břeclav, Žďár nad Sázavou, </w:t>
      </w:r>
      <w:r w:rsidR="0053190F" w:rsidRPr="00730B1E">
        <w:t>Praha</w:t>
      </w:r>
      <w:r w:rsidR="0053190F" w:rsidRPr="00730B1E">
        <w:noBreakHyphen/>
      </w:r>
      <w:r w:rsidRPr="00730B1E">
        <w:t xml:space="preserve">východ, Kolín, Ostrava-město, </w:t>
      </w:r>
      <w:r w:rsidR="0053190F" w:rsidRPr="00730B1E">
        <w:t>Frýdek</w:t>
      </w:r>
      <w:r w:rsidR="0053190F" w:rsidRPr="00730B1E">
        <w:noBreakHyphen/>
        <w:t>Místek</w:t>
      </w:r>
      <w:r w:rsidRPr="00730B1E">
        <w:t xml:space="preserve">, Nový Jičín, </w:t>
      </w:r>
      <w:r w:rsidR="0053190F" w:rsidRPr="00730B1E">
        <w:t>Plzeň</w:t>
      </w:r>
      <w:r w:rsidR="0053190F" w:rsidRPr="00730B1E">
        <w:noBreakHyphen/>
      </w:r>
      <w:r w:rsidRPr="00730B1E">
        <w:t xml:space="preserve">jih nebo </w:t>
      </w:r>
      <w:r w:rsidR="0053190F" w:rsidRPr="00730B1E">
        <w:t>Plzeň</w:t>
      </w:r>
      <w:r w:rsidR="0053190F" w:rsidRPr="00730B1E">
        <w:noBreakHyphen/>
      </w:r>
      <w:r w:rsidRPr="00730B1E">
        <w:t xml:space="preserve">město. Výrazně větší rozdíly jsou </w:t>
      </w:r>
      <w:r w:rsidR="00202836" w:rsidRPr="00730B1E">
        <w:t>však</w:t>
      </w:r>
      <w:r w:rsidRPr="00730B1E">
        <w:t xml:space="preserve"> patrné na úrovni krajů, když existuje 14 samosprávných krajů, ale jen 8 krajů soudních. Tato zpráva se zaměřuje na soudnictví a vychází tedy pouze ze soudního členění. Například pojmem </w:t>
      </w:r>
      <w:r w:rsidRPr="00730B1E">
        <w:rPr>
          <w:i/>
        </w:rPr>
        <w:t>kraj</w:t>
      </w:r>
      <w:r w:rsidRPr="00730B1E">
        <w:t xml:space="preserve"> se tedy myslí kraj podle soudního členění. Hlavní město Praha má podle soudního členění 10 obvodů.</w:t>
      </w:r>
    </w:p>
    <w:p w14:paraId="44058153" w14:textId="77777777" w:rsidR="008430BD" w:rsidRPr="00730B1E" w:rsidRDefault="008430BD" w:rsidP="008430BD">
      <w:pPr>
        <w:pStyle w:val="Odstavecseseznamem"/>
        <w:numPr>
          <w:ilvl w:val="0"/>
          <w:numId w:val="2"/>
        </w:numPr>
      </w:pPr>
      <w:r w:rsidRPr="00730B1E">
        <w:t>Ačkoliv je to na první pohled nelogické, ve statistikách týkajících se vyřizování věcí nutně neplatí, že (nevyřízené věci)</w:t>
      </w:r>
      <w:r w:rsidRPr="00730B1E">
        <w:rPr>
          <w:vertAlign w:val="subscript"/>
        </w:rPr>
        <w:t>t-1</w:t>
      </w:r>
      <w:r w:rsidRPr="00730B1E">
        <w:t xml:space="preserve"> + (příchozí věci)</w:t>
      </w:r>
      <w:r w:rsidRPr="00730B1E">
        <w:rPr>
          <w:vertAlign w:val="subscript"/>
        </w:rPr>
        <w:t>t</w:t>
      </w:r>
      <w:r w:rsidRPr="00730B1E">
        <w:t xml:space="preserve"> – (vyřízené věci)</w:t>
      </w:r>
      <w:r w:rsidRPr="00730B1E">
        <w:rPr>
          <w:vertAlign w:val="subscript"/>
        </w:rPr>
        <w:t xml:space="preserve">t </w:t>
      </w:r>
      <w:r w:rsidRPr="00730B1E">
        <w:t>= (nevyřízené věci)</w:t>
      </w:r>
      <w:r w:rsidRPr="00730B1E">
        <w:rPr>
          <w:vertAlign w:val="subscript"/>
        </w:rPr>
        <w:t>t</w:t>
      </w:r>
      <w:r w:rsidRPr="00730B1E">
        <w:t>. Tedy například, že počet nevyřízených věcí na konci roku 2008 + počet příchozích věcí v roce 2009 – počet vyřízených věcí v roce 2009 se rovná počtu nevyřízených věcí na konci roku 2009. Příčinou je oprava chybně vyznačených dat, která se projeví v novějších výkazech. Odchylky se nicméně pohybují v řádu jednotek a nemají žádný relevantní vliv.</w:t>
      </w:r>
    </w:p>
    <w:p w14:paraId="223F2352" w14:textId="2320FB2D" w:rsidR="008430BD" w:rsidRPr="00730B1E" w:rsidRDefault="008430BD" w:rsidP="008430BD">
      <w:pPr>
        <w:pStyle w:val="Odstavecseseznamem"/>
        <w:numPr>
          <w:ilvl w:val="0"/>
          <w:numId w:val="2"/>
        </w:numPr>
      </w:pPr>
      <w:r w:rsidRPr="00730B1E">
        <w:t>U grafů je třeba věnovat pozornost měřítku na ose </w:t>
      </w:r>
      <w:r w:rsidRPr="00730B1E">
        <w:rPr>
          <w:i/>
        </w:rPr>
        <w:t xml:space="preserve">y </w:t>
      </w:r>
      <w:r w:rsidRPr="00730B1E">
        <w:t xml:space="preserve">(svislá osa), měřítka se totiž liší. Stejně důležitý je rozsah osy. Ta totiž například nezačíná na hodnotě 0, ale na hodnotě vyšší. Na první pohled se tak mohou rozdíly zdát větší, než ve skutečnosti jsou. U kartogramů </w:t>
      </w:r>
      <w:r w:rsidR="00D65742" w:rsidRPr="00730B1E">
        <w:t>je třeba</w:t>
      </w:r>
      <w:r w:rsidRPr="00730B1E">
        <w:t xml:space="preserve"> sledovat velikost intervalů.</w:t>
      </w:r>
    </w:p>
    <w:p w14:paraId="6B3AD648" w14:textId="332A0E2C" w:rsidR="008430BD" w:rsidRPr="00730B1E" w:rsidRDefault="008430BD" w:rsidP="008430BD">
      <w:pPr>
        <w:pStyle w:val="Odstavecseseznamem"/>
        <w:numPr>
          <w:ilvl w:val="0"/>
          <w:numId w:val="2"/>
        </w:numPr>
      </w:pPr>
      <w:r w:rsidRPr="00730B1E">
        <w:t>U trestních agend je potřeba rozlišovat mezi počtem věcí a počtem osob</w:t>
      </w:r>
      <w:r w:rsidR="009443E0" w:rsidRPr="00730B1E">
        <w:t xml:space="preserve">, neboť jedno trestní řízení může být vedeno </w:t>
      </w:r>
      <w:r w:rsidR="00726EC3" w:rsidRPr="00730B1E">
        <w:t>i </w:t>
      </w:r>
      <w:r w:rsidR="009443E0" w:rsidRPr="00730B1E">
        <w:t>proti více osobám.</w:t>
      </w:r>
      <w:r w:rsidRPr="00730B1E">
        <w:t xml:space="preserve"> </w:t>
      </w:r>
      <w:r w:rsidR="009443E0" w:rsidRPr="00730B1E">
        <w:t>P</w:t>
      </w:r>
      <w:r w:rsidRPr="00730B1E">
        <w:t>očet osob tak může být výrazně vyšší než počet věcí</w:t>
      </w:r>
      <w:r w:rsidR="009443E0" w:rsidRPr="00730B1E">
        <w:t>, což</w:t>
      </w:r>
      <w:r w:rsidR="002A4AC8" w:rsidRPr="00730B1E">
        <w:t xml:space="preserve"> </w:t>
      </w:r>
      <w:r w:rsidRPr="00730B1E">
        <w:t xml:space="preserve">platí především u krajských a vrchních soudů. Tato zpráva se zabývá pouze počtem věcí. Za zmínku </w:t>
      </w:r>
      <w:r w:rsidR="009443E0" w:rsidRPr="00730B1E">
        <w:t xml:space="preserve">však </w:t>
      </w:r>
      <w:r w:rsidRPr="00730B1E">
        <w:t xml:space="preserve">stojí </w:t>
      </w:r>
      <w:r w:rsidR="009443E0" w:rsidRPr="00730B1E">
        <w:t>uvést skutečnost</w:t>
      </w:r>
      <w:r w:rsidRPr="00730B1E">
        <w:t xml:space="preserve">, že počet stíhaných osob lze považovat za aproximaci složitosti věci. Více osob </w:t>
      </w:r>
      <w:r w:rsidR="009443E0" w:rsidRPr="00730B1E">
        <w:t xml:space="preserve">totiž </w:t>
      </w:r>
      <w:r w:rsidRPr="00730B1E">
        <w:t>znamená zpravidla složitější věc.</w:t>
      </w:r>
    </w:p>
    <w:p w14:paraId="4B3B6BA9" w14:textId="58DF4B72" w:rsidR="008430BD" w:rsidRPr="00730B1E" w:rsidRDefault="008430BD" w:rsidP="008430BD">
      <w:pPr>
        <w:pStyle w:val="Odstavecseseznamem"/>
        <w:numPr>
          <w:ilvl w:val="0"/>
          <w:numId w:val="2"/>
        </w:numPr>
      </w:pPr>
      <w:r w:rsidRPr="00730B1E">
        <w:t xml:space="preserve">Mediánová délka řízení má z trojice medián, průměr a percentil 90 pro účely této zprávy zřejmě nejlepší vypovídající hodnotu, protože eliminuje extrémní hodnoty. Proto v kartogramech využíváme mediánovou délku </w:t>
      </w:r>
      <w:r w:rsidR="005D23B6" w:rsidRPr="00730B1E">
        <w:t>řízení,</w:t>
      </w:r>
      <w:r w:rsidRPr="00730B1E">
        <w:t xml:space="preserve"> </w:t>
      </w:r>
      <w:r w:rsidR="00D65742" w:rsidRPr="00730B1E">
        <w:t>nikoliv</w:t>
      </w:r>
      <w:r w:rsidRPr="00730B1E">
        <w:t xml:space="preserve"> průměrnou délku řízení nebo devadesátý percentil.</w:t>
      </w:r>
    </w:p>
    <w:p w14:paraId="419E14A0" w14:textId="77777777" w:rsidR="008430BD" w:rsidRPr="00730B1E" w:rsidRDefault="008430BD" w:rsidP="008430BD">
      <w:pPr>
        <w:pStyle w:val="Odstavecseseznamem"/>
        <w:numPr>
          <w:ilvl w:val="0"/>
          <w:numId w:val="2"/>
        </w:numPr>
      </w:pPr>
      <w:r w:rsidRPr="00730B1E">
        <w:t>Seznam použitých pojmů, seznam zkratek soudních okresů a soudních obvodů hlavního města Prahy využitých v kartogramech a seznam vybraných rejstříků soudů naleznete v příloze této zprávy.</w:t>
      </w:r>
    </w:p>
    <w:p w14:paraId="688A1CFB" w14:textId="3819C94C" w:rsidR="008430BD" w:rsidRPr="00730B1E" w:rsidRDefault="008430BD" w:rsidP="008430BD">
      <w:pPr>
        <w:pStyle w:val="Odstavecseseznamem"/>
        <w:numPr>
          <w:ilvl w:val="0"/>
          <w:numId w:val="2"/>
        </w:numPr>
      </w:pPr>
      <w:r w:rsidRPr="00730B1E">
        <w:t xml:space="preserve">Přesné číselné údaje </w:t>
      </w:r>
      <w:r w:rsidR="000C3B1E" w:rsidRPr="00730B1E">
        <w:t>o </w:t>
      </w:r>
      <w:r w:rsidRPr="00730B1E">
        <w:t>jednotlivých okresních soudech jsou v</w:t>
      </w:r>
      <w:r w:rsidR="000C3B1E" w:rsidRPr="00730B1E">
        <w:t> </w:t>
      </w:r>
      <w:r w:rsidRPr="00730B1E">
        <w:t>Příloze</w:t>
      </w:r>
      <w:r w:rsidR="000C3B1E" w:rsidRPr="00730B1E">
        <w:t> </w:t>
      </w:r>
      <w:r w:rsidRPr="00730B1E">
        <w:t>D. Lze je také dohledat na internetových stránkách Ministerstva spravedlnosti v části věnující se justiční statistice.</w:t>
      </w:r>
    </w:p>
    <w:p w14:paraId="1586C7BE" w14:textId="1DAF8A93" w:rsidR="008430BD" w:rsidRPr="00730B1E" w:rsidRDefault="008430BD" w:rsidP="008430BD">
      <w:pPr>
        <w:pStyle w:val="Odstavecseseznamem"/>
        <w:numPr>
          <w:ilvl w:val="0"/>
          <w:numId w:val="2"/>
        </w:numPr>
      </w:pPr>
      <w:r w:rsidRPr="00730B1E">
        <w:lastRenderedPageBreak/>
        <w:t>Od výroční zprávy za rok 20</w:t>
      </w:r>
      <w:r w:rsidR="00F56CE3" w:rsidRPr="00730B1E">
        <w:t>19</w:t>
      </w:r>
      <w:r w:rsidRPr="00730B1E">
        <w:t xml:space="preserve"> jsou ve zprávě využity dva různé ukazatele pro počty soudců.</w:t>
      </w:r>
    </w:p>
    <w:p w14:paraId="7526A902" w14:textId="704B6EF6" w:rsidR="008430BD" w:rsidRPr="00730B1E" w:rsidRDefault="00C63DEB" w:rsidP="008430BD">
      <w:pPr>
        <w:pStyle w:val="Odstavecseseznamem"/>
        <w:numPr>
          <w:ilvl w:val="1"/>
          <w:numId w:val="2"/>
        </w:numPr>
      </w:pPr>
      <w:r w:rsidRPr="00730B1E">
        <w:t xml:space="preserve">Jsou </w:t>
      </w:r>
      <w:r w:rsidR="008430BD" w:rsidRPr="00730B1E">
        <w:t>využita</w:t>
      </w:r>
      <w:r w:rsidRPr="00730B1E">
        <w:t xml:space="preserve"> především</w:t>
      </w:r>
      <w:r w:rsidR="008430BD" w:rsidRPr="00730B1E">
        <w:t xml:space="preserve"> data </w:t>
      </w:r>
      <w:r w:rsidR="000C3B1E" w:rsidRPr="00730B1E">
        <w:t>o </w:t>
      </w:r>
      <w:r w:rsidR="008430BD" w:rsidRPr="00730B1E">
        <w:t xml:space="preserve">počtu skutečných úvazků, která byla poprvé sbírána k 1. 1. 2020 </w:t>
      </w:r>
      <w:r w:rsidR="000C3B1E" w:rsidRPr="00730B1E">
        <w:t>a </w:t>
      </w:r>
      <w:r w:rsidR="008430BD" w:rsidRPr="00730B1E">
        <w:t>v této zprávě jsou platná k 1. 1. 202</w:t>
      </w:r>
      <w:r w:rsidRPr="00730B1E">
        <w:t>3</w:t>
      </w:r>
      <w:r w:rsidR="008430BD" w:rsidRPr="00730B1E">
        <w:t xml:space="preserve">. Jejich velkou výhodou je </w:t>
      </w:r>
      <w:r w:rsidR="00782F55" w:rsidRPr="00730B1E">
        <w:t>skutečnost</w:t>
      </w:r>
      <w:r w:rsidR="008430BD" w:rsidRPr="00730B1E">
        <w:t>, že jsou přesnější, neboť je v nich například vyčleněna opatrovnická agenda (a není tedy uvedena dohromady s rejstříkem C)</w:t>
      </w:r>
      <w:r w:rsidR="00782F55" w:rsidRPr="00730B1E">
        <w:t>,</w:t>
      </w:r>
      <w:r w:rsidR="008430BD" w:rsidRPr="00730B1E">
        <w:t xml:space="preserve"> </w:t>
      </w:r>
      <w:r w:rsidR="000C3B1E" w:rsidRPr="00730B1E">
        <w:t>a </w:t>
      </w:r>
      <w:r w:rsidR="008430BD" w:rsidRPr="00730B1E">
        <w:t xml:space="preserve">zohledněny </w:t>
      </w:r>
      <w:r w:rsidR="00D65742" w:rsidRPr="00730B1E">
        <w:t xml:space="preserve">jsou </w:t>
      </w:r>
      <w:r w:rsidR="008430BD" w:rsidRPr="00730B1E">
        <w:t xml:space="preserve">i nepřítomnosti soudců, </w:t>
      </w:r>
      <w:r w:rsidR="00FC1534" w:rsidRPr="00730B1E">
        <w:t>jako</w:t>
      </w:r>
      <w:r w:rsidR="008430BD" w:rsidRPr="00730B1E">
        <w:t xml:space="preserve"> je </w:t>
      </w:r>
      <w:r w:rsidR="00782F55" w:rsidRPr="00730B1E">
        <w:t xml:space="preserve">například </w:t>
      </w:r>
      <w:r w:rsidR="008430BD" w:rsidRPr="00730B1E">
        <w:t>dlouhodobá nemoc apod. Počty skutečných úvazků jsou uvedeny s přesností na desetinu soudce. Tato data jsou využita v kapitolách s přepočty věcí na soudce</w:t>
      </w:r>
      <w:r w:rsidR="00D65742" w:rsidRPr="00730B1E">
        <w:t xml:space="preserve">, a počínaje touto zprávou </w:t>
      </w:r>
      <w:r w:rsidR="00627D0A" w:rsidRPr="00730B1E">
        <w:t>a nově</w:t>
      </w:r>
      <w:r w:rsidRPr="00730B1E">
        <w:t xml:space="preserve"> i</w:t>
      </w:r>
      <w:r w:rsidR="00D65742" w:rsidRPr="00730B1E">
        <w:t> </w:t>
      </w:r>
      <w:r w:rsidRPr="00730B1E">
        <w:t>v kapitolách o personálu</w:t>
      </w:r>
      <w:r w:rsidR="000F5128" w:rsidRPr="00730B1E">
        <w:t xml:space="preserve"> okresních a krajských soudů</w:t>
      </w:r>
      <w:r w:rsidRPr="00730B1E">
        <w:t>.</w:t>
      </w:r>
    </w:p>
    <w:p w14:paraId="0E486622" w14:textId="7BF497E0" w:rsidR="00C63DEB" w:rsidRPr="00730B1E" w:rsidRDefault="005D23B6" w:rsidP="008430BD">
      <w:pPr>
        <w:pStyle w:val="Odstavecseseznamem"/>
        <w:numPr>
          <w:ilvl w:val="1"/>
          <w:numId w:val="2"/>
        </w:numPr>
      </w:pPr>
      <w:r w:rsidRPr="00730B1E">
        <w:t>U</w:t>
      </w:r>
      <w:r w:rsidR="00C63DEB" w:rsidRPr="00730B1E">
        <w:t xml:space="preserve"> okresních a krajských soudů je evidenční počet soudců nově </w:t>
      </w:r>
      <w:r w:rsidR="00262BEC" w:rsidRPr="00730B1E">
        <w:t xml:space="preserve">aplikován </w:t>
      </w:r>
      <w:r w:rsidR="00C63DEB" w:rsidRPr="00730B1E">
        <w:t>jen okrajov</w:t>
      </w:r>
      <w:r w:rsidR="00F42D53" w:rsidRPr="00730B1E">
        <w:t>ě</w:t>
      </w:r>
      <w:r w:rsidR="00C63DEB" w:rsidRPr="00730B1E">
        <w:t xml:space="preserve"> pro srovnání se skutečným počtem soudců. U vrchních soudů, Nejvyššího soudu </w:t>
      </w:r>
      <w:r w:rsidR="00D12ED7" w:rsidRPr="00730B1E">
        <w:t>a </w:t>
      </w:r>
      <w:r w:rsidR="00D61724" w:rsidRPr="00730B1E">
        <w:t>N</w:t>
      </w:r>
      <w:r w:rsidR="00C63DEB" w:rsidRPr="00730B1E">
        <w:t xml:space="preserve">ejvyššího správního soudu zůstává evidenční počet soudců stále hlavní metrikou a je </w:t>
      </w:r>
      <w:r w:rsidR="00262BEC" w:rsidRPr="00730B1E">
        <w:t xml:space="preserve">použit </w:t>
      </w:r>
      <w:r w:rsidR="00C63DEB" w:rsidRPr="00730B1E">
        <w:t>v časových řadách stejně jako v předchozích verzích zprávy.</w:t>
      </w:r>
    </w:p>
    <w:p w14:paraId="4B9674C9" w14:textId="77777777" w:rsidR="00C63DEB" w:rsidRPr="00730B1E" w:rsidRDefault="00C63DEB" w:rsidP="00C63DEB">
      <w:pPr>
        <w:ind w:left="1080"/>
      </w:pPr>
    </w:p>
    <w:p w14:paraId="0275EB5B" w14:textId="77777777" w:rsidR="008430BD" w:rsidRPr="00730B1E" w:rsidRDefault="008430BD" w:rsidP="00FA2FE2">
      <w:r w:rsidRPr="00730B1E">
        <w:br w:type="page"/>
      </w:r>
    </w:p>
    <w:p w14:paraId="00D2A37B" w14:textId="77777777" w:rsidR="008430BD" w:rsidRPr="00730B1E" w:rsidRDefault="008430BD" w:rsidP="00F15667">
      <w:pPr>
        <w:pStyle w:val="Nadpis2"/>
        <w:numPr>
          <w:ilvl w:val="1"/>
          <w:numId w:val="1"/>
        </w:numPr>
        <w:spacing w:before="120"/>
        <w:rPr>
          <w:color w:val="auto"/>
        </w:rPr>
      </w:pPr>
      <w:bookmarkStart w:id="15" w:name="_Ref508884198"/>
      <w:bookmarkStart w:id="16" w:name="_Toc517118505"/>
      <w:bookmarkStart w:id="17" w:name="_Toc106092711"/>
      <w:bookmarkStart w:id="18" w:name="_Toc169250794"/>
      <w:bookmarkStart w:id="19" w:name="_Toc174080830"/>
      <w:r w:rsidRPr="00730B1E">
        <w:rPr>
          <w:color w:val="auto"/>
        </w:rPr>
        <w:lastRenderedPageBreak/>
        <w:t>Změny oproti verzi z minulého roku</w:t>
      </w:r>
      <w:bookmarkEnd w:id="15"/>
      <w:bookmarkEnd w:id="16"/>
      <w:bookmarkEnd w:id="17"/>
      <w:bookmarkEnd w:id="18"/>
      <w:bookmarkEnd w:id="19"/>
    </w:p>
    <w:p w14:paraId="05E50E5B" w14:textId="77777777" w:rsidR="00C63DEB" w:rsidRPr="00730B1E" w:rsidRDefault="008F71CE" w:rsidP="008430BD">
      <w:pPr>
        <w:pStyle w:val="OdstavecASR"/>
      </w:pPr>
      <w:r w:rsidRPr="00730B1E">
        <w:t xml:space="preserve">Tento rok </w:t>
      </w:r>
      <w:r w:rsidR="00C63DEB" w:rsidRPr="00730B1E">
        <w:t>byly oproti loňské verzi provedeny následující změny:</w:t>
      </w:r>
    </w:p>
    <w:p w14:paraId="02F4B589" w14:textId="4C33B03B" w:rsidR="00C63DEB" w:rsidRPr="00730B1E" w:rsidRDefault="00C63DEB" w:rsidP="00A94F8F">
      <w:pPr>
        <w:pStyle w:val="OdstavecASR"/>
        <w:numPr>
          <w:ilvl w:val="0"/>
          <w:numId w:val="22"/>
        </w:numPr>
      </w:pPr>
      <w:r w:rsidRPr="00730B1E">
        <w:t>Časové řady evidenčních počtů soudců</w:t>
      </w:r>
      <w:r w:rsidR="0051102C" w:rsidRPr="00730B1E">
        <w:t xml:space="preserve"> byly u OS a KS nahrazeny. Nyní je využit skutečný počet úvazků, a to pouze za rok 2023. Tento ukazatel je totiž přesnější.</w:t>
      </w:r>
      <w:r w:rsidR="00FF3660" w:rsidRPr="00730B1E">
        <w:t xml:space="preserve"> Počet soudců </w:t>
      </w:r>
      <w:r w:rsidR="00D12ED7" w:rsidRPr="00730B1E">
        <w:t>a </w:t>
      </w:r>
      <w:r w:rsidR="00FF3660" w:rsidRPr="00730B1E">
        <w:t>jejich složení se vyvíjí jen velmi málo, ztráta této informace tedy není problematická.</w:t>
      </w:r>
    </w:p>
    <w:p w14:paraId="590DC4DD" w14:textId="28AFDF8A" w:rsidR="0081039A" w:rsidRPr="00730B1E" w:rsidRDefault="0081039A" w:rsidP="00A94F8F">
      <w:pPr>
        <w:pStyle w:val="OdstavecASR"/>
        <w:numPr>
          <w:ilvl w:val="0"/>
          <w:numId w:val="22"/>
        </w:numPr>
      </w:pPr>
      <w:r w:rsidRPr="00730B1E">
        <w:t>Data o skutečném počtu úvazků</w:t>
      </w:r>
      <w:r w:rsidR="00A136FF" w:rsidRPr="00730B1E">
        <w:t xml:space="preserve"> a počtu přísedících</w:t>
      </w:r>
      <w:r w:rsidRPr="00730B1E">
        <w:t xml:space="preserve"> jsou k 1.</w:t>
      </w:r>
      <w:r w:rsidR="008E33E0">
        <w:t> </w:t>
      </w:r>
      <w:r w:rsidRPr="00730B1E">
        <w:t xml:space="preserve">1. daného roku, ne roku následujícího. </w:t>
      </w:r>
      <w:r w:rsidR="00D65742" w:rsidRPr="00730B1E">
        <w:t xml:space="preserve">Použitá data jsou tak </w:t>
      </w:r>
      <w:r w:rsidRPr="00730B1E">
        <w:t>k </w:t>
      </w:r>
      <w:r w:rsidR="00E03660" w:rsidRPr="00730B1E">
        <w:t>1.</w:t>
      </w:r>
      <w:r w:rsidR="008E33E0">
        <w:t> </w:t>
      </w:r>
      <w:r w:rsidR="00E03660" w:rsidRPr="00730B1E">
        <w:t>1.</w:t>
      </w:r>
      <w:r w:rsidR="008E33E0">
        <w:t> </w:t>
      </w:r>
      <w:r w:rsidR="00175FA0" w:rsidRPr="00730B1E">
        <w:t>2023</w:t>
      </w:r>
      <w:r w:rsidR="00D65742" w:rsidRPr="00730B1E">
        <w:t>, nikoliv</w:t>
      </w:r>
      <w:r w:rsidRPr="00730B1E">
        <w:t xml:space="preserve"> k 1.</w:t>
      </w:r>
      <w:r w:rsidR="008E33E0">
        <w:t> </w:t>
      </w:r>
      <w:r w:rsidRPr="00730B1E">
        <w:t>1.</w:t>
      </w:r>
      <w:r w:rsidR="008E33E0">
        <w:t> </w:t>
      </w:r>
      <w:r w:rsidRPr="00730B1E">
        <w:t>2024</w:t>
      </w:r>
      <w:r w:rsidR="00784515" w:rsidRPr="00730B1E">
        <w:t>.</w:t>
      </w:r>
    </w:p>
    <w:p w14:paraId="7D9A9BE2" w14:textId="3BD8B0A3" w:rsidR="00FF3660" w:rsidRPr="00730B1E" w:rsidRDefault="00D65742" w:rsidP="00A94F8F">
      <w:pPr>
        <w:pStyle w:val="OdstavecASR"/>
        <w:numPr>
          <w:ilvl w:val="0"/>
          <w:numId w:val="22"/>
        </w:numPr>
      </w:pPr>
      <w:r w:rsidRPr="00730B1E">
        <w:t xml:space="preserve">V zájmu </w:t>
      </w:r>
      <w:r w:rsidR="002C3331" w:rsidRPr="00730B1E">
        <w:t>zpřehlednění grafů byly časové řady</w:t>
      </w:r>
      <w:r w:rsidR="00AB42B2" w:rsidRPr="00730B1E">
        <w:t xml:space="preserve"> </w:t>
      </w:r>
      <w:r w:rsidRPr="00730B1E">
        <w:t xml:space="preserve">ve většině případů </w:t>
      </w:r>
      <w:r w:rsidR="002C3331" w:rsidRPr="00730B1E">
        <w:t>zkráceny na posledních 10</w:t>
      </w:r>
      <w:r w:rsidR="008E33E0">
        <w:t> </w:t>
      </w:r>
      <w:r w:rsidR="002C3331" w:rsidRPr="00730B1E">
        <w:t>let, tedy od roku 2014.</w:t>
      </w:r>
    </w:p>
    <w:p w14:paraId="5E4A1D6C" w14:textId="3AB22E79" w:rsidR="007F5182" w:rsidRPr="00730B1E" w:rsidRDefault="00C63DEB" w:rsidP="00A94F8F">
      <w:pPr>
        <w:pStyle w:val="OdstavecASR"/>
        <w:numPr>
          <w:ilvl w:val="0"/>
          <w:numId w:val="21"/>
        </w:numPr>
      </w:pPr>
      <w:r w:rsidRPr="00730B1E">
        <w:t>O</w:t>
      </w:r>
      <w:r w:rsidR="008F71CE" w:rsidRPr="00730B1E">
        <w:t>pět byla aktualizována data</w:t>
      </w:r>
      <w:r w:rsidR="002C3331" w:rsidRPr="00730B1E">
        <w:t>, změněny některé grafy a tabulky</w:t>
      </w:r>
      <w:r w:rsidR="008F71CE" w:rsidRPr="00730B1E">
        <w:t xml:space="preserve"> a upraveny </w:t>
      </w:r>
      <w:r w:rsidR="008F71CE" w:rsidRPr="00730B1E">
        <w:rPr>
          <w:i/>
          <w:iCs/>
        </w:rPr>
        <w:t>další statistiky</w:t>
      </w:r>
      <w:r w:rsidR="004879E9" w:rsidRPr="00730B1E">
        <w:rPr>
          <w:i/>
          <w:iCs/>
        </w:rPr>
        <w:t xml:space="preserve"> </w:t>
      </w:r>
      <w:r w:rsidR="004879E9" w:rsidRPr="00730B1E">
        <w:t>a mezinárodní srovnání</w:t>
      </w:r>
      <w:r w:rsidR="008F71CE" w:rsidRPr="00730B1E">
        <w:t>.</w:t>
      </w:r>
    </w:p>
    <w:p w14:paraId="72AAE666" w14:textId="77777777" w:rsidR="00BB7181" w:rsidRPr="00730B1E" w:rsidRDefault="00BB7181">
      <w:pPr>
        <w:spacing w:after="160" w:line="259" w:lineRule="auto"/>
        <w:jc w:val="left"/>
        <w:rPr>
          <w:rFonts w:eastAsiaTheme="majorEastAsia" w:cstheme="majorBidi"/>
          <w:b/>
          <w:sz w:val="32"/>
          <w:szCs w:val="32"/>
        </w:rPr>
      </w:pPr>
      <w:bookmarkStart w:id="20" w:name="_Toc517118506"/>
      <w:bookmarkStart w:id="21" w:name="_Toc106092712"/>
      <w:r w:rsidRPr="00730B1E">
        <w:br w:type="page"/>
      </w:r>
    </w:p>
    <w:p w14:paraId="0FD2D779" w14:textId="17D25899" w:rsidR="00BB7181" w:rsidRPr="00730B1E" w:rsidRDefault="00A85EE0" w:rsidP="00BB7181">
      <w:pPr>
        <w:pStyle w:val="Nadpis2"/>
        <w:numPr>
          <w:ilvl w:val="1"/>
          <w:numId w:val="1"/>
        </w:numPr>
        <w:spacing w:before="120"/>
        <w:rPr>
          <w:color w:val="auto"/>
          <w:lang w:eastAsia="cs-CZ"/>
        </w:rPr>
      </w:pPr>
      <w:bookmarkStart w:id="22" w:name="_Toc106092830"/>
      <w:bookmarkStart w:id="23" w:name="_Toc169250795"/>
      <w:bookmarkStart w:id="24" w:name="_Toc174080831"/>
      <w:r w:rsidRPr="00730B1E">
        <w:rPr>
          <w:color w:val="auto"/>
          <w:lang w:eastAsia="cs-CZ"/>
        </w:rPr>
        <w:lastRenderedPageBreak/>
        <w:t>Stručné</w:t>
      </w:r>
      <w:r w:rsidR="00A94F8F" w:rsidRPr="00730B1E">
        <w:rPr>
          <w:color w:val="auto"/>
          <w:lang w:eastAsia="cs-CZ"/>
        </w:rPr>
        <w:t xml:space="preserve"> s</w:t>
      </w:r>
      <w:r w:rsidR="00BB7181" w:rsidRPr="00730B1E">
        <w:rPr>
          <w:color w:val="auto"/>
          <w:lang w:eastAsia="cs-CZ"/>
        </w:rPr>
        <w:t>hrnutí</w:t>
      </w:r>
      <w:bookmarkEnd w:id="22"/>
      <w:bookmarkEnd w:id="23"/>
      <w:bookmarkEnd w:id="24"/>
    </w:p>
    <w:p w14:paraId="26A10869" w14:textId="4C4917A6" w:rsidR="00BB7181" w:rsidRPr="00730B1E" w:rsidRDefault="00A85EE0" w:rsidP="00BB7181">
      <w:pPr>
        <w:pStyle w:val="OdstavecASR"/>
        <w:keepNext/>
        <w:outlineLvl w:val="3"/>
        <w:rPr>
          <w:b/>
          <w:bCs/>
          <w:lang w:eastAsia="cs-CZ"/>
        </w:rPr>
      </w:pPr>
      <w:r w:rsidRPr="00730B1E">
        <w:rPr>
          <w:b/>
          <w:bCs/>
          <w:lang w:eastAsia="cs-CZ"/>
        </w:rPr>
        <w:t>Obecně</w:t>
      </w:r>
    </w:p>
    <w:p w14:paraId="33FB0B4C" w14:textId="04838D7A" w:rsidR="00A94F8F" w:rsidRPr="00730B1E" w:rsidRDefault="00A94F8F" w:rsidP="00A94F8F">
      <w:pPr>
        <w:pStyle w:val="OdstavecASR"/>
      </w:pPr>
      <w:r w:rsidRPr="00730B1E">
        <w:t xml:space="preserve">Celkově lze označit situaci v českém soudnictví jako stabilní. Plánovaný počet soudců je 3 063, evidenční počet soudců se obvykle drží těsně nad 3 000. Mírný rozdíl je vysvětlen tím, že </w:t>
      </w:r>
      <w:r w:rsidR="003C33E2" w:rsidRPr="00730B1E">
        <w:t xml:space="preserve">jednotliví </w:t>
      </w:r>
      <w:r w:rsidRPr="00730B1E">
        <w:t xml:space="preserve">soudci průběžně </w:t>
      </w:r>
      <w:r w:rsidR="003C33E2" w:rsidRPr="00730B1E">
        <w:t xml:space="preserve">ukončují výkon funkce </w:t>
      </w:r>
      <w:r w:rsidRPr="00730B1E">
        <w:t xml:space="preserve">(ať už z důvodu dosažení věku 70 let </w:t>
      </w:r>
      <w:r w:rsidR="003C33E2" w:rsidRPr="00730B1E">
        <w:t>k 31. prosinci příslušného roku</w:t>
      </w:r>
      <w:r w:rsidRPr="00730B1E">
        <w:t xml:space="preserve"> či </w:t>
      </w:r>
      <w:r w:rsidR="005D23B6" w:rsidRPr="00730B1E">
        <w:t>z</w:t>
      </w:r>
      <w:r w:rsidR="003C33E2" w:rsidRPr="00730B1E">
        <w:t> </w:t>
      </w:r>
      <w:r w:rsidRPr="00730B1E">
        <w:t>jiných důvodů</w:t>
      </w:r>
      <w:r w:rsidR="003C33E2" w:rsidRPr="00730B1E">
        <w:t xml:space="preserve"> průběžně</w:t>
      </w:r>
      <w:r w:rsidRPr="00730B1E">
        <w:t xml:space="preserve">) a doplňováni jsou pouze několikrát ročně během jmenovacích etap. </w:t>
      </w:r>
      <w:r w:rsidR="003C33E2" w:rsidRPr="00730B1E">
        <w:t>Pokud jde o skutečný počet soudců, t</w:t>
      </w:r>
      <w:r w:rsidRPr="00730B1E">
        <w:t xml:space="preserve">en je u OS nižší, než </w:t>
      </w:r>
      <w:r w:rsidR="00BF6CD0" w:rsidRPr="00730B1E">
        <w:t>evidenční</w:t>
      </w:r>
      <w:r w:rsidRPr="00730B1E">
        <w:t xml:space="preserve"> počet </w:t>
      </w:r>
      <w:r w:rsidR="003C33E2" w:rsidRPr="00730B1E">
        <w:t>z </w:t>
      </w:r>
      <w:r w:rsidRPr="00730B1E">
        <w:t>důvodů stáží u vyšších soudů, nemocnosti či rodičovských dovolených</w:t>
      </w:r>
      <w:r w:rsidR="003C33E2" w:rsidRPr="00730B1E">
        <w:t>;</w:t>
      </w:r>
      <w:r w:rsidRPr="00730B1E">
        <w:t xml:space="preserve"> </w:t>
      </w:r>
      <w:r w:rsidR="00D12ED7" w:rsidRPr="00730B1E">
        <w:t>u </w:t>
      </w:r>
      <w:r w:rsidRPr="00730B1E">
        <w:t xml:space="preserve">KS </w:t>
      </w:r>
      <w:r w:rsidR="003C33E2" w:rsidRPr="00730B1E">
        <w:t>přibližně odpovídá evidenčnímu počtu</w:t>
      </w:r>
      <w:r w:rsidRPr="00730B1E">
        <w:t>.</w:t>
      </w:r>
      <w:r w:rsidR="005042D3" w:rsidRPr="00730B1E">
        <w:t xml:space="preserve"> </w:t>
      </w:r>
      <w:r w:rsidR="003C33E2" w:rsidRPr="00730B1E">
        <w:t xml:space="preserve">Pokud jde o podíl soudců a soudkyň, </w:t>
      </w:r>
      <w:r w:rsidR="005042D3" w:rsidRPr="00730B1E">
        <w:t>stejn</w:t>
      </w:r>
      <w:r w:rsidR="003C33E2" w:rsidRPr="00730B1E">
        <w:t>ě</w:t>
      </w:r>
      <w:r w:rsidR="005042D3" w:rsidRPr="00730B1E">
        <w:t xml:space="preserve"> jako </w:t>
      </w:r>
      <w:r w:rsidR="003C33E2" w:rsidRPr="00730B1E">
        <w:t xml:space="preserve">ve </w:t>
      </w:r>
      <w:r w:rsidR="005042D3" w:rsidRPr="00730B1E">
        <w:t>většin</w:t>
      </w:r>
      <w:r w:rsidR="003C33E2" w:rsidRPr="00730B1E">
        <w:t>ě</w:t>
      </w:r>
      <w:r w:rsidR="005042D3" w:rsidRPr="00730B1E">
        <w:t xml:space="preserve"> zemí EU i celé Evropy </w:t>
      </w:r>
      <w:r w:rsidR="003C33E2" w:rsidRPr="00730B1E">
        <w:t xml:space="preserve">platí, že </w:t>
      </w:r>
      <w:r w:rsidR="005042D3" w:rsidRPr="00730B1E">
        <w:t xml:space="preserve">podíl soudkyň je nejvyšší u soudů 1. stupně a postupně </w:t>
      </w:r>
      <w:r w:rsidR="003C33E2" w:rsidRPr="00730B1E">
        <w:t xml:space="preserve">klesá </w:t>
      </w:r>
      <w:r w:rsidR="00FF606F" w:rsidRPr="00730B1E">
        <w:t>s </w:t>
      </w:r>
      <w:r w:rsidR="003C33E2" w:rsidRPr="00730B1E">
        <w:t>každým dalším</w:t>
      </w:r>
      <w:r w:rsidR="00FF606F" w:rsidRPr="00730B1E">
        <w:t xml:space="preserve"> </w:t>
      </w:r>
      <w:r w:rsidR="005042D3" w:rsidRPr="00730B1E">
        <w:t>stupněm soudu.</w:t>
      </w:r>
    </w:p>
    <w:p w14:paraId="40ED35C8" w14:textId="318ADAAA" w:rsidR="00A94F8F" w:rsidRPr="00730B1E" w:rsidRDefault="00A94F8F" w:rsidP="00A94F8F">
      <w:pPr>
        <w:pStyle w:val="OdstavecASR"/>
      </w:pPr>
      <w:r w:rsidRPr="00730B1E">
        <w:t>Délky řízení se v absolutních číslech samozřejmě liší v závislosti na agendě a článku soudní soustavy. Obecně lze ale říci, že ve většině případů jsou stabilní a někdy dokonce klesají (především správní agenda u krajských s</w:t>
      </w:r>
      <w:r w:rsidR="003C33E2" w:rsidRPr="00730B1E">
        <w:t>o</w:t>
      </w:r>
      <w:r w:rsidRPr="00730B1E">
        <w:t>udů). V této oblasti došlo hlavně u okresních soudů ve sledovaném období</w:t>
      </w:r>
      <w:r w:rsidR="00E739E0" w:rsidRPr="00730B1E">
        <w:t xml:space="preserve"> 2014 až 2023</w:t>
      </w:r>
      <w:r w:rsidRPr="00730B1E">
        <w:t xml:space="preserve"> k velkému zlepšení, a to především díky snížení variability mezi soudy. Tedy díky tomu, že se podařilo vylepšit statistiky nejpřetíženějších soudů.</w:t>
      </w:r>
      <w:r w:rsidR="00E276BC" w:rsidRPr="00730B1E">
        <w:t xml:space="preserve"> V této oblasti je zajímavé </w:t>
      </w:r>
      <w:r w:rsidR="00FF606F" w:rsidRPr="00730B1E">
        <w:t>všímat si</w:t>
      </w:r>
      <w:r w:rsidR="00394DB7" w:rsidRPr="00730B1E">
        <w:t xml:space="preserve"> </w:t>
      </w:r>
      <w:r w:rsidR="00FF606F" w:rsidRPr="00730B1E">
        <w:t>výsledků</w:t>
      </w:r>
      <w:r w:rsidR="00E276BC" w:rsidRPr="00730B1E">
        <w:t xml:space="preserve"> soudního kraje Jižní Čechy</w:t>
      </w:r>
      <w:r w:rsidR="00FF606F" w:rsidRPr="00730B1E">
        <w:t>, a to ve všech agendách</w:t>
      </w:r>
      <w:r w:rsidR="000B420E" w:rsidRPr="00730B1E">
        <w:t>, na všech stupních</w:t>
      </w:r>
      <w:r w:rsidR="00A91374" w:rsidRPr="00730B1E">
        <w:t xml:space="preserve"> a</w:t>
      </w:r>
      <w:r w:rsidR="00D505DC" w:rsidRPr="00730B1E">
        <w:t> </w:t>
      </w:r>
      <w:r w:rsidR="00A91374" w:rsidRPr="00730B1E">
        <w:t>dlouhodobě</w:t>
      </w:r>
      <w:r w:rsidR="00E276BC" w:rsidRPr="00730B1E">
        <w:t>.</w:t>
      </w:r>
    </w:p>
    <w:p w14:paraId="673504F5" w14:textId="45D73997" w:rsidR="00A94F8F" w:rsidRPr="00730B1E" w:rsidRDefault="00A94F8F" w:rsidP="00A94F8F">
      <w:pPr>
        <w:pStyle w:val="OdstavecASR"/>
      </w:pPr>
      <w:r w:rsidRPr="00730B1E">
        <w:t xml:space="preserve">Obdobné závěry platí i pro počty věcí. </w:t>
      </w:r>
      <w:r w:rsidR="003C33E2" w:rsidRPr="00730B1E">
        <w:t>Přibližně od</w:t>
      </w:r>
      <w:r w:rsidRPr="00730B1E">
        <w:t xml:space="preserve"> začátku sledovaného období až do roku 2020 klesal nápad u velkého množství agend u okresních soudů. Počet nevyřízených věcí často klesal až do roku 2023. U krajských a vrchních soudů je situace různorodější. V současné době je ale situace u většiny agend víceméně stabilní. Za zmínku opět stojí správní agenda u krajských soudů i NSS, kde došlo v letech 2022 a 2023 ke zlepšení situace.</w:t>
      </w:r>
    </w:p>
    <w:p w14:paraId="780C19E5" w14:textId="056A90DB" w:rsidR="00A94F8F" w:rsidRPr="00730B1E" w:rsidRDefault="00A94F8F" w:rsidP="00A94F8F">
      <w:pPr>
        <w:pStyle w:val="OdstavecASR"/>
      </w:pPr>
      <w:r w:rsidRPr="00730B1E">
        <w:t xml:space="preserve">V rámci mezinárodního srovnání si ČR nevede </w:t>
      </w:r>
      <w:r w:rsidR="00E739E0" w:rsidRPr="00730B1E">
        <w:t>špatně,</w:t>
      </w:r>
      <w:r w:rsidRPr="00730B1E">
        <w:t xml:space="preserve"> a i v tomto srovnání je situace v posledních letech stabilní.</w:t>
      </w:r>
      <w:r w:rsidR="003D44A2" w:rsidRPr="00730B1E">
        <w:t xml:space="preserve"> Zmínit můžeme velmi dobrou dostupnost soudní ochrany doprovázenou relativně vysokou vnímanou nezávislostí soudů jak ze strany veřejnosti</w:t>
      </w:r>
      <w:r w:rsidR="003C33E2" w:rsidRPr="00730B1E">
        <w:t>,</w:t>
      </w:r>
      <w:r w:rsidR="003D44A2" w:rsidRPr="00730B1E">
        <w:t xml:space="preserve"> tak podnikatelů (zejména v porovnání se sousedním Polskem, Slovenskem i</w:t>
      </w:r>
      <w:r w:rsidR="005042D3" w:rsidRPr="00730B1E">
        <w:t> </w:t>
      </w:r>
      <w:r w:rsidR="003D44A2" w:rsidRPr="00730B1E">
        <w:t xml:space="preserve">Maďarskem), </w:t>
      </w:r>
      <w:r w:rsidR="003C33E2" w:rsidRPr="00730B1E">
        <w:t>stejně jako</w:t>
      </w:r>
      <w:r w:rsidR="003D44A2" w:rsidRPr="00730B1E">
        <w:t xml:space="preserve"> efektivní vyřizování civilní, správní, ale i trestní </w:t>
      </w:r>
      <w:r w:rsidR="001D5672" w:rsidRPr="00730B1E">
        <w:t>agendy</w:t>
      </w:r>
      <w:r w:rsidR="00D04325" w:rsidRPr="00730B1E">
        <w:t>.</w:t>
      </w:r>
    </w:p>
    <w:p w14:paraId="034A5FCE" w14:textId="12C30158" w:rsidR="00A94F8F" w:rsidRPr="00730B1E" w:rsidRDefault="00981BF7" w:rsidP="00A94F8F">
      <w:pPr>
        <w:pStyle w:val="OdstavecASR"/>
      </w:pPr>
      <w:r w:rsidRPr="00730B1E">
        <w:t>I přes to, že</w:t>
      </w:r>
      <w:r w:rsidR="003C33E2" w:rsidRPr="00730B1E">
        <w:t xml:space="preserve"> je </w:t>
      </w:r>
      <w:r w:rsidR="00A94F8F" w:rsidRPr="00730B1E">
        <w:t xml:space="preserve">situace ve výkonnostních ukazatelích často v posledních letech stabilní (nebo se mírně vylepšuje), </w:t>
      </w:r>
      <w:r w:rsidRPr="00730B1E">
        <w:t>v datech můžeme identifikovat výrazné vývojové trendy v obsahu samotné rozhodovací činnosti</w:t>
      </w:r>
      <w:r w:rsidR="00A94F8F" w:rsidRPr="00730B1E">
        <w:t>. Jako příklad lze uvést rostoucí trend ukládání peněžitých trestů či využívání institutu dohod</w:t>
      </w:r>
      <w:r w:rsidRPr="00730B1E">
        <w:t>y</w:t>
      </w:r>
      <w:r w:rsidR="00A94F8F" w:rsidRPr="00730B1E">
        <w:t xml:space="preserve"> </w:t>
      </w:r>
      <w:r w:rsidRPr="00730B1E">
        <w:t>o </w:t>
      </w:r>
      <w:r w:rsidR="00A94F8F" w:rsidRPr="00730B1E">
        <w:t>vině a trestu v trestní agendě.</w:t>
      </w:r>
    </w:p>
    <w:p w14:paraId="574A0DD1" w14:textId="6CC93F80" w:rsidR="00A94F8F" w:rsidRPr="00730B1E" w:rsidRDefault="00A94F8F" w:rsidP="00A94F8F">
      <w:pPr>
        <w:pStyle w:val="OdstavecASR"/>
      </w:pPr>
      <w:r w:rsidRPr="00730B1E">
        <w:t xml:space="preserve">Podrobnější informace </w:t>
      </w:r>
      <w:r w:rsidR="00981BF7" w:rsidRPr="00730B1E">
        <w:t>jsou dostupné</w:t>
      </w:r>
      <w:r w:rsidRPr="00730B1E">
        <w:t xml:space="preserve"> v jednotlivých částech této publikace.</w:t>
      </w:r>
    </w:p>
    <w:p w14:paraId="016E4EFC" w14:textId="77777777" w:rsidR="00BB7181" w:rsidRPr="00730B1E" w:rsidRDefault="00BB7181" w:rsidP="00BB7181">
      <w:pPr>
        <w:pStyle w:val="OdstavecASR"/>
        <w:keepNext/>
        <w:outlineLvl w:val="3"/>
        <w:rPr>
          <w:b/>
          <w:bCs/>
          <w:lang w:eastAsia="cs-CZ"/>
        </w:rPr>
      </w:pPr>
      <w:r w:rsidRPr="00730B1E">
        <w:rPr>
          <w:b/>
          <w:bCs/>
          <w:lang w:eastAsia="cs-CZ"/>
        </w:rPr>
        <w:t>Okresní soudy</w:t>
      </w:r>
    </w:p>
    <w:p w14:paraId="5AB61407" w14:textId="15435718" w:rsidR="00BF6CD0" w:rsidRPr="00730B1E" w:rsidRDefault="00BF6CD0" w:rsidP="00BF6CD0">
      <w:pPr>
        <w:pStyle w:val="OdstavecASR"/>
      </w:pPr>
      <w:r w:rsidRPr="00730B1E">
        <w:t>Počet soudců je u OS dlouhodobě stabilní. Nemění se ani velikost úseků, ani zastoupení dle pohlaví.</w:t>
      </w:r>
      <w:r w:rsidR="00FA2C62" w:rsidRPr="00730B1E">
        <w:t xml:space="preserve"> Počet skutečných úvazků je </w:t>
      </w:r>
      <w:r w:rsidR="00E739E0" w:rsidRPr="00730B1E">
        <w:t>nižší,</w:t>
      </w:r>
      <w:r w:rsidR="00FA2C62" w:rsidRPr="00730B1E">
        <w:t xml:space="preserve"> než počet evidenčních soudců z důvodů stáží </w:t>
      </w:r>
      <w:r w:rsidR="00D12ED7" w:rsidRPr="00730B1E">
        <w:t>u </w:t>
      </w:r>
      <w:r w:rsidR="00FA2C62" w:rsidRPr="00730B1E">
        <w:t>vyšších soudů, nemocnosti či rodičovských dovolených.</w:t>
      </w:r>
    </w:p>
    <w:p w14:paraId="162B27C3" w14:textId="565E3846" w:rsidR="00BF6CD0" w:rsidRPr="00730B1E" w:rsidRDefault="00BF6CD0" w:rsidP="00BF6CD0">
      <w:pPr>
        <w:pStyle w:val="OdstavecASR"/>
      </w:pPr>
      <w:r w:rsidRPr="00730B1E">
        <w:t xml:space="preserve">V civilní agendě došlo </w:t>
      </w:r>
      <w:r w:rsidR="00FA2C62" w:rsidRPr="00730B1E">
        <w:t>ve sledovaném období</w:t>
      </w:r>
      <w:r w:rsidRPr="00730B1E">
        <w:t xml:space="preserve"> k výraznému zlepšení. Došlo k razantnímu snížení v délkách řízení, dispozičním čase a počtech nevyřízených věcí a nedodělků. Tomuto vývoji nepochybně napomohlo výrazné snížení nápadu. Historicky značná část problémů plynula z velké variability – mnoho soudů problémy nemělo, ale soudy v Jihomoravském kraji a především </w:t>
      </w:r>
      <w:r w:rsidRPr="00730B1E">
        <w:lastRenderedPageBreak/>
        <w:t>v Severočeském kraji vykazovaly značné obtíže. Situace se i v tomto ohledu výrazně zlepšila, ale určité rozdíly přetrvávají.</w:t>
      </w:r>
    </w:p>
    <w:p w14:paraId="10A127CE" w14:textId="77777777" w:rsidR="00BF6CD0" w:rsidRPr="00730B1E" w:rsidRDefault="00BF6CD0" w:rsidP="00BF6CD0">
      <w:pPr>
        <w:pStyle w:val="OdstavecASR"/>
      </w:pPr>
      <w:r w:rsidRPr="00730B1E">
        <w:t>Agenda elektronického platebního rozkazu byla vždy z hlediska délek řízení a vyřizování soudy jednoduchá a bezproblémová. Veškeré ukazatele jsou více či méně stabilní.</w:t>
      </w:r>
    </w:p>
    <w:p w14:paraId="1180B3A6" w14:textId="384D4399" w:rsidR="00BF6CD0" w:rsidRPr="00730B1E" w:rsidRDefault="00BF6CD0" w:rsidP="00BF6CD0">
      <w:pPr>
        <w:pStyle w:val="OdstavecASR"/>
      </w:pPr>
      <w:r w:rsidRPr="00730B1E">
        <w:t xml:space="preserve">V trestní agendě došlo rovněž ke zlepšení, i když méně patrnému než v agendě civilní. Délky řízení jsou celorepublikově stabilní, ale došlo </w:t>
      </w:r>
      <w:r w:rsidR="00A40F2C" w:rsidRPr="00730B1E">
        <w:t xml:space="preserve">k takovému </w:t>
      </w:r>
      <w:r w:rsidRPr="00730B1E">
        <w:t>snížení variability</w:t>
      </w:r>
      <w:r w:rsidR="00A40F2C" w:rsidRPr="00730B1E">
        <w:t>, že rozdíly mezi okresními soudy jsou nejmenší za posledních 16 let</w:t>
      </w:r>
      <w:r w:rsidRPr="00730B1E">
        <w:t xml:space="preserve">. Opět se tedy zlepšily některé problematické soudy. </w:t>
      </w:r>
      <w:r w:rsidR="00FA2C62" w:rsidRPr="00730B1E">
        <w:t>V posledních dvou letech ale došlo i</w:t>
      </w:r>
      <w:r w:rsidR="00784515" w:rsidRPr="00730B1E">
        <w:t xml:space="preserve"> k</w:t>
      </w:r>
      <w:r w:rsidR="00FA2C62" w:rsidRPr="00730B1E">
        <w:t xml:space="preserve"> poklesu samotných délek řízení (průměru, mediánu i</w:t>
      </w:r>
      <w:r w:rsidR="00D505DC" w:rsidRPr="00730B1E">
        <w:t> </w:t>
      </w:r>
      <w:r w:rsidR="00FA2C62" w:rsidRPr="00730B1E">
        <w:t xml:space="preserve">percentilu 90). </w:t>
      </w:r>
      <w:r w:rsidRPr="00730B1E">
        <w:t xml:space="preserve">V počtu příchozích a nevyřízených věcí je patrný klesající trend od roku 2014. V trestní agendě nicméně stále jsou </w:t>
      </w:r>
      <w:r w:rsidR="004D4E66" w:rsidRPr="00730B1E">
        <w:t xml:space="preserve">ojedinělé </w:t>
      </w:r>
      <w:r w:rsidRPr="00730B1E">
        <w:t>soudy, které vykazují problémy, a situace se tam příliš nezlepšuje. Je také třeba zmínit velký nárůst v počtu uložených peněžitých trestů v posledních letech.</w:t>
      </w:r>
    </w:p>
    <w:p w14:paraId="1178A86C" w14:textId="2A5BECCA" w:rsidR="00BF6CD0" w:rsidRPr="00730B1E" w:rsidRDefault="00BF6CD0" w:rsidP="00BF6CD0">
      <w:pPr>
        <w:pStyle w:val="OdstavecASR"/>
      </w:pPr>
      <w:r w:rsidRPr="00730B1E">
        <w:t xml:space="preserve">V opatrovnické agendě </w:t>
      </w:r>
      <w:r w:rsidR="00FA2C62" w:rsidRPr="00730B1E">
        <w:t xml:space="preserve">nabyl </w:t>
      </w:r>
      <w:r w:rsidR="00DC763F" w:rsidRPr="00730B1E">
        <w:t xml:space="preserve">v roce 2014 </w:t>
      </w:r>
      <w:r w:rsidR="00FA2C62" w:rsidRPr="00730B1E">
        <w:t>účinnosti</w:t>
      </w:r>
      <w:r w:rsidRPr="00730B1E">
        <w:t xml:space="preserve"> nový občanský zákoník (zákon č. 89/2012 Sb.), což vedlo k růstu nápadu, délek řízení a počtu nevyřízených věcí. Od roku 2016 se počty nevyřízených </w:t>
      </w:r>
      <w:r w:rsidR="00DC763F" w:rsidRPr="00730B1E">
        <w:t xml:space="preserve">věcí </w:t>
      </w:r>
      <w:r w:rsidRPr="00730B1E">
        <w:t>začaly vracet do stavu před nabytím účinnosti zákona č. 89/2012 Sb. Délky řízení začaly klesat o rok později. Nápad zřejmě již trvale zůstane vyšší</w:t>
      </w:r>
      <w:r w:rsidR="00FA2C62" w:rsidRPr="00730B1E">
        <w:t>, navíc v</w:t>
      </w:r>
      <w:r w:rsidR="00DC763F" w:rsidRPr="00730B1E">
        <w:t> </w:t>
      </w:r>
      <w:r w:rsidR="00FA2C62" w:rsidRPr="00730B1E">
        <w:t>posledních 3 letech opět roste.</w:t>
      </w:r>
    </w:p>
    <w:p w14:paraId="5CE1E4CA" w14:textId="0C90014A" w:rsidR="00BF6CD0" w:rsidRPr="00730B1E" w:rsidRDefault="00BF6CD0" w:rsidP="00BF6CD0">
      <w:pPr>
        <w:pStyle w:val="OdstavecASR"/>
      </w:pPr>
      <w:r w:rsidRPr="00730B1E">
        <w:t>Celkově lze říct, že se situace u okresních soudů z</w:t>
      </w:r>
      <w:r w:rsidR="00DC763F" w:rsidRPr="00730B1E">
        <w:t> </w:t>
      </w:r>
      <w:r w:rsidRPr="00730B1E">
        <w:t xml:space="preserve">hlediska délek řízení a zatíženosti soudů za posledních </w:t>
      </w:r>
      <w:r w:rsidR="00E739E0" w:rsidRPr="00730B1E">
        <w:t>10</w:t>
      </w:r>
      <w:r w:rsidRPr="00730B1E">
        <w:t> let výrazně zlepšila, především pak v</w:t>
      </w:r>
      <w:r w:rsidR="00DC763F" w:rsidRPr="00730B1E">
        <w:t> </w:t>
      </w:r>
      <w:r w:rsidRPr="00730B1E">
        <w:t>Severočeském kraji. Stále jsou ale soudy, které mají potíže s</w:t>
      </w:r>
      <w:r w:rsidR="00DC763F" w:rsidRPr="00730B1E">
        <w:t> </w:t>
      </w:r>
      <w:r w:rsidRPr="00730B1E">
        <w:t>vyřizováním agend a existuje tak prostor pro zlepšení.</w:t>
      </w:r>
    </w:p>
    <w:p w14:paraId="61130401" w14:textId="04D64229" w:rsidR="00BF6CD0" w:rsidRPr="00730B1E" w:rsidRDefault="00BF6CD0" w:rsidP="00BF6CD0">
      <w:pPr>
        <w:pStyle w:val="OdstavecASR"/>
      </w:pPr>
      <w:r w:rsidRPr="00730B1E">
        <w:t>Je také třeba zmínit vliv pandemie COVID</w:t>
      </w:r>
      <w:r w:rsidRPr="00730B1E">
        <w:noBreakHyphen/>
        <w:t>19 a s</w:t>
      </w:r>
      <w:r w:rsidR="00DC763F" w:rsidRPr="00730B1E">
        <w:t> </w:t>
      </w:r>
      <w:r w:rsidRPr="00730B1E">
        <w:t>ní související opatření. Ve většině agend došlo k</w:t>
      </w:r>
      <w:r w:rsidR="00DC763F" w:rsidRPr="00730B1E">
        <w:t> </w:t>
      </w:r>
      <w:r w:rsidRPr="00730B1E">
        <w:t>výraznému poklesu nápadu</w:t>
      </w:r>
      <w:r w:rsidR="00DC763F" w:rsidRPr="00730B1E">
        <w:t>,</w:t>
      </w:r>
      <w:r w:rsidRPr="00730B1E">
        <w:t xml:space="preserve"> a</w:t>
      </w:r>
      <w:r w:rsidR="00DC763F" w:rsidRPr="00730B1E">
        <w:t>le</w:t>
      </w:r>
      <w:r w:rsidRPr="00730B1E">
        <w:t xml:space="preserve"> pandemie </w:t>
      </w:r>
      <w:r w:rsidR="00DC763F" w:rsidRPr="00730B1E">
        <w:t xml:space="preserve">zároveň </w:t>
      </w:r>
      <w:r w:rsidRPr="00730B1E">
        <w:t xml:space="preserve">soudům ztížila práci; do statistik vyřizování věcí a délek řízení se </w:t>
      </w:r>
      <w:r w:rsidR="00DC763F" w:rsidRPr="00730B1E">
        <w:t xml:space="preserve">tyto jevy </w:t>
      </w:r>
      <w:r w:rsidRPr="00730B1E">
        <w:t>nicméně příliš nepromítl</w:t>
      </w:r>
      <w:r w:rsidR="00DC763F" w:rsidRPr="00730B1E">
        <w:t>y,</w:t>
      </w:r>
      <w:r w:rsidRPr="00730B1E">
        <w:t xml:space="preserve"> snad s výjimkou rejstříku C v roce 2020. V roce 2021 soudy velmi dobře zvládaly vyřizovat i věci rejstříku C. </w:t>
      </w:r>
      <w:r w:rsidR="00DC763F" w:rsidRPr="00730B1E">
        <w:t xml:space="preserve">Počínaje rokem </w:t>
      </w:r>
      <w:r w:rsidRPr="00730B1E">
        <w:t xml:space="preserve">2022 pak už vliv pandemie </w:t>
      </w:r>
      <w:r w:rsidR="00DC763F" w:rsidRPr="00730B1E">
        <w:t>odezněl</w:t>
      </w:r>
      <w:r w:rsidRPr="00730B1E">
        <w:t>.</w:t>
      </w:r>
    </w:p>
    <w:p w14:paraId="0B5A7C3A" w14:textId="77777777" w:rsidR="00BB7181" w:rsidRPr="00730B1E" w:rsidRDefault="00BB7181" w:rsidP="00BB7181">
      <w:pPr>
        <w:pStyle w:val="OdstavecASR"/>
        <w:keepNext/>
        <w:outlineLvl w:val="3"/>
        <w:rPr>
          <w:b/>
          <w:bCs/>
          <w:lang w:eastAsia="cs-CZ"/>
        </w:rPr>
      </w:pPr>
      <w:r w:rsidRPr="00730B1E">
        <w:rPr>
          <w:b/>
          <w:bCs/>
          <w:lang w:eastAsia="cs-CZ"/>
        </w:rPr>
        <w:t>Krajské soudy</w:t>
      </w:r>
    </w:p>
    <w:p w14:paraId="7425F603" w14:textId="2CCA4E3F" w:rsidR="004A62B7" w:rsidRPr="00730B1E" w:rsidRDefault="004A62B7" w:rsidP="004A62B7">
      <w:pPr>
        <w:pStyle w:val="OdstavecASR"/>
        <w:rPr>
          <w:lang w:eastAsia="cs-CZ"/>
        </w:rPr>
      </w:pPr>
      <w:r w:rsidRPr="00730B1E">
        <w:rPr>
          <w:lang w:eastAsia="cs-CZ"/>
        </w:rPr>
        <w:t xml:space="preserve">Počet soudců je u KS dlouhodobě stabilní. Nemění se ani velikost úseků. Soudy mají o něco nižší evidenční počet soudců, než je plán. Skutečný počet je pak </w:t>
      </w:r>
      <w:r w:rsidR="004D4E66" w:rsidRPr="00730B1E">
        <w:rPr>
          <w:lang w:eastAsia="cs-CZ"/>
        </w:rPr>
        <w:t>víceméně</w:t>
      </w:r>
      <w:r w:rsidR="00DC763F" w:rsidRPr="00730B1E">
        <w:rPr>
          <w:lang w:eastAsia="cs-CZ"/>
        </w:rPr>
        <w:t xml:space="preserve"> </w:t>
      </w:r>
      <w:r w:rsidRPr="00730B1E">
        <w:rPr>
          <w:lang w:eastAsia="cs-CZ"/>
        </w:rPr>
        <w:t xml:space="preserve">roven </w:t>
      </w:r>
      <w:r w:rsidR="00DC763F" w:rsidRPr="00730B1E">
        <w:rPr>
          <w:lang w:eastAsia="cs-CZ"/>
        </w:rPr>
        <w:t>počtu</w:t>
      </w:r>
      <w:r w:rsidRPr="00730B1E">
        <w:rPr>
          <w:lang w:eastAsia="cs-CZ"/>
        </w:rPr>
        <w:t xml:space="preserve"> plánovanému. </w:t>
      </w:r>
    </w:p>
    <w:p w14:paraId="6F5BC441" w14:textId="77777777" w:rsidR="004A62B7" w:rsidRPr="00730B1E" w:rsidRDefault="004A62B7" w:rsidP="004A62B7">
      <w:pPr>
        <w:pStyle w:val="OdstavecASR"/>
      </w:pPr>
      <w:r w:rsidRPr="00730B1E">
        <w:rPr>
          <w:lang w:eastAsia="cs-CZ"/>
        </w:rPr>
        <w:t xml:space="preserve">V prvostupňové civilní a obchodní agendě velmi prudce klesl nápad, což se projevilo poklesem počtu nevyřízených věcí. To lze označit za pozitivní zprávu. Pokles se ale nepromítl do délek řízení především kvůli tomu, že je </w:t>
      </w:r>
      <w:r w:rsidRPr="00730B1E">
        <w:t>velká část věcí přerušena z důvodu rozhodnutí o úpadku či konkursu. Přerušené věci se promítají do statistik a dochází tak ke zvýšení vykázaných délek řízení.</w:t>
      </w:r>
    </w:p>
    <w:p w14:paraId="2E84D27F" w14:textId="77777777" w:rsidR="004A62B7" w:rsidRPr="00730B1E" w:rsidRDefault="004A62B7" w:rsidP="004A62B7">
      <w:pPr>
        <w:pStyle w:val="OdstavecASR"/>
      </w:pPr>
      <w:r w:rsidRPr="00730B1E">
        <w:t>V civilní odvolací agendě došlo rovněž k poklesu v nápadu, což plyne z poklesu v nápadu u okresních soudů. To vyústilo v pokles počtu nevyřízených věcí. Délky řízení jsou zde nicméně stabilní. Jsou také poměrně nízké v porovnání s prvostupňovou agendou. Civilní odvolací agendu lze označit za celkem bezproblémovou, byť jsou i zde přítomny určité rozdíly mezi soudy.</w:t>
      </w:r>
    </w:p>
    <w:p w14:paraId="388C26BB" w14:textId="25217757" w:rsidR="004A62B7" w:rsidRPr="00730B1E" w:rsidRDefault="004A62B7" w:rsidP="004A62B7">
      <w:pPr>
        <w:pStyle w:val="OdstavecASR"/>
      </w:pPr>
      <w:r w:rsidRPr="00730B1E">
        <w:t xml:space="preserve">Statistické sledování prvostupňové trestní agendy ztěžuje to, že se jedná o malou agendu z hlediska počtu věcí, což znamená malý počet pozorování, a tedy velkou variabilitu dat. Některé soudy vykazují v této agendě určité problémy, dlouhodobě ale lze situaci označit za stabilní, i když s určitými výkyvy. Je třeba přiznat, že se zde situace ze statistického hlediska </w:t>
      </w:r>
      <w:r w:rsidR="00DC763F" w:rsidRPr="00730B1E">
        <w:t xml:space="preserve">výrazně </w:t>
      </w:r>
      <w:r w:rsidRPr="00730B1E">
        <w:t>ne</w:t>
      </w:r>
      <w:r w:rsidR="00DC763F" w:rsidRPr="00730B1E">
        <w:t>z</w:t>
      </w:r>
      <w:r w:rsidRPr="00730B1E">
        <w:t>lepšila.</w:t>
      </w:r>
      <w:r w:rsidR="004D4E66" w:rsidRPr="00730B1E">
        <w:t xml:space="preserve"> Vzhledem k variabilitě nápadu to ale nemusí být možné.</w:t>
      </w:r>
    </w:p>
    <w:p w14:paraId="73B6B08B" w14:textId="77777777" w:rsidR="004A62B7" w:rsidRPr="00730B1E" w:rsidRDefault="004A62B7" w:rsidP="004A62B7">
      <w:pPr>
        <w:pStyle w:val="OdstavecASR"/>
      </w:pPr>
      <w:r w:rsidRPr="00730B1E">
        <w:lastRenderedPageBreak/>
        <w:t>Trestní odvolací agenda je z dlouhodobého hlediska bezproblémová – nízké délky řízení a disposition time (DT), málo nevyřízených věcí a nevelké rozdíly mezi soudy. V letech 2020 a 2021 výrazně klesl nápad kvůli pandemii onemocnění COVID</w:t>
      </w:r>
      <w:r w:rsidRPr="00730B1E">
        <w:noBreakHyphen/>
        <w:t>19.</w:t>
      </w:r>
    </w:p>
    <w:p w14:paraId="429FB1D1" w14:textId="502C3431" w:rsidR="004A62B7" w:rsidRPr="00730B1E" w:rsidRDefault="004A62B7" w:rsidP="004A62B7">
      <w:pPr>
        <w:pStyle w:val="OdstavecASR"/>
      </w:pPr>
      <w:r w:rsidRPr="00730B1E">
        <w:t xml:space="preserve">Správní agenda byla až do nedávna ze statistického hlediska nejproblematičtější agendou krajských soudů. Dlouhodobě </w:t>
      </w:r>
      <w:r w:rsidR="007F1D9F" w:rsidRPr="00730B1E">
        <w:t>vykazovala</w:t>
      </w:r>
      <w:r w:rsidRPr="00730B1E">
        <w:t xml:space="preserve"> vysoké délky řízení a vysoký DT i velké množství nevyřízených věcí na soudce. Do roku 2018 prudce rostl </w:t>
      </w:r>
      <w:r w:rsidR="007F1D9F" w:rsidRPr="00730B1E">
        <w:t xml:space="preserve">i </w:t>
      </w:r>
      <w:r w:rsidRPr="00730B1E">
        <w:t>nápad a počet nevyřízených věcí. V letech 2019 až 2022 ale obojí razantně kleslo, což znamená, že situace se výrazně zlepšila</w:t>
      </w:r>
      <w:r w:rsidR="008A50B0" w:rsidRPr="00730B1E">
        <w:t xml:space="preserve">, mimo jiné i díky </w:t>
      </w:r>
      <w:r w:rsidRPr="00730B1E">
        <w:t>posílení správních úseků krajských soudů. V roce 2023 se pokles nápadu zastavil, ale počet nevyřízených věcí dále klesal</w:t>
      </w:r>
      <w:r w:rsidR="008A50B0" w:rsidRPr="00730B1E">
        <w:t>, což potvrzuje, že správní úseky aktuálně disponují dostatečnou kapacitou pro vyřizování historických nedodělků</w:t>
      </w:r>
      <w:r w:rsidRPr="00730B1E">
        <w:t>. Délka řízen</w:t>
      </w:r>
      <w:r w:rsidR="008A50B0" w:rsidRPr="00730B1E">
        <w:t>í</w:t>
      </w:r>
      <w:r w:rsidRPr="00730B1E">
        <w:t xml:space="preserve"> v letech 2022 a 2023 prudce poklesla. </w:t>
      </w:r>
      <w:r w:rsidR="008A50B0" w:rsidRPr="00730B1E">
        <w:t>Situace se tak celkově zlepšuje, byť agendu zatím nelze u všech soudů považovat za plně stabilizovanou</w:t>
      </w:r>
      <w:r w:rsidRPr="00730B1E">
        <w:t>.</w:t>
      </w:r>
    </w:p>
    <w:p w14:paraId="0375795E" w14:textId="1DFF7AF6" w:rsidR="004A62B7" w:rsidRPr="00730B1E" w:rsidRDefault="004A62B7" w:rsidP="004A62B7">
      <w:pPr>
        <w:pStyle w:val="OdstavecASR"/>
      </w:pPr>
      <w:r w:rsidRPr="00730B1E">
        <w:t>Statistiky o insolvenční agendě jsou silně ovlivněny jejím charakterem. Data ukazují, že soudy nemají problémy s rozhodováním o úpadku. Vyřizování věcí a délky řízení v další fázi pak plynou z charakteru agendy a soud na ně má jen omezený vliv. Vývoj je také silně ovlivněn četnými novelizacemi insolvenčního zákona a v posledním období zřejmě i pandemií COVID-19 a takzvaným „lex covid justice“.</w:t>
      </w:r>
    </w:p>
    <w:p w14:paraId="4CBDC7D7" w14:textId="3F76A42F" w:rsidR="004A62B7" w:rsidRPr="00730B1E" w:rsidRDefault="004A62B7" w:rsidP="004A62B7">
      <w:pPr>
        <w:pStyle w:val="OdstavecASR"/>
      </w:pPr>
      <w:r w:rsidRPr="00730B1E">
        <w:t>Incidenční spory jsou vyvolány insolvenčním řízením a projednávány v jeho rámci. Proto vývoj příchozích věcí s určitým zpožděním sleduje vývoj příchozích věcí v insolvenční agendě</w:t>
      </w:r>
      <w:r w:rsidR="008A50B0" w:rsidRPr="00730B1E">
        <w:t xml:space="preserve"> a podléhá velmi významným výkyvům</w:t>
      </w:r>
      <w:r w:rsidRPr="00730B1E">
        <w:t xml:space="preserve">. </w:t>
      </w:r>
      <w:r w:rsidR="008A50B0" w:rsidRPr="00730B1E">
        <w:t>Agenda je tak obtížně předvídatelná a řiditelná, což se projevuje v</w:t>
      </w:r>
      <w:r w:rsidRPr="00730B1E">
        <w:t>ysok</w:t>
      </w:r>
      <w:r w:rsidR="008A50B0" w:rsidRPr="00730B1E">
        <w:t>ými</w:t>
      </w:r>
      <w:r w:rsidRPr="00730B1E">
        <w:t xml:space="preserve"> délk</w:t>
      </w:r>
      <w:r w:rsidR="008A50B0" w:rsidRPr="00730B1E">
        <w:t>ami</w:t>
      </w:r>
      <w:r w:rsidRPr="00730B1E">
        <w:t xml:space="preserve"> řízení, nemalý</w:t>
      </w:r>
      <w:r w:rsidR="008A50B0" w:rsidRPr="00730B1E">
        <w:t>m</w:t>
      </w:r>
      <w:r w:rsidRPr="00730B1E">
        <w:t xml:space="preserve"> DT a značn</w:t>
      </w:r>
      <w:r w:rsidR="008A50B0" w:rsidRPr="00730B1E">
        <w:t>ým</w:t>
      </w:r>
      <w:r w:rsidRPr="00730B1E">
        <w:t xml:space="preserve"> množství</w:t>
      </w:r>
      <w:r w:rsidR="008A50B0" w:rsidRPr="00730B1E">
        <w:t>m</w:t>
      </w:r>
      <w:r w:rsidRPr="00730B1E">
        <w:t xml:space="preserve"> nevyřízených věcí. </w:t>
      </w:r>
      <w:r w:rsidR="008A50B0" w:rsidRPr="00730B1E">
        <w:t>V</w:t>
      </w:r>
      <w:r w:rsidRPr="00730B1E">
        <w:t>ětšina ukazatelů v posledních letech alespoň mírně poklesla</w:t>
      </w:r>
      <w:r w:rsidR="008A50B0" w:rsidRPr="00730B1E">
        <w:t>, ale</w:t>
      </w:r>
      <w:r w:rsidRPr="00730B1E">
        <w:t xml:space="preserve"> </w:t>
      </w:r>
      <w:r w:rsidR="008A50B0" w:rsidRPr="00730B1E">
        <w:t>s</w:t>
      </w:r>
      <w:r w:rsidRPr="00730B1E">
        <w:t xml:space="preserve">tále se jedná o nelehkou agendu, a zvlášť některé soudy </w:t>
      </w:r>
      <w:r w:rsidR="008A50B0" w:rsidRPr="00730B1E">
        <w:t xml:space="preserve">vzhledem k její obtížné předvídatelnosti </w:t>
      </w:r>
      <w:r w:rsidRPr="00730B1E">
        <w:t>vykazují určité problémy s jejím vyřizováním.</w:t>
      </w:r>
    </w:p>
    <w:p w14:paraId="27A861E4" w14:textId="7BD9DC5A" w:rsidR="004A62B7" w:rsidRPr="00730B1E" w:rsidRDefault="008A50B0" w:rsidP="004A62B7">
      <w:pPr>
        <w:pStyle w:val="OdstavecASR"/>
      </w:pPr>
      <w:r w:rsidRPr="00730B1E">
        <w:t>Celkově můžeme učinit závěr, že situace</w:t>
      </w:r>
      <w:r w:rsidR="004A62B7" w:rsidRPr="00730B1E">
        <w:t xml:space="preserve"> u krajských soudů je složitější</w:t>
      </w:r>
      <w:r w:rsidRPr="00730B1E">
        <w:t xml:space="preserve"> než u soudů okresních</w:t>
      </w:r>
      <w:r w:rsidR="004A62B7" w:rsidRPr="00730B1E">
        <w:t xml:space="preserve">. V některých agendách klesá nápad a dochází tak k mírnému zlepšení (civilní odvolací a prvostupňová agenda), někde je situace dlouhodobě bezproblémová (trestní odvolací agenda), jinde je situace stabilní, ale vykazuje určité problémy (trestní prvostupňová agenda). V agendě insolvenční je značná část statistických hodnot ovlivněna podstatou agendy. Jsou pak i agendy, kde data ukazují na problémy </w:t>
      </w:r>
      <w:r w:rsidRPr="00730B1E">
        <w:t xml:space="preserve">– </w:t>
      </w:r>
      <w:r w:rsidR="004A62B7" w:rsidRPr="00730B1E">
        <w:t xml:space="preserve">incidenční spory, </w:t>
      </w:r>
      <w:r w:rsidRPr="00730B1E">
        <w:t>kde je problematická především nepředvídatelnost nápadu, a</w:t>
      </w:r>
      <w:r w:rsidR="004A62B7" w:rsidRPr="00730B1E">
        <w:t xml:space="preserve"> správní agenda</w:t>
      </w:r>
      <w:r w:rsidRPr="00730B1E">
        <w:t xml:space="preserve">, kde obtíže vycházejí z historického zatížení, ale situace se v posledních letech </w:t>
      </w:r>
      <w:r w:rsidR="004A62B7" w:rsidRPr="00730B1E">
        <w:t>rychle zlepšuje.</w:t>
      </w:r>
      <w:r w:rsidRPr="00730B1E">
        <w:t xml:space="preserve"> V obecné </w:t>
      </w:r>
      <w:r w:rsidR="000F35B2" w:rsidRPr="00730B1E">
        <w:t>rovině je namístě poznamenat, že krajské soudy řeší zásadně nižší celkové počty věcí a v řadě agend u nich dochází k výrazně větším výkyvům v zatížení, což komplikuje snahy o zajištění plynulého vyřizování věcí.</w:t>
      </w:r>
    </w:p>
    <w:p w14:paraId="0AEB4685" w14:textId="77777777" w:rsidR="00BB7181" w:rsidRPr="00730B1E" w:rsidRDefault="00BB7181" w:rsidP="00BB7181">
      <w:pPr>
        <w:pStyle w:val="OdstavecASR"/>
        <w:keepNext/>
        <w:outlineLvl w:val="3"/>
        <w:rPr>
          <w:b/>
        </w:rPr>
      </w:pPr>
      <w:r w:rsidRPr="00730B1E">
        <w:rPr>
          <w:b/>
        </w:rPr>
        <w:t>Vrchní soudy</w:t>
      </w:r>
    </w:p>
    <w:p w14:paraId="11A569A7" w14:textId="77777777" w:rsidR="00587A81" w:rsidRPr="00730B1E" w:rsidRDefault="00587A81" w:rsidP="00587A81">
      <w:pPr>
        <w:pStyle w:val="OdstavecASR"/>
      </w:pPr>
      <w:r w:rsidRPr="00730B1E">
        <w:t>VS v Praze je více než dvakrát větší než VS v Olomouci. Počet soudců, podíl soudkyň a velikost úseků se u obou soudů v průběhu let mírně mění.</w:t>
      </w:r>
    </w:p>
    <w:p w14:paraId="11D2EC42" w14:textId="39EA1FEE" w:rsidR="00587A81" w:rsidRPr="00730B1E" w:rsidRDefault="00587A81" w:rsidP="00587A81">
      <w:pPr>
        <w:pStyle w:val="OdstavecASR"/>
      </w:pPr>
      <w:r w:rsidRPr="00730B1E">
        <w:t>V civilní odvolací agendě je mezi oběma soudy</w:t>
      </w:r>
      <w:r w:rsidR="000F35B2" w:rsidRPr="00730B1E">
        <w:t xml:space="preserve"> výrazný rozdíl, neboť </w:t>
      </w:r>
      <w:r w:rsidRPr="00730B1E">
        <w:t>VS Olomouc má výrazně lepší statistiky (nevyřízené věci na soudce, DT, délky řízení). U obou soudů dlouhodobě klesá počet příchozích věcí, což vede ke snížení počtu nevyřízených věcí. Délky řízení nicméně neklesají. Celkově lze shrnout, že situace u VS v Olomouci je dobrá, u VS v Praze méně příznivá, ale díky snižování nápadu se postupně zlepšuje.</w:t>
      </w:r>
    </w:p>
    <w:p w14:paraId="63BE697B" w14:textId="45898CD8" w:rsidR="00587A81" w:rsidRPr="00730B1E" w:rsidRDefault="00587A81" w:rsidP="00587A81">
      <w:pPr>
        <w:pStyle w:val="OdstavecASR"/>
      </w:pPr>
      <w:r w:rsidRPr="00730B1E">
        <w:t>V trestní odvolací agendě je situace vyrovnanější. Z dlouhodobého hlediska soudy vykazují vyrovnané statistiky</w:t>
      </w:r>
      <w:r w:rsidR="000F35B2" w:rsidRPr="00730B1E">
        <w:t>,</w:t>
      </w:r>
      <w:r w:rsidRPr="00730B1E">
        <w:t xml:space="preserve"> </w:t>
      </w:r>
      <w:r w:rsidR="000F35B2" w:rsidRPr="00730B1E">
        <w:t>v</w:t>
      </w:r>
      <w:r w:rsidRPr="00730B1E">
        <w:t> poslední době si ale o něco lépe vede VS Praha.</w:t>
      </w:r>
    </w:p>
    <w:p w14:paraId="1AE174CB" w14:textId="28B08051" w:rsidR="00587A81" w:rsidRPr="00730B1E" w:rsidRDefault="00587A81" w:rsidP="00587A81">
      <w:pPr>
        <w:pStyle w:val="OdstavecASR"/>
      </w:pPr>
      <w:r w:rsidRPr="00730B1E">
        <w:lastRenderedPageBreak/>
        <w:t>V insolvenční agendě II. </w:t>
      </w:r>
      <w:r w:rsidR="00C36859" w:rsidRPr="00730B1E">
        <w:t xml:space="preserve">stupně </w:t>
      </w:r>
      <w:r w:rsidR="008E33A7" w:rsidRPr="00730B1E">
        <w:t>došlo přibližně v letech 2017 až 2018 k poklesu v počtu příchozích, vyřízených a nevyřízených věcí.</w:t>
      </w:r>
      <w:r w:rsidRPr="00730B1E">
        <w:t xml:space="preserve"> </w:t>
      </w:r>
      <w:r w:rsidR="00D97685" w:rsidRPr="00730B1E">
        <w:t>Od té doby není v datech přítomný žádný výrazný trend</w:t>
      </w:r>
      <w:r w:rsidRPr="00730B1E">
        <w:t>. V současné době jsou na tom oba soudy poměrně dobře, a to díky poklesu v počtu napadlých věcí.</w:t>
      </w:r>
    </w:p>
    <w:p w14:paraId="564A52CE" w14:textId="77777777" w:rsidR="00587A81" w:rsidRPr="00730B1E" w:rsidRDefault="00587A81" w:rsidP="00587A81">
      <w:pPr>
        <w:pStyle w:val="OdstavecASR"/>
      </w:pPr>
      <w:r w:rsidRPr="00730B1E">
        <w:t>V incidenčních sporech II. stupně si lépe vede VS v Olomouci, který vykazuje nižší délky řízení, nižší DT i méně nevyřízených věcí na soudce.</w:t>
      </w:r>
    </w:p>
    <w:p w14:paraId="0606EB57" w14:textId="77777777" w:rsidR="00BB7181" w:rsidRPr="00730B1E" w:rsidRDefault="00BB7181" w:rsidP="00BB7181">
      <w:pPr>
        <w:pStyle w:val="OdstavecASR"/>
        <w:keepNext/>
        <w:outlineLvl w:val="3"/>
        <w:rPr>
          <w:b/>
          <w:bCs/>
          <w:lang w:eastAsia="cs-CZ"/>
        </w:rPr>
      </w:pPr>
      <w:r w:rsidRPr="00730B1E">
        <w:rPr>
          <w:b/>
          <w:bCs/>
          <w:lang w:eastAsia="cs-CZ"/>
        </w:rPr>
        <w:t>Nejvyšší soud</w:t>
      </w:r>
    </w:p>
    <w:p w14:paraId="7A79C703" w14:textId="77777777" w:rsidR="00D97685" w:rsidRPr="00730B1E" w:rsidRDefault="00D97685" w:rsidP="00D97685">
      <w:pPr>
        <w:pStyle w:val="OdstavecASR"/>
      </w:pPr>
      <w:r w:rsidRPr="00730B1E">
        <w:t>U Nejvyššího soudu došlo v posledních letech k určitému růstu v plánovaném i evidenčním počtu soudců. Civilní dovolací agenda a trestní dovolací agenda jsou nejvýznamnější a největší agendy Nejvyššího soudu.</w:t>
      </w:r>
    </w:p>
    <w:p w14:paraId="2CD4C077" w14:textId="4080C602" w:rsidR="00D97685" w:rsidRPr="00730B1E" w:rsidRDefault="00D97685" w:rsidP="00D97685">
      <w:pPr>
        <w:pStyle w:val="OdstavecASR"/>
      </w:pPr>
      <w:r w:rsidRPr="00730B1E">
        <w:t>Nápad civilní dovolací agendy se v průběhu let poměrně zásadně měnil</w:t>
      </w:r>
      <w:r w:rsidR="008151C6" w:rsidRPr="00730B1E">
        <w:t xml:space="preserve"> a krátce ho diskutujeme </w:t>
      </w:r>
      <w:r w:rsidR="00C36859" w:rsidRPr="00730B1E">
        <w:t>i </w:t>
      </w:r>
      <w:r w:rsidR="008151C6" w:rsidRPr="00730B1E">
        <w:t>mimo běžně sledované období 2014 až 2023</w:t>
      </w:r>
      <w:r w:rsidRPr="00730B1E">
        <w:t xml:space="preserve">. Velmi vysoký byl </w:t>
      </w:r>
      <w:r w:rsidR="008151C6" w:rsidRPr="00730B1E">
        <w:t xml:space="preserve">nápad </w:t>
      </w:r>
      <w:r w:rsidRPr="00730B1E">
        <w:t>v letech 2008 a 2009. V tuto dobu soud také vykazoval velmi vysoké počty nevyřízených věcí. Následně došlo k poklesu nápadu i nevyřízených věcí. V letech 2013 až 2017 ale nápad opět rostl. Tentokrát soud zvládl zvýšený nápor a počet nevyřízených věcí se nezvětšoval. Od roku 2018 nápad rychle klesal a díky tomu klesal i počet nevyřízených věcí, který byl v roce 2021 nejnižší za sledované období. V roce 2022 zůstal počet věcí v zásadě na úrovni roku 2021</w:t>
      </w:r>
      <w:r w:rsidR="008151C6" w:rsidRPr="00730B1E">
        <w:t xml:space="preserve"> a v roce 2023 opět začal mírně stoupat.</w:t>
      </w:r>
    </w:p>
    <w:p w14:paraId="78E8712A" w14:textId="55EB934F" w:rsidR="00D97685" w:rsidRPr="00730B1E" w:rsidRDefault="00D97685" w:rsidP="00D97685">
      <w:pPr>
        <w:pStyle w:val="OdstavecASR"/>
      </w:pPr>
      <w:r w:rsidRPr="00730B1E">
        <w:t xml:space="preserve">Situace v trestní dovolací agendě je mnohem stabilnější. Nápad i počet vyřízených věcí se až na výjimky pohybuje mezi 1 450 a 1 700 věci ročně. Počet nevyřízených věcí se pak pohybuje (opět až na výjimky) mezi 150 a 200. Teprve v posledních </w:t>
      </w:r>
      <w:r w:rsidR="008151C6" w:rsidRPr="00730B1E">
        <w:t>čtyřech</w:t>
      </w:r>
      <w:r w:rsidRPr="00730B1E">
        <w:t xml:space="preserve"> letech je vidět určitý citelnější pokles. Je otázka, zda je trvalý, či se jedná o další výkyv, který by mohl být způsoben poklesem druhostupňové agendy.</w:t>
      </w:r>
    </w:p>
    <w:p w14:paraId="44AE5D81" w14:textId="77777777" w:rsidR="00BB7181" w:rsidRPr="00730B1E" w:rsidRDefault="00BB7181" w:rsidP="00BB7181">
      <w:pPr>
        <w:pStyle w:val="OdstavecASR"/>
        <w:keepNext/>
        <w:outlineLvl w:val="3"/>
        <w:rPr>
          <w:b/>
          <w:bCs/>
          <w:lang w:eastAsia="cs-CZ"/>
        </w:rPr>
      </w:pPr>
      <w:r w:rsidRPr="00730B1E">
        <w:rPr>
          <w:b/>
          <w:bCs/>
          <w:lang w:eastAsia="cs-CZ"/>
        </w:rPr>
        <w:t>Nejvyšší správní soud</w:t>
      </w:r>
    </w:p>
    <w:p w14:paraId="0D2B0BC4" w14:textId="2C690E69" w:rsidR="00C737C4" w:rsidRPr="00730B1E" w:rsidRDefault="00C737C4" w:rsidP="00C737C4">
      <w:pPr>
        <w:pStyle w:val="OdstavecASR"/>
      </w:pPr>
      <w:r w:rsidRPr="00730B1E">
        <w:t xml:space="preserve">Nejvýznamnější agendou NSS je agenda řízení o kasačních stížnostech. V této agendě se </w:t>
      </w:r>
      <w:r w:rsidR="000F35B2" w:rsidRPr="00730B1E">
        <w:t xml:space="preserve">historicky projevoval </w:t>
      </w:r>
      <w:r w:rsidRPr="00730B1E">
        <w:t>trend, který pozorujeme ve správním soudnictví u krajských soudů. Od roku 2014 až do roku 2019 rostl nápad. Soud sice zvládl zvyšovat počet vyřízených věcí, ale nápad</w:t>
      </w:r>
      <w:r w:rsidR="00B141B2" w:rsidRPr="00730B1E">
        <w:t xml:space="preserve"> stále převyšoval</w:t>
      </w:r>
      <w:r w:rsidRPr="00730B1E">
        <w:t xml:space="preserve"> počet vyřízených věcí. To potvrzuje, že ze statistického hlediska </w:t>
      </w:r>
      <w:r w:rsidR="000F35B2" w:rsidRPr="00730B1E">
        <w:t xml:space="preserve">bylo </w:t>
      </w:r>
      <w:r w:rsidRPr="00730B1E">
        <w:t>správní soudnictví nejproblematičtější</w:t>
      </w:r>
      <w:r w:rsidR="000F35B2" w:rsidRPr="00730B1E">
        <w:t>m úsekem</w:t>
      </w:r>
      <w:r w:rsidRPr="00730B1E">
        <w:t xml:space="preserve">. Roky 2020 a 2021 ale </w:t>
      </w:r>
      <w:r w:rsidR="001D5672" w:rsidRPr="00730B1E">
        <w:t xml:space="preserve">naznačovaly </w:t>
      </w:r>
      <w:r w:rsidRPr="00730B1E">
        <w:t xml:space="preserve">zlepšení, neboť nápad u krajských soudů </w:t>
      </w:r>
      <w:r w:rsidR="000F35B2" w:rsidRPr="00730B1E">
        <w:t xml:space="preserve">po </w:t>
      </w:r>
      <w:r w:rsidRPr="00730B1E">
        <w:t>tři roky kles</w:t>
      </w:r>
      <w:r w:rsidR="006B5C55" w:rsidRPr="00730B1E">
        <w:t>al</w:t>
      </w:r>
      <w:r w:rsidRPr="00730B1E">
        <w:t xml:space="preserve"> a u NSS přestal růst. </w:t>
      </w:r>
      <w:r w:rsidR="000F35B2" w:rsidRPr="00730B1E">
        <w:t xml:space="preserve">Pořád </w:t>
      </w:r>
      <w:r w:rsidRPr="00730B1E">
        <w:t xml:space="preserve">nicméně </w:t>
      </w:r>
      <w:r w:rsidR="000F35B2" w:rsidRPr="00730B1E">
        <w:t xml:space="preserve">napadal </w:t>
      </w:r>
      <w:r w:rsidRPr="00730B1E">
        <w:t xml:space="preserve">vysoký počet kasačních stížností proti rozhodnutím krajských soudů, které stále </w:t>
      </w:r>
      <w:r w:rsidR="001D5672" w:rsidRPr="00730B1E">
        <w:t xml:space="preserve">vykazovaly </w:t>
      </w:r>
      <w:r w:rsidRPr="00730B1E">
        <w:t xml:space="preserve">poměrně vysoký počet nedodělků. </w:t>
      </w:r>
      <w:r w:rsidR="000F35B2" w:rsidRPr="00730B1E">
        <w:t>V</w:t>
      </w:r>
      <w:r w:rsidR="006B5C55" w:rsidRPr="00730B1E">
        <w:t> roce 2022 významně klesl nápad kasačních stížností</w:t>
      </w:r>
      <w:r w:rsidR="000F35B2" w:rsidRPr="00730B1E">
        <w:t xml:space="preserve">. Ačkoliv tento počet </w:t>
      </w:r>
      <w:r w:rsidR="006B5C55" w:rsidRPr="00730B1E">
        <w:t>v roce 2023 opět mírně narostl</w:t>
      </w:r>
      <w:r w:rsidR="000F35B2" w:rsidRPr="00730B1E">
        <w:t>, p</w:t>
      </w:r>
      <w:r w:rsidR="006B5C55" w:rsidRPr="00730B1E">
        <w:t xml:space="preserve">očet nevyřízených věcí </w:t>
      </w:r>
      <w:r w:rsidR="000F35B2" w:rsidRPr="00730B1E">
        <w:t xml:space="preserve">dále </w:t>
      </w:r>
      <w:r w:rsidR="006B5C55" w:rsidRPr="00730B1E">
        <w:t xml:space="preserve">klesal, což ukazuje na zlepšení situace. </w:t>
      </w:r>
      <w:r w:rsidR="000F35B2" w:rsidRPr="00730B1E">
        <w:t>S</w:t>
      </w:r>
      <w:r w:rsidR="006B5C55" w:rsidRPr="00730B1E">
        <w:t>oud</w:t>
      </w:r>
      <w:r w:rsidR="000F35B2" w:rsidRPr="00730B1E">
        <w:t xml:space="preserve"> má nicméně i přes citelné zlepšení </w:t>
      </w:r>
      <w:r w:rsidR="006B5C55" w:rsidRPr="00730B1E">
        <w:t>stále značné množství nevyřízených věcí.</w:t>
      </w:r>
    </w:p>
    <w:p w14:paraId="0ACB3C4D" w14:textId="2155C14E" w:rsidR="008430BD" w:rsidRPr="00730B1E" w:rsidRDefault="008430BD" w:rsidP="008430BD">
      <w:pPr>
        <w:pStyle w:val="Nadpis1"/>
        <w:pageBreakBefore/>
        <w:numPr>
          <w:ilvl w:val="0"/>
          <w:numId w:val="1"/>
        </w:numPr>
        <w:spacing w:after="120"/>
      </w:pPr>
      <w:bookmarkStart w:id="25" w:name="_Toc169250796"/>
      <w:bookmarkStart w:id="26" w:name="_Toc174080832"/>
      <w:r w:rsidRPr="00730B1E">
        <w:lastRenderedPageBreak/>
        <w:t>Okresní soudy</w:t>
      </w:r>
      <w:bookmarkEnd w:id="20"/>
      <w:bookmarkEnd w:id="21"/>
      <w:bookmarkEnd w:id="25"/>
      <w:bookmarkEnd w:id="26"/>
    </w:p>
    <w:p w14:paraId="423B90C4" w14:textId="77777777" w:rsidR="00B70537" w:rsidRPr="00730B1E" w:rsidRDefault="00B70537" w:rsidP="00B70537">
      <w:r w:rsidRPr="00730B1E">
        <w:t>Tato část výroční zprávy obsahuje data, která se týkají všech okresních soudů (OS) v ČR. Jedná se o 75 okresních soudů, Městský soud v Brně a 10 obvodních soudů v Praze.</w:t>
      </w:r>
    </w:p>
    <w:p w14:paraId="022D8872" w14:textId="77777777" w:rsidR="00B70537" w:rsidRPr="00730B1E" w:rsidRDefault="00B70537" w:rsidP="00B70537">
      <w:r w:rsidRPr="00730B1E">
        <w:t>V první podkapitole uvádíme statistiky týkající se počtu soudců, počtu zaměstnanců ve výkonu a ve správě a počtu přísedících. Další podkapitoly se věnují jednotlivým soudním agendám. Okresní soudy jsou soudy prvoinstanční a vyřizují v zásadě tři hlavní typy agend – civilní, trestní a opatrovnickou.</w:t>
      </w:r>
    </w:p>
    <w:p w14:paraId="27D83DB4" w14:textId="7B04B241" w:rsidR="00B70537" w:rsidRPr="00730B1E" w:rsidRDefault="00B70537" w:rsidP="00B70537">
      <w:r w:rsidRPr="00730B1E">
        <w:t>Pro většinu agend (tedy ve většině podkapitol) uvádíme délky řízení ode dne nápadu do dne vyřízení soudem I. stupně (průměr, medián a percentil 90). Dále následují data týkající se vyřizování věcí: nápad + obživlé věci</w:t>
      </w:r>
      <w:r w:rsidR="00E64E55" w:rsidRPr="00730B1E">
        <w:rPr>
          <w:rStyle w:val="Znakapoznpodarou"/>
        </w:rPr>
        <w:footnoteReference w:id="4"/>
      </w:r>
      <w:r w:rsidRPr="00730B1E">
        <w:t>, vyřízené věci, nevyřízené věci a míra vyřizování v % (vyřízené věci/příchozí věci × 100 %). Údaje jsou většinou řazeny v časových řadách pro celou ČR, následují data za kraje v roce 2023 a kartogramy pro jednotlivé okresní soudy. Ve většině tabulek s průřezovými daty po krajích je také menším písmem uvedena změna oproti roku 2022. Jedná se buď o změny v procentních bodech, označené zkratkou „p.b.“ nebo o změny v %</w:t>
      </w:r>
      <w:r w:rsidR="000F35B2" w:rsidRPr="00730B1E">
        <w:t>.</w:t>
      </w:r>
      <w:r w:rsidRPr="00730B1E">
        <w:t xml:space="preserve"> </w:t>
      </w:r>
      <w:r w:rsidR="000F35B2" w:rsidRPr="00730B1E">
        <w:t>B</w:t>
      </w:r>
      <w:r w:rsidRPr="00730B1E">
        <w:t>ližší vysvětlení je uvedeno u tabulky 14. Pokud je to přínosné, jsou délky řízení za rok 202</w:t>
      </w:r>
      <w:r w:rsidR="00241D6D" w:rsidRPr="00730B1E">
        <w:t>3</w:t>
      </w:r>
      <w:r w:rsidRPr="00730B1E">
        <w:t xml:space="preserve"> zobrazeny pomocí histogramu (viz heslo v příloze A). V závěru každé podkapitoly předkládáme další zajímavé statistiky (např. míru odvolání, míru změny rozsudku apod.).</w:t>
      </w:r>
    </w:p>
    <w:p w14:paraId="1BB36D23" w14:textId="136C9153" w:rsidR="00C74A49" w:rsidRPr="00730B1E" w:rsidRDefault="008430BD" w:rsidP="008430BD">
      <w:pPr>
        <w:pStyle w:val="Nadpis2"/>
        <w:numPr>
          <w:ilvl w:val="1"/>
          <w:numId w:val="1"/>
        </w:numPr>
        <w:spacing w:before="120"/>
        <w:rPr>
          <w:color w:val="auto"/>
        </w:rPr>
      </w:pPr>
      <w:bookmarkStart w:id="27" w:name="_Toc487791225"/>
      <w:bookmarkStart w:id="28" w:name="_Toc517118507"/>
      <w:bookmarkStart w:id="29" w:name="_Toc106092713"/>
      <w:bookmarkStart w:id="30" w:name="_Toc169250797"/>
      <w:bookmarkStart w:id="31" w:name="_Toc174080833"/>
      <w:r w:rsidRPr="00730B1E">
        <w:rPr>
          <w:color w:val="auto"/>
        </w:rPr>
        <w:t>Personál</w:t>
      </w:r>
      <w:bookmarkEnd w:id="27"/>
      <w:bookmarkEnd w:id="28"/>
      <w:bookmarkEnd w:id="29"/>
      <w:bookmarkEnd w:id="30"/>
      <w:bookmarkEnd w:id="31"/>
    </w:p>
    <w:p w14:paraId="1D7C71BB" w14:textId="028FDC0F" w:rsidR="00241D6D" w:rsidRPr="00730B1E" w:rsidRDefault="00241D6D" w:rsidP="00241D6D">
      <w:pPr>
        <w:pStyle w:val="OdstavecASR"/>
      </w:pPr>
      <w:r w:rsidRPr="00730B1E">
        <w:t>Podkapitolu dělíme na tři části. V první části se věnujeme soudcům, druhá se zaměřuje na další zaměstnance soudu a třetí pojednává o přísedících soudu. Všechny uvedené údaje jsou v osobách a data vyjadřují vždy stav k 1. 1. daného roku, většinou roku 2023.</w:t>
      </w:r>
    </w:p>
    <w:p w14:paraId="4A23E79A" w14:textId="77777777" w:rsidR="00241D6D" w:rsidRPr="00730B1E" w:rsidRDefault="00241D6D" w:rsidP="00241D6D">
      <w:pPr>
        <w:pStyle w:val="Nadpis3"/>
        <w:numPr>
          <w:ilvl w:val="2"/>
          <w:numId w:val="1"/>
        </w:numPr>
        <w:spacing w:before="0"/>
        <w:rPr>
          <w:color w:val="auto"/>
        </w:rPr>
      </w:pPr>
      <w:bookmarkStart w:id="32" w:name="_Toc144104335"/>
      <w:bookmarkStart w:id="33" w:name="_Toc169250798"/>
      <w:bookmarkStart w:id="34" w:name="_Toc174080834"/>
      <w:r w:rsidRPr="00730B1E">
        <w:rPr>
          <w:color w:val="auto"/>
        </w:rPr>
        <w:lastRenderedPageBreak/>
        <w:t>Soudci</w:t>
      </w:r>
      <w:bookmarkEnd w:id="32"/>
      <w:bookmarkEnd w:id="33"/>
      <w:bookmarkEnd w:id="34"/>
    </w:p>
    <w:p w14:paraId="5E78E286" w14:textId="1BF63BA6" w:rsidR="00241D6D" w:rsidRPr="00730B1E" w:rsidRDefault="00241D6D" w:rsidP="00241D6D">
      <w:pPr>
        <w:pStyle w:val="Podnadpis"/>
        <w:numPr>
          <w:ilvl w:val="0"/>
          <w:numId w:val="0"/>
        </w:numPr>
        <w:rPr>
          <w:color w:val="auto"/>
        </w:rPr>
      </w:pPr>
      <w:bookmarkStart w:id="35" w:name="_Ref509212911"/>
      <w:bookmarkStart w:id="36" w:name="_Toc515871326"/>
      <w:bookmarkStart w:id="37" w:name="_Toc11135062"/>
      <w:bookmarkStart w:id="38" w:name="_Toc43841381"/>
      <w:bookmarkStart w:id="39" w:name="_Toc75952181"/>
      <w:bookmarkStart w:id="40" w:name="_Toc106106635"/>
      <w:bookmarkStart w:id="41" w:name="_Toc144104113"/>
      <w:bookmarkStart w:id="42" w:name="_Toc169250920"/>
      <w:bookmarkStart w:id="43" w:name="_Toc17408060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w:t>
      </w:r>
      <w:r w:rsidRPr="00730B1E">
        <w:rPr>
          <w:color w:val="auto"/>
        </w:rPr>
        <w:fldChar w:fldCharType="end"/>
      </w:r>
      <w:bookmarkEnd w:id="35"/>
      <w:r w:rsidRPr="00730B1E">
        <w:rPr>
          <w:color w:val="auto"/>
        </w:rPr>
        <w:t xml:space="preserve">: OS – počet soudců </w:t>
      </w:r>
      <w:bookmarkEnd w:id="36"/>
      <w:bookmarkEnd w:id="37"/>
      <w:bookmarkEnd w:id="38"/>
      <w:bookmarkEnd w:id="39"/>
      <w:bookmarkEnd w:id="40"/>
      <w:bookmarkEnd w:id="41"/>
      <w:r w:rsidR="005E0AC4" w:rsidRPr="00730B1E">
        <w:rPr>
          <w:color w:val="auto"/>
        </w:rPr>
        <w:t>v roce 2023</w:t>
      </w:r>
      <w:bookmarkEnd w:id="42"/>
      <w:bookmarkEnd w:id="43"/>
    </w:p>
    <w:p w14:paraId="497645A1" w14:textId="12F10394" w:rsidR="00241D6D" w:rsidRPr="00730B1E" w:rsidRDefault="00E61B9B" w:rsidP="00241D6D">
      <w:r w:rsidRPr="00730B1E">
        <w:rPr>
          <w:noProof/>
          <w:lang w:eastAsia="cs-CZ"/>
        </w:rPr>
        <w:drawing>
          <wp:inline distT="0" distB="0" distL="0" distR="0" wp14:anchorId="31C1218E" wp14:editId="29112CD1">
            <wp:extent cx="5029200" cy="3657600"/>
            <wp:effectExtent l="0" t="0" r="0" b="0"/>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FCD3789" w14:textId="77777777" w:rsidR="00241D6D" w:rsidRPr="00730B1E" w:rsidRDefault="00241D6D" w:rsidP="00241D6D"/>
    <w:p w14:paraId="11C4664D" w14:textId="6E7AFF3E" w:rsidR="00EA55C9" w:rsidRPr="00730B1E" w:rsidRDefault="00EA55C9" w:rsidP="00EA55C9">
      <w:pPr>
        <w:pStyle w:val="OdstavecASR"/>
      </w:pPr>
      <w:bookmarkStart w:id="44" w:name="_Ref3374388"/>
      <w:bookmarkStart w:id="45" w:name="_Ref10813793"/>
      <w:bookmarkStart w:id="46" w:name="_Toc106092715"/>
      <w:r w:rsidRPr="00730B1E">
        <w:t xml:space="preserve">Počet soudců u OS je v ČR velmi stabilní. Plánovaný počet všech soudců </w:t>
      </w:r>
      <w:r w:rsidR="000F35B2" w:rsidRPr="00730B1E">
        <w:t>je s ohledem na rozpočtové možnosti</w:t>
      </w:r>
      <w:r w:rsidRPr="00730B1E">
        <w:t xml:space="preserve"> prakticky neměnný, a to 3 063 nebo 3 062 soudců. Tento počet </w:t>
      </w:r>
      <w:r w:rsidR="000F35B2" w:rsidRPr="00730B1E">
        <w:t xml:space="preserve">je </w:t>
      </w:r>
      <w:r w:rsidRPr="00730B1E">
        <w:t xml:space="preserve">následně </w:t>
      </w:r>
      <w:r w:rsidR="000F35B2" w:rsidRPr="00730B1E">
        <w:t>každoročně rozdělován</w:t>
      </w:r>
      <w:r w:rsidRPr="00730B1E">
        <w:t xml:space="preserve"> mezi všechny články soudní soustavy (OS, KS, VS, NS, NSS). Mírné změny v plánovaném počtu soudců u OS tak byly způsobeny pouze přesouváním plánovaného počtu soudců mezi jednotlivými články soudní soustavy a vyplývaly z výpočtu potřeby soudců a systemizace soudů, která se odvíjela od nápadu jednotlivých soudů (viz seznam použitých pojmů v příloze).</w:t>
      </w:r>
    </w:p>
    <w:p w14:paraId="1AD2318D" w14:textId="4C52BF45" w:rsidR="00EA55C9" w:rsidRPr="00730B1E" w:rsidRDefault="00EA55C9" w:rsidP="00EA55C9">
      <w:pPr>
        <w:pStyle w:val="OdstavecASR"/>
      </w:pPr>
      <w:r w:rsidRPr="00730B1E">
        <w:t>Evidenční a skutečný počet soudců je rovněž velmi stabilní. Změny jsou dány především zánikem funkcí jednotlivých soudců a načasováním jednotlivých jmenovacích etap, a vykazují tudíž velkou setrvačnost.</w:t>
      </w:r>
    </w:p>
    <w:p w14:paraId="0D990DDE" w14:textId="17293F0D" w:rsidR="00E62760" w:rsidRPr="00730B1E" w:rsidRDefault="00EA55C9" w:rsidP="00EA55C9">
      <w:pPr>
        <w:pStyle w:val="OdstavecASR"/>
      </w:pPr>
      <w:r w:rsidRPr="00730B1E">
        <w:t xml:space="preserve">Z grafu 1 a </w:t>
      </w:r>
      <w:r w:rsidR="00C36859" w:rsidRPr="00730B1E">
        <w:t xml:space="preserve">tabulky </w:t>
      </w:r>
      <w:r w:rsidRPr="00730B1E">
        <w:t xml:space="preserve">1 můžeme vyčíst, že evidenční a </w:t>
      </w:r>
      <w:r w:rsidR="0081039A" w:rsidRPr="00730B1E">
        <w:t xml:space="preserve">plánovaný počet soudců jsou </w:t>
      </w:r>
      <w:r w:rsidR="0054606D" w:rsidRPr="00730B1E">
        <w:t>si</w:t>
      </w:r>
      <w:r w:rsidR="0081039A" w:rsidRPr="00730B1E">
        <w:t xml:space="preserve"> velmi podobné s tím, že evidenční je nepatrně </w:t>
      </w:r>
      <w:r w:rsidR="000F6962" w:rsidRPr="00730B1E">
        <w:t>vyšší</w:t>
      </w:r>
      <w:r w:rsidR="0081039A" w:rsidRPr="00730B1E">
        <w:t xml:space="preserve">. Citelně nižší je ale </w:t>
      </w:r>
      <w:r w:rsidR="00E62760" w:rsidRPr="00730B1E">
        <w:t>skutečný počet soudců (úvazků)</w:t>
      </w:r>
      <w:r w:rsidR="00722AF5" w:rsidRPr="00730B1E">
        <w:t>, a to zejména v důsledku skutečnosti, že část soudců a soudkyň je na mateřské/rodičovské dovolené, dlouhodobě nemocná, či na stáži u soudů vyšších instancí</w:t>
      </w:r>
      <w:r w:rsidR="00E62760" w:rsidRPr="00730B1E">
        <w:t xml:space="preserve">. </w:t>
      </w:r>
      <w:r w:rsidR="00722AF5" w:rsidRPr="00730B1E">
        <w:t>Skutečný počet soudců okresních soudů</w:t>
      </w:r>
      <w:r w:rsidR="00E62760" w:rsidRPr="00730B1E">
        <w:t xml:space="preserve"> </w:t>
      </w:r>
      <w:r w:rsidR="00722AF5" w:rsidRPr="00730B1E">
        <w:t xml:space="preserve">tak </w:t>
      </w:r>
      <w:r w:rsidR="00E62760" w:rsidRPr="00730B1E">
        <w:t>tvoří 8</w:t>
      </w:r>
      <w:r w:rsidR="004D6EF6" w:rsidRPr="00730B1E">
        <w:t>7</w:t>
      </w:r>
      <w:r w:rsidR="00E62760" w:rsidRPr="00730B1E">
        <w:t>,</w:t>
      </w:r>
      <w:r w:rsidR="004D6EF6" w:rsidRPr="00730B1E">
        <w:t>7</w:t>
      </w:r>
      <w:r w:rsidR="00E62760" w:rsidRPr="00730B1E">
        <w:t xml:space="preserve">8 % </w:t>
      </w:r>
      <w:r w:rsidR="00722AF5" w:rsidRPr="00730B1E">
        <w:t xml:space="preserve">plánovaného </w:t>
      </w:r>
      <w:r w:rsidR="00E62760" w:rsidRPr="00730B1E">
        <w:t xml:space="preserve">počtu. Nejvíce „naplněny“ </w:t>
      </w:r>
      <w:r w:rsidR="00722AF5" w:rsidRPr="00730B1E">
        <w:t>k 1.</w:t>
      </w:r>
      <w:r w:rsidR="00177105" w:rsidRPr="00730B1E">
        <w:t xml:space="preserve"> </w:t>
      </w:r>
      <w:r w:rsidR="00722AF5" w:rsidRPr="00730B1E">
        <w:t>1.</w:t>
      </w:r>
      <w:r w:rsidR="00177105" w:rsidRPr="00730B1E">
        <w:t xml:space="preserve"> </w:t>
      </w:r>
      <w:r w:rsidR="00722AF5" w:rsidRPr="00730B1E">
        <w:t>2023 byly</w:t>
      </w:r>
      <w:r w:rsidR="00E62760" w:rsidRPr="00730B1E">
        <w:t xml:space="preserve"> soudy v </w:t>
      </w:r>
      <w:r w:rsidR="00324178" w:rsidRPr="00730B1E">
        <w:t>Ostravském</w:t>
      </w:r>
      <w:r w:rsidR="00E62760" w:rsidRPr="00730B1E">
        <w:t xml:space="preserve"> kraji – 9</w:t>
      </w:r>
      <w:r w:rsidR="004D6EF6" w:rsidRPr="00730B1E">
        <w:t>0,</w:t>
      </w:r>
      <w:r w:rsidR="00324178" w:rsidRPr="00730B1E">
        <w:t>59</w:t>
      </w:r>
      <w:r w:rsidR="00E62760" w:rsidRPr="00730B1E">
        <w:t xml:space="preserve"> %, nejméně pak soudy spadající pod KS Praha – 8</w:t>
      </w:r>
      <w:r w:rsidR="004D6EF6" w:rsidRPr="00730B1E">
        <w:t>2</w:t>
      </w:r>
      <w:r w:rsidR="00E62760" w:rsidRPr="00730B1E">
        <w:t>,</w:t>
      </w:r>
      <w:r w:rsidR="004D6EF6" w:rsidRPr="00730B1E">
        <w:t>47</w:t>
      </w:r>
      <w:r w:rsidR="00E62760" w:rsidRPr="00730B1E">
        <w:t xml:space="preserve"> %.</w:t>
      </w:r>
      <w:r w:rsidR="00CB55B3" w:rsidRPr="00730B1E">
        <w:t xml:space="preserve"> </w:t>
      </w:r>
      <w:r w:rsidR="000F6962" w:rsidRPr="00730B1E">
        <w:t>Výraznou roli zde hraje načasování jmenovacích etap.</w:t>
      </w:r>
    </w:p>
    <w:p w14:paraId="159AF263" w14:textId="77777777" w:rsidR="00D505DC" w:rsidRPr="00730B1E" w:rsidRDefault="00D505DC" w:rsidP="00EA55C9">
      <w:pPr>
        <w:pStyle w:val="OdstavecASR"/>
      </w:pPr>
    </w:p>
    <w:p w14:paraId="73818AD3" w14:textId="77777777" w:rsidR="00D505DC" w:rsidRPr="00730B1E" w:rsidRDefault="00D505DC" w:rsidP="00EA55C9">
      <w:pPr>
        <w:pStyle w:val="OdstavecASR"/>
      </w:pPr>
    </w:p>
    <w:p w14:paraId="39AAB4E7" w14:textId="6D832515" w:rsidR="00EA55C9" w:rsidRPr="00730B1E" w:rsidRDefault="00E62760" w:rsidP="00E62760">
      <w:pPr>
        <w:pStyle w:val="Podnadpis"/>
        <w:numPr>
          <w:ilvl w:val="0"/>
          <w:numId w:val="0"/>
        </w:numPr>
        <w:rPr>
          <w:color w:val="auto"/>
        </w:rPr>
      </w:pPr>
      <w:r w:rsidRPr="00730B1E">
        <w:rPr>
          <w:color w:val="auto"/>
        </w:rPr>
        <w:lastRenderedPageBreak/>
        <w:t xml:space="preserve"> </w:t>
      </w:r>
      <w:bookmarkStart w:id="47" w:name="_Toc106106763"/>
      <w:bookmarkStart w:id="48" w:name="_Toc144104240"/>
      <w:bookmarkStart w:id="49" w:name="_Toc169251058"/>
      <w:bookmarkStart w:id="50" w:name="_Toc174080744"/>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1</w:t>
      </w:r>
      <w:r w:rsidRPr="00730B1E">
        <w:rPr>
          <w:color w:val="auto"/>
        </w:rPr>
        <w:fldChar w:fldCharType="end"/>
      </w:r>
      <w:r w:rsidRPr="00730B1E">
        <w:rPr>
          <w:color w:val="auto"/>
        </w:rPr>
        <w:t>: OS – počet soudců dle krajů</w:t>
      </w:r>
      <w:bookmarkEnd w:id="47"/>
      <w:bookmarkEnd w:id="48"/>
      <w:r w:rsidR="002C3636" w:rsidRPr="00730B1E">
        <w:rPr>
          <w:color w:val="auto"/>
        </w:rPr>
        <w:t>,</w:t>
      </w:r>
      <w:r w:rsidR="00E604F1" w:rsidRPr="00730B1E">
        <w:rPr>
          <w:color w:val="auto"/>
        </w:rPr>
        <w:t xml:space="preserve"> 2023</w:t>
      </w:r>
      <w:bookmarkEnd w:id="49"/>
      <w:bookmarkEnd w:id="50"/>
    </w:p>
    <w:tbl>
      <w:tblPr>
        <w:tblW w:w="8904" w:type="dxa"/>
        <w:tblCellMar>
          <w:left w:w="70" w:type="dxa"/>
          <w:right w:w="70" w:type="dxa"/>
        </w:tblCellMar>
        <w:tblLook w:val="04A0" w:firstRow="1" w:lastRow="0" w:firstColumn="1" w:lastColumn="0" w:noHBand="0" w:noVBand="1"/>
      </w:tblPr>
      <w:tblGrid>
        <w:gridCol w:w="2080"/>
        <w:gridCol w:w="1530"/>
        <w:gridCol w:w="1530"/>
        <w:gridCol w:w="1527"/>
        <w:gridCol w:w="2237"/>
      </w:tblGrid>
      <w:tr w:rsidR="00B64E96" w:rsidRPr="00730B1E" w14:paraId="080B7AAF" w14:textId="77777777" w:rsidTr="000F6962">
        <w:trPr>
          <w:trHeight w:val="451"/>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70CE42F7" w14:textId="77777777"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1530" w:type="dxa"/>
            <w:vMerge w:val="restart"/>
            <w:tcBorders>
              <w:top w:val="double" w:sz="6" w:space="0" w:color="auto"/>
              <w:left w:val="nil"/>
              <w:bottom w:val="double" w:sz="6" w:space="0" w:color="000000"/>
              <w:right w:val="nil"/>
            </w:tcBorders>
            <w:shd w:val="clear" w:color="auto" w:fill="auto"/>
            <w:vAlign w:val="center"/>
            <w:hideMark/>
          </w:tcPr>
          <w:p w14:paraId="33EBEF53" w14:textId="77777777"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Evidenční počet soudců</w:t>
            </w:r>
          </w:p>
        </w:tc>
        <w:tc>
          <w:tcPr>
            <w:tcW w:w="1530" w:type="dxa"/>
            <w:vMerge w:val="restart"/>
            <w:tcBorders>
              <w:top w:val="double" w:sz="6" w:space="0" w:color="auto"/>
              <w:left w:val="nil"/>
              <w:bottom w:val="double" w:sz="6" w:space="0" w:color="000000"/>
              <w:right w:val="nil"/>
            </w:tcBorders>
            <w:shd w:val="clear" w:color="auto" w:fill="auto"/>
            <w:vAlign w:val="center"/>
            <w:hideMark/>
          </w:tcPr>
          <w:p w14:paraId="7D4904B6" w14:textId="77777777"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Plánovaný počet soudců</w:t>
            </w:r>
          </w:p>
        </w:tc>
        <w:tc>
          <w:tcPr>
            <w:tcW w:w="1527" w:type="dxa"/>
            <w:vMerge w:val="restart"/>
            <w:tcBorders>
              <w:top w:val="double" w:sz="6" w:space="0" w:color="auto"/>
              <w:left w:val="nil"/>
              <w:bottom w:val="double" w:sz="6" w:space="0" w:color="000000"/>
              <w:right w:val="nil"/>
            </w:tcBorders>
            <w:shd w:val="clear" w:color="auto" w:fill="auto"/>
            <w:vAlign w:val="center"/>
            <w:hideMark/>
          </w:tcPr>
          <w:p w14:paraId="7546B7D8" w14:textId="77777777"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Skutečný počet soudců</w:t>
            </w:r>
          </w:p>
        </w:tc>
        <w:tc>
          <w:tcPr>
            <w:tcW w:w="2237" w:type="dxa"/>
            <w:vMerge w:val="restart"/>
            <w:tcBorders>
              <w:top w:val="double" w:sz="6" w:space="0" w:color="auto"/>
              <w:left w:val="nil"/>
              <w:bottom w:val="double" w:sz="6" w:space="0" w:color="000000"/>
              <w:right w:val="nil"/>
            </w:tcBorders>
            <w:shd w:val="clear" w:color="auto" w:fill="auto"/>
            <w:vAlign w:val="center"/>
            <w:hideMark/>
          </w:tcPr>
          <w:p w14:paraId="3507D1E1" w14:textId="77777777"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Podíl skutečný/plánovaný počet soudců</w:t>
            </w:r>
          </w:p>
        </w:tc>
      </w:tr>
      <w:tr w:rsidR="00B64E96" w:rsidRPr="00730B1E" w14:paraId="4DC7DB49" w14:textId="77777777" w:rsidTr="000F6962">
        <w:trPr>
          <w:trHeight w:val="645"/>
        </w:trPr>
        <w:tc>
          <w:tcPr>
            <w:tcW w:w="2080" w:type="dxa"/>
            <w:vMerge/>
            <w:tcBorders>
              <w:top w:val="double" w:sz="6" w:space="0" w:color="auto"/>
              <w:left w:val="nil"/>
              <w:bottom w:val="double" w:sz="6" w:space="0" w:color="000000"/>
              <w:right w:val="nil"/>
            </w:tcBorders>
            <w:vAlign w:val="center"/>
            <w:hideMark/>
          </w:tcPr>
          <w:p w14:paraId="3B6E4C2A" w14:textId="77777777" w:rsidR="00C36859" w:rsidRPr="00730B1E" w:rsidRDefault="00C36859" w:rsidP="004D6EF6">
            <w:pPr>
              <w:spacing w:line="240" w:lineRule="auto"/>
              <w:jc w:val="left"/>
              <w:rPr>
                <w:rFonts w:eastAsia="Times New Roman"/>
                <w:b/>
                <w:bCs/>
                <w:szCs w:val="24"/>
                <w:lang w:eastAsia="cs-CZ"/>
              </w:rPr>
            </w:pPr>
          </w:p>
        </w:tc>
        <w:tc>
          <w:tcPr>
            <w:tcW w:w="1530" w:type="dxa"/>
            <w:vMerge/>
            <w:tcBorders>
              <w:top w:val="double" w:sz="6" w:space="0" w:color="auto"/>
              <w:left w:val="nil"/>
              <w:bottom w:val="double" w:sz="6" w:space="0" w:color="000000"/>
              <w:right w:val="nil"/>
            </w:tcBorders>
            <w:vAlign w:val="center"/>
            <w:hideMark/>
          </w:tcPr>
          <w:p w14:paraId="116CB0C4" w14:textId="77777777" w:rsidR="00C36859" w:rsidRPr="00730B1E" w:rsidRDefault="00C36859" w:rsidP="004D6EF6">
            <w:pPr>
              <w:spacing w:line="240" w:lineRule="auto"/>
              <w:jc w:val="left"/>
              <w:rPr>
                <w:rFonts w:eastAsia="Times New Roman"/>
                <w:b/>
                <w:bCs/>
                <w:szCs w:val="24"/>
                <w:lang w:eastAsia="cs-CZ"/>
              </w:rPr>
            </w:pPr>
          </w:p>
        </w:tc>
        <w:tc>
          <w:tcPr>
            <w:tcW w:w="1530" w:type="dxa"/>
            <w:vMerge/>
            <w:tcBorders>
              <w:top w:val="double" w:sz="6" w:space="0" w:color="auto"/>
              <w:left w:val="nil"/>
              <w:bottom w:val="double" w:sz="6" w:space="0" w:color="000000"/>
              <w:right w:val="nil"/>
            </w:tcBorders>
            <w:vAlign w:val="center"/>
            <w:hideMark/>
          </w:tcPr>
          <w:p w14:paraId="11C609F3" w14:textId="77777777" w:rsidR="00C36859" w:rsidRPr="00730B1E" w:rsidRDefault="00C36859" w:rsidP="004D6EF6">
            <w:pPr>
              <w:spacing w:line="240" w:lineRule="auto"/>
              <w:jc w:val="left"/>
              <w:rPr>
                <w:rFonts w:eastAsia="Times New Roman"/>
                <w:b/>
                <w:bCs/>
                <w:szCs w:val="24"/>
                <w:lang w:eastAsia="cs-CZ"/>
              </w:rPr>
            </w:pPr>
          </w:p>
        </w:tc>
        <w:tc>
          <w:tcPr>
            <w:tcW w:w="1527" w:type="dxa"/>
            <w:vMerge/>
            <w:tcBorders>
              <w:top w:val="double" w:sz="6" w:space="0" w:color="auto"/>
              <w:left w:val="nil"/>
              <w:bottom w:val="double" w:sz="6" w:space="0" w:color="000000"/>
              <w:right w:val="nil"/>
            </w:tcBorders>
            <w:vAlign w:val="center"/>
            <w:hideMark/>
          </w:tcPr>
          <w:p w14:paraId="75787256" w14:textId="77777777" w:rsidR="00C36859" w:rsidRPr="00730B1E" w:rsidRDefault="00C36859" w:rsidP="004D6EF6">
            <w:pPr>
              <w:spacing w:line="240" w:lineRule="auto"/>
              <w:jc w:val="left"/>
              <w:rPr>
                <w:rFonts w:eastAsia="Times New Roman"/>
                <w:b/>
                <w:bCs/>
                <w:szCs w:val="24"/>
                <w:lang w:eastAsia="cs-CZ"/>
              </w:rPr>
            </w:pPr>
          </w:p>
        </w:tc>
        <w:tc>
          <w:tcPr>
            <w:tcW w:w="2237" w:type="dxa"/>
            <w:vMerge/>
            <w:tcBorders>
              <w:top w:val="double" w:sz="6" w:space="0" w:color="auto"/>
              <w:left w:val="nil"/>
              <w:bottom w:val="double" w:sz="6" w:space="0" w:color="000000"/>
              <w:right w:val="nil"/>
            </w:tcBorders>
            <w:vAlign w:val="center"/>
            <w:hideMark/>
          </w:tcPr>
          <w:p w14:paraId="28C73CE3" w14:textId="77777777" w:rsidR="00C36859" w:rsidRPr="00730B1E" w:rsidRDefault="00C36859" w:rsidP="004D6EF6">
            <w:pPr>
              <w:spacing w:line="240" w:lineRule="auto"/>
              <w:jc w:val="left"/>
              <w:rPr>
                <w:rFonts w:eastAsia="Times New Roman"/>
                <w:b/>
                <w:bCs/>
                <w:szCs w:val="24"/>
                <w:lang w:eastAsia="cs-CZ"/>
              </w:rPr>
            </w:pPr>
          </w:p>
        </w:tc>
      </w:tr>
      <w:tr w:rsidR="00B64E96" w:rsidRPr="00730B1E" w14:paraId="1FC412A7" w14:textId="77777777" w:rsidTr="000F6962">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073465F3" w14:textId="77777777" w:rsidR="00C36859" w:rsidRPr="00730B1E" w:rsidRDefault="00C36859" w:rsidP="004D6EF6">
            <w:pPr>
              <w:spacing w:line="240" w:lineRule="auto"/>
              <w:jc w:val="left"/>
              <w:rPr>
                <w:rFonts w:eastAsia="Times New Roman"/>
                <w:szCs w:val="24"/>
                <w:lang w:eastAsia="cs-CZ"/>
              </w:rPr>
            </w:pPr>
            <w:r w:rsidRPr="00730B1E">
              <w:rPr>
                <w:rFonts w:eastAsia="Times New Roman"/>
                <w:szCs w:val="24"/>
                <w:lang w:eastAsia="cs-CZ"/>
              </w:rPr>
              <w:t>MS Praha</w:t>
            </w:r>
          </w:p>
        </w:tc>
        <w:tc>
          <w:tcPr>
            <w:tcW w:w="1530" w:type="dxa"/>
            <w:tcBorders>
              <w:top w:val="single" w:sz="4" w:space="0" w:color="auto"/>
              <w:left w:val="nil"/>
              <w:bottom w:val="single" w:sz="4" w:space="0" w:color="auto"/>
              <w:right w:val="nil"/>
            </w:tcBorders>
            <w:shd w:val="clear" w:color="auto" w:fill="auto"/>
            <w:noWrap/>
            <w:vAlign w:val="bottom"/>
            <w:hideMark/>
          </w:tcPr>
          <w:p w14:paraId="0037DA5F"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332</w:t>
            </w:r>
          </w:p>
        </w:tc>
        <w:tc>
          <w:tcPr>
            <w:tcW w:w="1530" w:type="dxa"/>
            <w:tcBorders>
              <w:top w:val="single" w:sz="4" w:space="0" w:color="auto"/>
              <w:left w:val="nil"/>
              <w:bottom w:val="single" w:sz="4" w:space="0" w:color="auto"/>
              <w:right w:val="nil"/>
            </w:tcBorders>
            <w:shd w:val="clear" w:color="auto" w:fill="auto"/>
            <w:noWrap/>
            <w:vAlign w:val="bottom"/>
            <w:hideMark/>
          </w:tcPr>
          <w:p w14:paraId="79C11FBD"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317</w:t>
            </w:r>
          </w:p>
        </w:tc>
        <w:tc>
          <w:tcPr>
            <w:tcW w:w="1527" w:type="dxa"/>
            <w:tcBorders>
              <w:top w:val="single" w:sz="4" w:space="0" w:color="auto"/>
              <w:left w:val="nil"/>
              <w:bottom w:val="single" w:sz="4" w:space="0" w:color="auto"/>
              <w:right w:val="nil"/>
            </w:tcBorders>
            <w:shd w:val="clear" w:color="auto" w:fill="auto"/>
            <w:noWrap/>
            <w:vAlign w:val="bottom"/>
            <w:hideMark/>
          </w:tcPr>
          <w:p w14:paraId="00EB7C78" w14:textId="5F00D47A"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276,6</w:t>
            </w:r>
          </w:p>
        </w:tc>
        <w:tc>
          <w:tcPr>
            <w:tcW w:w="2237" w:type="dxa"/>
            <w:tcBorders>
              <w:top w:val="single" w:sz="4" w:space="0" w:color="auto"/>
              <w:left w:val="nil"/>
              <w:bottom w:val="single" w:sz="4" w:space="0" w:color="auto"/>
              <w:right w:val="nil"/>
            </w:tcBorders>
            <w:shd w:val="clear" w:color="auto" w:fill="auto"/>
            <w:noWrap/>
            <w:vAlign w:val="bottom"/>
            <w:hideMark/>
          </w:tcPr>
          <w:p w14:paraId="6512AB2F" w14:textId="76E8E9EC"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87,26 %</w:t>
            </w:r>
          </w:p>
        </w:tc>
      </w:tr>
      <w:tr w:rsidR="00B64E96" w:rsidRPr="00730B1E" w14:paraId="078234D9" w14:textId="77777777" w:rsidTr="000F6962">
        <w:trPr>
          <w:trHeight w:val="315"/>
        </w:trPr>
        <w:tc>
          <w:tcPr>
            <w:tcW w:w="2080" w:type="dxa"/>
            <w:tcBorders>
              <w:top w:val="nil"/>
              <w:left w:val="nil"/>
              <w:bottom w:val="single" w:sz="4" w:space="0" w:color="auto"/>
              <w:right w:val="nil"/>
            </w:tcBorders>
            <w:shd w:val="clear" w:color="auto" w:fill="auto"/>
            <w:noWrap/>
            <w:vAlign w:val="bottom"/>
            <w:hideMark/>
          </w:tcPr>
          <w:p w14:paraId="400C542E" w14:textId="77777777" w:rsidR="00C36859" w:rsidRPr="00730B1E" w:rsidRDefault="00C36859" w:rsidP="004D6EF6">
            <w:pPr>
              <w:spacing w:line="240" w:lineRule="auto"/>
              <w:jc w:val="left"/>
              <w:rPr>
                <w:rFonts w:eastAsia="Times New Roman"/>
                <w:szCs w:val="24"/>
                <w:lang w:eastAsia="cs-CZ"/>
              </w:rPr>
            </w:pPr>
            <w:r w:rsidRPr="00730B1E">
              <w:rPr>
                <w:rFonts w:eastAsia="Times New Roman"/>
                <w:szCs w:val="24"/>
                <w:lang w:eastAsia="cs-CZ"/>
              </w:rPr>
              <w:t>KS Praha</w:t>
            </w:r>
          </w:p>
        </w:tc>
        <w:tc>
          <w:tcPr>
            <w:tcW w:w="1530" w:type="dxa"/>
            <w:tcBorders>
              <w:top w:val="nil"/>
              <w:left w:val="nil"/>
              <w:bottom w:val="single" w:sz="4" w:space="0" w:color="auto"/>
              <w:right w:val="nil"/>
            </w:tcBorders>
            <w:shd w:val="clear" w:color="auto" w:fill="auto"/>
            <w:noWrap/>
            <w:vAlign w:val="bottom"/>
            <w:hideMark/>
          </w:tcPr>
          <w:p w14:paraId="34063570"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225</w:t>
            </w:r>
          </w:p>
        </w:tc>
        <w:tc>
          <w:tcPr>
            <w:tcW w:w="1530" w:type="dxa"/>
            <w:tcBorders>
              <w:top w:val="nil"/>
              <w:left w:val="nil"/>
              <w:bottom w:val="single" w:sz="4" w:space="0" w:color="auto"/>
              <w:right w:val="nil"/>
            </w:tcBorders>
            <w:shd w:val="clear" w:color="auto" w:fill="auto"/>
            <w:noWrap/>
            <w:vAlign w:val="bottom"/>
            <w:hideMark/>
          </w:tcPr>
          <w:p w14:paraId="6D3CE386"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229</w:t>
            </w:r>
          </w:p>
        </w:tc>
        <w:tc>
          <w:tcPr>
            <w:tcW w:w="1527" w:type="dxa"/>
            <w:tcBorders>
              <w:top w:val="nil"/>
              <w:left w:val="nil"/>
              <w:bottom w:val="single" w:sz="4" w:space="0" w:color="auto"/>
              <w:right w:val="nil"/>
            </w:tcBorders>
            <w:shd w:val="clear" w:color="auto" w:fill="auto"/>
            <w:noWrap/>
            <w:vAlign w:val="bottom"/>
            <w:hideMark/>
          </w:tcPr>
          <w:p w14:paraId="53F183B7" w14:textId="50A58C3F"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188,85</w:t>
            </w:r>
          </w:p>
        </w:tc>
        <w:tc>
          <w:tcPr>
            <w:tcW w:w="2237" w:type="dxa"/>
            <w:tcBorders>
              <w:top w:val="nil"/>
              <w:left w:val="nil"/>
              <w:bottom w:val="single" w:sz="4" w:space="0" w:color="auto"/>
              <w:right w:val="nil"/>
            </w:tcBorders>
            <w:shd w:val="clear" w:color="auto" w:fill="auto"/>
            <w:noWrap/>
            <w:vAlign w:val="bottom"/>
            <w:hideMark/>
          </w:tcPr>
          <w:p w14:paraId="7356DD04" w14:textId="3F07A594"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82,47 %</w:t>
            </w:r>
          </w:p>
        </w:tc>
      </w:tr>
      <w:tr w:rsidR="00B64E96" w:rsidRPr="00730B1E" w14:paraId="1A1B19F7" w14:textId="77777777" w:rsidTr="000F6962">
        <w:trPr>
          <w:trHeight w:val="315"/>
        </w:trPr>
        <w:tc>
          <w:tcPr>
            <w:tcW w:w="2080" w:type="dxa"/>
            <w:tcBorders>
              <w:top w:val="nil"/>
              <w:left w:val="nil"/>
              <w:bottom w:val="single" w:sz="4" w:space="0" w:color="auto"/>
              <w:right w:val="nil"/>
            </w:tcBorders>
            <w:shd w:val="clear" w:color="auto" w:fill="auto"/>
            <w:noWrap/>
            <w:vAlign w:val="bottom"/>
            <w:hideMark/>
          </w:tcPr>
          <w:p w14:paraId="29321D22" w14:textId="77777777" w:rsidR="00C36859" w:rsidRPr="00730B1E" w:rsidRDefault="00C36859" w:rsidP="004D6EF6">
            <w:pPr>
              <w:spacing w:line="240" w:lineRule="auto"/>
              <w:jc w:val="left"/>
              <w:rPr>
                <w:rFonts w:eastAsia="Times New Roman"/>
                <w:szCs w:val="24"/>
                <w:lang w:eastAsia="cs-CZ"/>
              </w:rPr>
            </w:pPr>
            <w:r w:rsidRPr="00730B1E">
              <w:rPr>
                <w:rFonts w:eastAsia="Times New Roman"/>
                <w:szCs w:val="24"/>
                <w:lang w:eastAsia="cs-CZ"/>
              </w:rPr>
              <w:t>KS Č. Budějovice</w:t>
            </w:r>
          </w:p>
        </w:tc>
        <w:tc>
          <w:tcPr>
            <w:tcW w:w="1530" w:type="dxa"/>
            <w:tcBorders>
              <w:top w:val="nil"/>
              <w:left w:val="nil"/>
              <w:bottom w:val="single" w:sz="4" w:space="0" w:color="auto"/>
              <w:right w:val="nil"/>
            </w:tcBorders>
            <w:shd w:val="clear" w:color="auto" w:fill="auto"/>
            <w:noWrap/>
            <w:vAlign w:val="bottom"/>
            <w:hideMark/>
          </w:tcPr>
          <w:p w14:paraId="029472F4"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105</w:t>
            </w:r>
          </w:p>
        </w:tc>
        <w:tc>
          <w:tcPr>
            <w:tcW w:w="1530" w:type="dxa"/>
            <w:tcBorders>
              <w:top w:val="nil"/>
              <w:left w:val="nil"/>
              <w:bottom w:val="single" w:sz="4" w:space="0" w:color="auto"/>
              <w:right w:val="nil"/>
            </w:tcBorders>
            <w:shd w:val="clear" w:color="auto" w:fill="auto"/>
            <w:noWrap/>
            <w:vAlign w:val="bottom"/>
            <w:hideMark/>
          </w:tcPr>
          <w:p w14:paraId="140AA6B4"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106</w:t>
            </w:r>
          </w:p>
        </w:tc>
        <w:tc>
          <w:tcPr>
            <w:tcW w:w="1527" w:type="dxa"/>
            <w:tcBorders>
              <w:top w:val="nil"/>
              <w:left w:val="nil"/>
              <w:bottom w:val="single" w:sz="4" w:space="0" w:color="auto"/>
              <w:right w:val="nil"/>
            </w:tcBorders>
            <w:shd w:val="clear" w:color="auto" w:fill="auto"/>
            <w:noWrap/>
            <w:vAlign w:val="bottom"/>
            <w:hideMark/>
          </w:tcPr>
          <w:p w14:paraId="77A9F35F" w14:textId="682ED32A"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88,51</w:t>
            </w:r>
          </w:p>
        </w:tc>
        <w:tc>
          <w:tcPr>
            <w:tcW w:w="2237" w:type="dxa"/>
            <w:tcBorders>
              <w:top w:val="nil"/>
              <w:left w:val="nil"/>
              <w:bottom w:val="single" w:sz="4" w:space="0" w:color="auto"/>
              <w:right w:val="nil"/>
            </w:tcBorders>
            <w:shd w:val="clear" w:color="auto" w:fill="auto"/>
            <w:noWrap/>
            <w:vAlign w:val="bottom"/>
            <w:hideMark/>
          </w:tcPr>
          <w:p w14:paraId="4DEA8C41" w14:textId="19EFE8FD"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83,50 %</w:t>
            </w:r>
          </w:p>
        </w:tc>
      </w:tr>
      <w:tr w:rsidR="00B64E96" w:rsidRPr="00730B1E" w14:paraId="39304107" w14:textId="77777777" w:rsidTr="000F6962">
        <w:trPr>
          <w:trHeight w:val="315"/>
        </w:trPr>
        <w:tc>
          <w:tcPr>
            <w:tcW w:w="2080" w:type="dxa"/>
            <w:tcBorders>
              <w:top w:val="nil"/>
              <w:left w:val="nil"/>
              <w:bottom w:val="single" w:sz="4" w:space="0" w:color="auto"/>
              <w:right w:val="nil"/>
            </w:tcBorders>
            <w:shd w:val="clear" w:color="auto" w:fill="auto"/>
            <w:noWrap/>
            <w:vAlign w:val="bottom"/>
            <w:hideMark/>
          </w:tcPr>
          <w:p w14:paraId="1CBFE72F" w14:textId="77777777" w:rsidR="00C36859" w:rsidRPr="00730B1E" w:rsidRDefault="00C36859" w:rsidP="004D6EF6">
            <w:pPr>
              <w:spacing w:line="240" w:lineRule="auto"/>
              <w:jc w:val="left"/>
              <w:rPr>
                <w:rFonts w:eastAsia="Times New Roman"/>
                <w:szCs w:val="24"/>
                <w:lang w:eastAsia="cs-CZ"/>
              </w:rPr>
            </w:pPr>
            <w:r w:rsidRPr="00730B1E">
              <w:rPr>
                <w:rFonts w:eastAsia="Times New Roman"/>
                <w:szCs w:val="24"/>
                <w:lang w:eastAsia="cs-CZ"/>
              </w:rPr>
              <w:t>KS Plzeň</w:t>
            </w:r>
          </w:p>
        </w:tc>
        <w:tc>
          <w:tcPr>
            <w:tcW w:w="1530" w:type="dxa"/>
            <w:tcBorders>
              <w:top w:val="nil"/>
              <w:left w:val="nil"/>
              <w:bottom w:val="single" w:sz="4" w:space="0" w:color="auto"/>
              <w:right w:val="nil"/>
            </w:tcBorders>
            <w:shd w:val="clear" w:color="auto" w:fill="auto"/>
            <w:noWrap/>
            <w:vAlign w:val="bottom"/>
            <w:hideMark/>
          </w:tcPr>
          <w:p w14:paraId="0914B05F"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158</w:t>
            </w:r>
          </w:p>
        </w:tc>
        <w:tc>
          <w:tcPr>
            <w:tcW w:w="1530" w:type="dxa"/>
            <w:tcBorders>
              <w:top w:val="nil"/>
              <w:left w:val="nil"/>
              <w:bottom w:val="single" w:sz="4" w:space="0" w:color="auto"/>
              <w:right w:val="nil"/>
            </w:tcBorders>
            <w:shd w:val="clear" w:color="auto" w:fill="auto"/>
            <w:noWrap/>
            <w:vAlign w:val="bottom"/>
            <w:hideMark/>
          </w:tcPr>
          <w:p w14:paraId="79BEEC1F"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168</w:t>
            </w:r>
          </w:p>
        </w:tc>
        <w:tc>
          <w:tcPr>
            <w:tcW w:w="1527" w:type="dxa"/>
            <w:tcBorders>
              <w:top w:val="nil"/>
              <w:left w:val="nil"/>
              <w:bottom w:val="single" w:sz="4" w:space="0" w:color="auto"/>
              <w:right w:val="nil"/>
            </w:tcBorders>
            <w:shd w:val="clear" w:color="auto" w:fill="auto"/>
            <w:noWrap/>
            <w:vAlign w:val="bottom"/>
            <w:hideMark/>
          </w:tcPr>
          <w:p w14:paraId="2C7569A2" w14:textId="1776EA5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145,42</w:t>
            </w:r>
          </w:p>
        </w:tc>
        <w:tc>
          <w:tcPr>
            <w:tcW w:w="2237" w:type="dxa"/>
            <w:tcBorders>
              <w:top w:val="nil"/>
              <w:left w:val="nil"/>
              <w:bottom w:val="single" w:sz="4" w:space="0" w:color="auto"/>
              <w:right w:val="nil"/>
            </w:tcBorders>
            <w:shd w:val="clear" w:color="auto" w:fill="auto"/>
            <w:noWrap/>
            <w:vAlign w:val="bottom"/>
            <w:hideMark/>
          </w:tcPr>
          <w:p w14:paraId="2F6235CF" w14:textId="15A53721"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86,56 %</w:t>
            </w:r>
          </w:p>
        </w:tc>
      </w:tr>
      <w:tr w:rsidR="00B64E96" w:rsidRPr="00730B1E" w14:paraId="6344FB9E" w14:textId="77777777" w:rsidTr="000F6962">
        <w:trPr>
          <w:trHeight w:val="315"/>
        </w:trPr>
        <w:tc>
          <w:tcPr>
            <w:tcW w:w="2080" w:type="dxa"/>
            <w:tcBorders>
              <w:top w:val="nil"/>
              <w:left w:val="nil"/>
              <w:bottom w:val="single" w:sz="4" w:space="0" w:color="auto"/>
              <w:right w:val="nil"/>
            </w:tcBorders>
            <w:shd w:val="clear" w:color="auto" w:fill="auto"/>
            <w:noWrap/>
            <w:vAlign w:val="bottom"/>
            <w:hideMark/>
          </w:tcPr>
          <w:p w14:paraId="0B3B7513" w14:textId="77777777" w:rsidR="00C36859" w:rsidRPr="00730B1E" w:rsidRDefault="00C36859" w:rsidP="004D6EF6">
            <w:pPr>
              <w:spacing w:line="240" w:lineRule="auto"/>
              <w:jc w:val="left"/>
              <w:rPr>
                <w:rFonts w:eastAsia="Times New Roman"/>
                <w:szCs w:val="24"/>
                <w:lang w:eastAsia="cs-CZ"/>
              </w:rPr>
            </w:pPr>
            <w:r w:rsidRPr="00730B1E">
              <w:rPr>
                <w:rFonts w:eastAsia="Times New Roman"/>
                <w:szCs w:val="24"/>
                <w:lang w:eastAsia="cs-CZ"/>
              </w:rPr>
              <w:t>KS Ústí n. Labem</w:t>
            </w:r>
          </w:p>
        </w:tc>
        <w:tc>
          <w:tcPr>
            <w:tcW w:w="1530" w:type="dxa"/>
            <w:tcBorders>
              <w:top w:val="nil"/>
              <w:left w:val="nil"/>
              <w:bottom w:val="single" w:sz="4" w:space="0" w:color="auto"/>
              <w:right w:val="nil"/>
            </w:tcBorders>
            <w:shd w:val="clear" w:color="auto" w:fill="auto"/>
            <w:noWrap/>
            <w:vAlign w:val="bottom"/>
            <w:hideMark/>
          </w:tcPr>
          <w:p w14:paraId="030710FB"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279</w:t>
            </w:r>
          </w:p>
        </w:tc>
        <w:tc>
          <w:tcPr>
            <w:tcW w:w="1530" w:type="dxa"/>
            <w:tcBorders>
              <w:top w:val="nil"/>
              <w:left w:val="nil"/>
              <w:bottom w:val="single" w:sz="4" w:space="0" w:color="auto"/>
              <w:right w:val="nil"/>
            </w:tcBorders>
            <w:shd w:val="clear" w:color="auto" w:fill="auto"/>
            <w:noWrap/>
            <w:vAlign w:val="bottom"/>
            <w:hideMark/>
          </w:tcPr>
          <w:p w14:paraId="41230DB4"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261</w:t>
            </w:r>
          </w:p>
        </w:tc>
        <w:tc>
          <w:tcPr>
            <w:tcW w:w="1527" w:type="dxa"/>
            <w:tcBorders>
              <w:top w:val="nil"/>
              <w:left w:val="nil"/>
              <w:bottom w:val="single" w:sz="4" w:space="0" w:color="auto"/>
              <w:right w:val="nil"/>
            </w:tcBorders>
            <w:shd w:val="clear" w:color="auto" w:fill="auto"/>
            <w:noWrap/>
            <w:vAlign w:val="bottom"/>
            <w:hideMark/>
          </w:tcPr>
          <w:p w14:paraId="78D185C9" w14:textId="0F05962B"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232,39</w:t>
            </w:r>
          </w:p>
        </w:tc>
        <w:tc>
          <w:tcPr>
            <w:tcW w:w="2237" w:type="dxa"/>
            <w:tcBorders>
              <w:top w:val="nil"/>
              <w:left w:val="nil"/>
              <w:bottom w:val="single" w:sz="4" w:space="0" w:color="auto"/>
              <w:right w:val="nil"/>
            </w:tcBorders>
            <w:shd w:val="clear" w:color="auto" w:fill="auto"/>
            <w:noWrap/>
            <w:vAlign w:val="bottom"/>
            <w:hideMark/>
          </w:tcPr>
          <w:p w14:paraId="1906673C" w14:textId="1BB55E00"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89,04 %</w:t>
            </w:r>
          </w:p>
        </w:tc>
      </w:tr>
      <w:tr w:rsidR="00B64E96" w:rsidRPr="00730B1E" w14:paraId="306D0542" w14:textId="77777777" w:rsidTr="000F6962">
        <w:trPr>
          <w:trHeight w:val="315"/>
        </w:trPr>
        <w:tc>
          <w:tcPr>
            <w:tcW w:w="2080" w:type="dxa"/>
            <w:tcBorders>
              <w:top w:val="nil"/>
              <w:left w:val="nil"/>
              <w:bottom w:val="single" w:sz="4" w:space="0" w:color="auto"/>
              <w:right w:val="nil"/>
            </w:tcBorders>
            <w:shd w:val="clear" w:color="auto" w:fill="auto"/>
            <w:noWrap/>
            <w:vAlign w:val="bottom"/>
            <w:hideMark/>
          </w:tcPr>
          <w:p w14:paraId="6875C645" w14:textId="77777777" w:rsidR="00C36859" w:rsidRPr="00730B1E" w:rsidRDefault="00C36859" w:rsidP="004D6EF6">
            <w:pPr>
              <w:spacing w:line="240" w:lineRule="auto"/>
              <w:jc w:val="left"/>
              <w:rPr>
                <w:rFonts w:eastAsia="Times New Roman"/>
                <w:szCs w:val="24"/>
                <w:lang w:eastAsia="cs-CZ"/>
              </w:rPr>
            </w:pPr>
            <w:r w:rsidRPr="00730B1E">
              <w:rPr>
                <w:rFonts w:eastAsia="Times New Roman"/>
                <w:szCs w:val="24"/>
                <w:lang w:eastAsia="cs-CZ"/>
              </w:rPr>
              <w:t>KS Hr. Králové</w:t>
            </w:r>
          </w:p>
        </w:tc>
        <w:tc>
          <w:tcPr>
            <w:tcW w:w="1530" w:type="dxa"/>
            <w:tcBorders>
              <w:top w:val="nil"/>
              <w:left w:val="nil"/>
              <w:bottom w:val="single" w:sz="4" w:space="0" w:color="auto"/>
              <w:right w:val="nil"/>
            </w:tcBorders>
            <w:shd w:val="clear" w:color="auto" w:fill="auto"/>
            <w:noWrap/>
            <w:vAlign w:val="bottom"/>
            <w:hideMark/>
          </w:tcPr>
          <w:p w14:paraId="09443829"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169</w:t>
            </w:r>
          </w:p>
        </w:tc>
        <w:tc>
          <w:tcPr>
            <w:tcW w:w="1530" w:type="dxa"/>
            <w:tcBorders>
              <w:top w:val="nil"/>
              <w:left w:val="nil"/>
              <w:bottom w:val="single" w:sz="4" w:space="0" w:color="auto"/>
              <w:right w:val="nil"/>
            </w:tcBorders>
            <w:shd w:val="clear" w:color="auto" w:fill="auto"/>
            <w:noWrap/>
            <w:vAlign w:val="bottom"/>
            <w:hideMark/>
          </w:tcPr>
          <w:p w14:paraId="192B305F"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173</w:t>
            </w:r>
          </w:p>
        </w:tc>
        <w:tc>
          <w:tcPr>
            <w:tcW w:w="1527" w:type="dxa"/>
            <w:tcBorders>
              <w:top w:val="nil"/>
              <w:left w:val="nil"/>
              <w:bottom w:val="single" w:sz="4" w:space="0" w:color="auto"/>
              <w:right w:val="nil"/>
            </w:tcBorders>
            <w:shd w:val="clear" w:color="auto" w:fill="auto"/>
            <w:noWrap/>
            <w:vAlign w:val="bottom"/>
            <w:hideMark/>
          </w:tcPr>
          <w:p w14:paraId="28EB7E2F" w14:textId="1DC7103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156,45</w:t>
            </w:r>
          </w:p>
        </w:tc>
        <w:tc>
          <w:tcPr>
            <w:tcW w:w="2237" w:type="dxa"/>
            <w:tcBorders>
              <w:top w:val="nil"/>
              <w:left w:val="nil"/>
              <w:bottom w:val="single" w:sz="4" w:space="0" w:color="auto"/>
              <w:right w:val="nil"/>
            </w:tcBorders>
            <w:shd w:val="clear" w:color="auto" w:fill="auto"/>
            <w:noWrap/>
            <w:vAlign w:val="bottom"/>
            <w:hideMark/>
          </w:tcPr>
          <w:p w14:paraId="6D54AA76" w14:textId="58085B3D"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90,43 %</w:t>
            </w:r>
          </w:p>
        </w:tc>
      </w:tr>
      <w:tr w:rsidR="00B64E96" w:rsidRPr="00730B1E" w14:paraId="2057EE15" w14:textId="77777777" w:rsidTr="000F6962">
        <w:trPr>
          <w:trHeight w:val="315"/>
        </w:trPr>
        <w:tc>
          <w:tcPr>
            <w:tcW w:w="2080" w:type="dxa"/>
            <w:tcBorders>
              <w:top w:val="nil"/>
              <w:left w:val="nil"/>
              <w:bottom w:val="single" w:sz="4" w:space="0" w:color="auto"/>
              <w:right w:val="nil"/>
            </w:tcBorders>
            <w:shd w:val="clear" w:color="auto" w:fill="auto"/>
            <w:noWrap/>
            <w:vAlign w:val="bottom"/>
            <w:hideMark/>
          </w:tcPr>
          <w:p w14:paraId="616F80F4" w14:textId="77777777" w:rsidR="00C36859" w:rsidRPr="00730B1E" w:rsidRDefault="00C36859" w:rsidP="004D6EF6">
            <w:pPr>
              <w:spacing w:line="240" w:lineRule="auto"/>
              <w:jc w:val="left"/>
              <w:rPr>
                <w:rFonts w:eastAsia="Times New Roman"/>
                <w:szCs w:val="24"/>
                <w:lang w:eastAsia="cs-CZ"/>
              </w:rPr>
            </w:pPr>
            <w:r w:rsidRPr="00730B1E">
              <w:rPr>
                <w:rFonts w:eastAsia="Times New Roman"/>
                <w:szCs w:val="24"/>
                <w:lang w:eastAsia="cs-CZ"/>
              </w:rPr>
              <w:t>KS Brno</w:t>
            </w:r>
          </w:p>
        </w:tc>
        <w:tc>
          <w:tcPr>
            <w:tcW w:w="1530" w:type="dxa"/>
            <w:tcBorders>
              <w:top w:val="nil"/>
              <w:left w:val="nil"/>
              <w:bottom w:val="single" w:sz="4" w:space="0" w:color="auto"/>
              <w:right w:val="nil"/>
            </w:tcBorders>
            <w:shd w:val="clear" w:color="auto" w:fill="auto"/>
            <w:noWrap/>
            <w:vAlign w:val="bottom"/>
            <w:hideMark/>
          </w:tcPr>
          <w:p w14:paraId="0DB2F187"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283</w:t>
            </w:r>
          </w:p>
        </w:tc>
        <w:tc>
          <w:tcPr>
            <w:tcW w:w="1530" w:type="dxa"/>
            <w:tcBorders>
              <w:top w:val="nil"/>
              <w:left w:val="nil"/>
              <w:bottom w:val="single" w:sz="4" w:space="0" w:color="auto"/>
              <w:right w:val="nil"/>
            </w:tcBorders>
            <w:shd w:val="clear" w:color="auto" w:fill="auto"/>
            <w:noWrap/>
            <w:vAlign w:val="bottom"/>
            <w:hideMark/>
          </w:tcPr>
          <w:p w14:paraId="24E87633"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282</w:t>
            </w:r>
          </w:p>
        </w:tc>
        <w:tc>
          <w:tcPr>
            <w:tcW w:w="1527" w:type="dxa"/>
            <w:tcBorders>
              <w:top w:val="nil"/>
              <w:left w:val="nil"/>
              <w:bottom w:val="single" w:sz="4" w:space="0" w:color="auto"/>
              <w:right w:val="nil"/>
            </w:tcBorders>
            <w:shd w:val="clear" w:color="auto" w:fill="auto"/>
            <w:noWrap/>
            <w:vAlign w:val="bottom"/>
            <w:hideMark/>
          </w:tcPr>
          <w:p w14:paraId="050B582D"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251</w:t>
            </w:r>
          </w:p>
        </w:tc>
        <w:tc>
          <w:tcPr>
            <w:tcW w:w="2237" w:type="dxa"/>
            <w:tcBorders>
              <w:top w:val="nil"/>
              <w:left w:val="nil"/>
              <w:bottom w:val="single" w:sz="4" w:space="0" w:color="auto"/>
              <w:right w:val="nil"/>
            </w:tcBorders>
            <w:shd w:val="clear" w:color="auto" w:fill="auto"/>
            <w:noWrap/>
            <w:vAlign w:val="bottom"/>
            <w:hideMark/>
          </w:tcPr>
          <w:p w14:paraId="1F425B11" w14:textId="6905D66C"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89,01 %</w:t>
            </w:r>
          </w:p>
        </w:tc>
      </w:tr>
      <w:tr w:rsidR="00B64E96" w:rsidRPr="00730B1E" w14:paraId="2D8DEF0C" w14:textId="77777777" w:rsidTr="000F6962">
        <w:trPr>
          <w:trHeight w:val="330"/>
        </w:trPr>
        <w:tc>
          <w:tcPr>
            <w:tcW w:w="2080" w:type="dxa"/>
            <w:tcBorders>
              <w:top w:val="nil"/>
              <w:left w:val="nil"/>
              <w:bottom w:val="double" w:sz="6" w:space="0" w:color="auto"/>
              <w:right w:val="nil"/>
            </w:tcBorders>
            <w:shd w:val="clear" w:color="auto" w:fill="auto"/>
            <w:noWrap/>
            <w:vAlign w:val="bottom"/>
            <w:hideMark/>
          </w:tcPr>
          <w:p w14:paraId="68556CC6" w14:textId="77777777" w:rsidR="00C36859" w:rsidRPr="00730B1E" w:rsidRDefault="00C36859" w:rsidP="004D6EF6">
            <w:pPr>
              <w:spacing w:line="240" w:lineRule="auto"/>
              <w:jc w:val="left"/>
              <w:rPr>
                <w:rFonts w:eastAsia="Times New Roman"/>
                <w:szCs w:val="24"/>
                <w:lang w:eastAsia="cs-CZ"/>
              </w:rPr>
            </w:pPr>
            <w:r w:rsidRPr="00730B1E">
              <w:rPr>
                <w:rFonts w:eastAsia="Times New Roman"/>
                <w:szCs w:val="24"/>
                <w:lang w:eastAsia="cs-CZ"/>
              </w:rPr>
              <w:t>KS Ostrava</w:t>
            </w:r>
          </w:p>
        </w:tc>
        <w:tc>
          <w:tcPr>
            <w:tcW w:w="1530" w:type="dxa"/>
            <w:tcBorders>
              <w:top w:val="nil"/>
              <w:left w:val="nil"/>
              <w:bottom w:val="double" w:sz="6" w:space="0" w:color="auto"/>
              <w:right w:val="nil"/>
            </w:tcBorders>
            <w:shd w:val="clear" w:color="auto" w:fill="auto"/>
            <w:noWrap/>
            <w:vAlign w:val="bottom"/>
            <w:hideMark/>
          </w:tcPr>
          <w:p w14:paraId="303ADD45"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329</w:t>
            </w:r>
          </w:p>
        </w:tc>
        <w:tc>
          <w:tcPr>
            <w:tcW w:w="1530" w:type="dxa"/>
            <w:tcBorders>
              <w:top w:val="nil"/>
              <w:left w:val="nil"/>
              <w:bottom w:val="double" w:sz="6" w:space="0" w:color="auto"/>
              <w:right w:val="nil"/>
            </w:tcBorders>
            <w:shd w:val="clear" w:color="auto" w:fill="auto"/>
            <w:noWrap/>
            <w:vAlign w:val="bottom"/>
            <w:hideMark/>
          </w:tcPr>
          <w:p w14:paraId="5D4764C6" w14:textId="77777777"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323</w:t>
            </w:r>
          </w:p>
        </w:tc>
        <w:tc>
          <w:tcPr>
            <w:tcW w:w="1527" w:type="dxa"/>
            <w:tcBorders>
              <w:top w:val="nil"/>
              <w:left w:val="nil"/>
              <w:bottom w:val="double" w:sz="6" w:space="0" w:color="auto"/>
              <w:right w:val="nil"/>
            </w:tcBorders>
            <w:shd w:val="clear" w:color="auto" w:fill="auto"/>
            <w:noWrap/>
            <w:vAlign w:val="bottom"/>
            <w:hideMark/>
          </w:tcPr>
          <w:p w14:paraId="16F1EF6D" w14:textId="35E90E85"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292,6</w:t>
            </w:r>
          </w:p>
        </w:tc>
        <w:tc>
          <w:tcPr>
            <w:tcW w:w="2237" w:type="dxa"/>
            <w:tcBorders>
              <w:top w:val="nil"/>
              <w:left w:val="nil"/>
              <w:bottom w:val="single" w:sz="4" w:space="0" w:color="auto"/>
              <w:right w:val="nil"/>
            </w:tcBorders>
            <w:shd w:val="clear" w:color="auto" w:fill="auto"/>
            <w:noWrap/>
            <w:vAlign w:val="bottom"/>
            <w:hideMark/>
          </w:tcPr>
          <w:p w14:paraId="5A7AE6DD" w14:textId="26629435" w:rsidR="00C36859" w:rsidRPr="00730B1E" w:rsidRDefault="00C36859" w:rsidP="004D6EF6">
            <w:pPr>
              <w:spacing w:line="240" w:lineRule="auto"/>
              <w:jc w:val="center"/>
              <w:rPr>
                <w:rFonts w:eastAsia="Times New Roman"/>
                <w:szCs w:val="24"/>
                <w:lang w:eastAsia="cs-CZ"/>
              </w:rPr>
            </w:pPr>
            <w:r w:rsidRPr="00730B1E">
              <w:rPr>
                <w:rFonts w:eastAsia="Times New Roman"/>
                <w:szCs w:val="24"/>
                <w:lang w:eastAsia="cs-CZ"/>
              </w:rPr>
              <w:t>90,59 %</w:t>
            </w:r>
          </w:p>
        </w:tc>
      </w:tr>
      <w:tr w:rsidR="00B64E96" w:rsidRPr="00730B1E" w14:paraId="2D5A20DC" w14:textId="77777777" w:rsidTr="000F6962">
        <w:trPr>
          <w:trHeight w:val="345"/>
        </w:trPr>
        <w:tc>
          <w:tcPr>
            <w:tcW w:w="2080" w:type="dxa"/>
            <w:tcBorders>
              <w:top w:val="nil"/>
              <w:left w:val="nil"/>
              <w:bottom w:val="double" w:sz="6" w:space="0" w:color="auto"/>
              <w:right w:val="nil"/>
            </w:tcBorders>
            <w:shd w:val="clear" w:color="auto" w:fill="auto"/>
            <w:noWrap/>
            <w:vAlign w:val="bottom"/>
            <w:hideMark/>
          </w:tcPr>
          <w:p w14:paraId="39187D2C" w14:textId="77777777" w:rsidR="00C36859" w:rsidRPr="00730B1E" w:rsidRDefault="00C36859" w:rsidP="004D6EF6">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530" w:type="dxa"/>
            <w:tcBorders>
              <w:top w:val="nil"/>
              <w:left w:val="nil"/>
              <w:bottom w:val="double" w:sz="6" w:space="0" w:color="auto"/>
              <w:right w:val="nil"/>
            </w:tcBorders>
            <w:shd w:val="clear" w:color="auto" w:fill="auto"/>
            <w:noWrap/>
            <w:vAlign w:val="bottom"/>
            <w:hideMark/>
          </w:tcPr>
          <w:p w14:paraId="7B86C457" w14:textId="77777777"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1880</w:t>
            </w:r>
          </w:p>
        </w:tc>
        <w:tc>
          <w:tcPr>
            <w:tcW w:w="1530" w:type="dxa"/>
            <w:tcBorders>
              <w:top w:val="nil"/>
              <w:left w:val="nil"/>
              <w:bottom w:val="double" w:sz="6" w:space="0" w:color="auto"/>
              <w:right w:val="nil"/>
            </w:tcBorders>
            <w:shd w:val="clear" w:color="auto" w:fill="auto"/>
            <w:noWrap/>
            <w:vAlign w:val="bottom"/>
            <w:hideMark/>
          </w:tcPr>
          <w:p w14:paraId="7C27491E" w14:textId="77777777"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1859</w:t>
            </w:r>
          </w:p>
        </w:tc>
        <w:tc>
          <w:tcPr>
            <w:tcW w:w="1527" w:type="dxa"/>
            <w:tcBorders>
              <w:top w:val="nil"/>
              <w:left w:val="nil"/>
              <w:bottom w:val="double" w:sz="6" w:space="0" w:color="auto"/>
              <w:right w:val="nil"/>
            </w:tcBorders>
            <w:shd w:val="clear" w:color="auto" w:fill="auto"/>
            <w:noWrap/>
            <w:vAlign w:val="bottom"/>
            <w:hideMark/>
          </w:tcPr>
          <w:p w14:paraId="0A2D0C7F" w14:textId="5DE62357"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1631,82</w:t>
            </w:r>
          </w:p>
        </w:tc>
        <w:tc>
          <w:tcPr>
            <w:tcW w:w="2237" w:type="dxa"/>
            <w:tcBorders>
              <w:top w:val="double" w:sz="6" w:space="0" w:color="auto"/>
              <w:left w:val="nil"/>
              <w:bottom w:val="double" w:sz="6" w:space="0" w:color="auto"/>
              <w:right w:val="nil"/>
            </w:tcBorders>
            <w:shd w:val="clear" w:color="auto" w:fill="auto"/>
            <w:noWrap/>
            <w:vAlign w:val="bottom"/>
            <w:hideMark/>
          </w:tcPr>
          <w:p w14:paraId="7D451CB4" w14:textId="09585DBF" w:rsidR="00C36859" w:rsidRPr="00730B1E" w:rsidRDefault="00C36859" w:rsidP="004D6EF6">
            <w:pPr>
              <w:spacing w:line="240" w:lineRule="auto"/>
              <w:jc w:val="center"/>
              <w:rPr>
                <w:rFonts w:eastAsia="Times New Roman"/>
                <w:b/>
                <w:bCs/>
                <w:szCs w:val="24"/>
                <w:lang w:eastAsia="cs-CZ"/>
              </w:rPr>
            </w:pPr>
            <w:r w:rsidRPr="00730B1E">
              <w:rPr>
                <w:rFonts w:eastAsia="Times New Roman"/>
                <w:b/>
                <w:bCs/>
                <w:szCs w:val="24"/>
                <w:lang w:eastAsia="cs-CZ"/>
              </w:rPr>
              <w:t>87,78 %</w:t>
            </w:r>
          </w:p>
        </w:tc>
      </w:tr>
      <w:tr w:rsidR="00B64E96" w:rsidRPr="00730B1E" w14:paraId="308195E1" w14:textId="77777777" w:rsidTr="000F6962">
        <w:trPr>
          <w:trHeight w:val="330"/>
        </w:trPr>
        <w:tc>
          <w:tcPr>
            <w:tcW w:w="2080" w:type="dxa"/>
            <w:tcBorders>
              <w:top w:val="nil"/>
              <w:left w:val="nil"/>
              <w:bottom w:val="nil"/>
              <w:right w:val="nil"/>
            </w:tcBorders>
            <w:shd w:val="clear" w:color="auto" w:fill="auto"/>
            <w:noWrap/>
            <w:vAlign w:val="bottom"/>
            <w:hideMark/>
          </w:tcPr>
          <w:p w14:paraId="75AB6731" w14:textId="77777777" w:rsidR="00C36859" w:rsidRPr="00730B1E" w:rsidRDefault="00C36859" w:rsidP="004D6EF6">
            <w:pPr>
              <w:spacing w:line="240" w:lineRule="auto"/>
              <w:jc w:val="center"/>
              <w:rPr>
                <w:rFonts w:eastAsia="Times New Roman"/>
                <w:b/>
                <w:bCs/>
                <w:szCs w:val="24"/>
                <w:lang w:eastAsia="cs-CZ"/>
              </w:rPr>
            </w:pPr>
          </w:p>
        </w:tc>
        <w:tc>
          <w:tcPr>
            <w:tcW w:w="1530" w:type="dxa"/>
            <w:tcBorders>
              <w:top w:val="nil"/>
              <w:left w:val="nil"/>
              <w:bottom w:val="nil"/>
              <w:right w:val="nil"/>
            </w:tcBorders>
            <w:shd w:val="clear" w:color="auto" w:fill="auto"/>
            <w:noWrap/>
            <w:vAlign w:val="bottom"/>
            <w:hideMark/>
          </w:tcPr>
          <w:p w14:paraId="4BA2C9BF" w14:textId="77777777" w:rsidR="00C36859" w:rsidRPr="00DF07F3" w:rsidRDefault="00C36859" w:rsidP="004D6EF6">
            <w:pPr>
              <w:spacing w:line="240" w:lineRule="auto"/>
              <w:jc w:val="left"/>
              <w:rPr>
                <w:sz w:val="20"/>
              </w:rPr>
            </w:pPr>
          </w:p>
        </w:tc>
        <w:tc>
          <w:tcPr>
            <w:tcW w:w="1530" w:type="dxa"/>
            <w:tcBorders>
              <w:top w:val="nil"/>
              <w:left w:val="nil"/>
              <w:bottom w:val="nil"/>
              <w:right w:val="nil"/>
            </w:tcBorders>
            <w:shd w:val="clear" w:color="auto" w:fill="auto"/>
            <w:noWrap/>
            <w:vAlign w:val="bottom"/>
            <w:hideMark/>
          </w:tcPr>
          <w:p w14:paraId="3F228379" w14:textId="77777777" w:rsidR="00C36859" w:rsidRPr="00DF07F3" w:rsidRDefault="00C36859" w:rsidP="004D6EF6">
            <w:pPr>
              <w:spacing w:line="240" w:lineRule="auto"/>
              <w:jc w:val="left"/>
              <w:rPr>
                <w:sz w:val="20"/>
              </w:rPr>
            </w:pPr>
          </w:p>
        </w:tc>
        <w:tc>
          <w:tcPr>
            <w:tcW w:w="1527" w:type="dxa"/>
            <w:tcBorders>
              <w:top w:val="nil"/>
              <w:left w:val="nil"/>
              <w:bottom w:val="nil"/>
              <w:right w:val="nil"/>
            </w:tcBorders>
            <w:shd w:val="clear" w:color="auto" w:fill="auto"/>
            <w:noWrap/>
            <w:vAlign w:val="bottom"/>
            <w:hideMark/>
          </w:tcPr>
          <w:p w14:paraId="2A1A7FB1" w14:textId="77777777" w:rsidR="00C36859" w:rsidRPr="00DF07F3" w:rsidRDefault="00C36859" w:rsidP="004D6EF6">
            <w:pPr>
              <w:spacing w:line="240" w:lineRule="auto"/>
              <w:jc w:val="left"/>
              <w:rPr>
                <w:sz w:val="20"/>
              </w:rPr>
            </w:pPr>
          </w:p>
        </w:tc>
        <w:tc>
          <w:tcPr>
            <w:tcW w:w="2237" w:type="dxa"/>
            <w:tcBorders>
              <w:top w:val="nil"/>
              <w:left w:val="nil"/>
              <w:bottom w:val="nil"/>
              <w:right w:val="nil"/>
            </w:tcBorders>
            <w:shd w:val="clear" w:color="auto" w:fill="auto"/>
            <w:noWrap/>
            <w:vAlign w:val="bottom"/>
            <w:hideMark/>
          </w:tcPr>
          <w:p w14:paraId="55A16EC2" w14:textId="77777777" w:rsidR="00C36859" w:rsidRPr="00DF07F3" w:rsidRDefault="00C36859" w:rsidP="004D6EF6">
            <w:pPr>
              <w:spacing w:line="240" w:lineRule="auto"/>
              <w:jc w:val="left"/>
              <w:rPr>
                <w:sz w:val="20"/>
              </w:rPr>
            </w:pPr>
          </w:p>
        </w:tc>
      </w:tr>
    </w:tbl>
    <w:p w14:paraId="14212957" w14:textId="6C3551CD" w:rsidR="002E2794" w:rsidRPr="00730B1E" w:rsidRDefault="00CB55B3" w:rsidP="00EA55C9">
      <w:pPr>
        <w:pStyle w:val="OdstavecASR"/>
      </w:pPr>
      <w:r w:rsidRPr="00730B1E">
        <w:t>Poměr</w:t>
      </w:r>
      <w:r w:rsidR="00EA55C9" w:rsidRPr="00730B1E">
        <w:t xml:space="preserve"> velikosti soudních úseků je velmi stabilní – počet soudců na </w:t>
      </w:r>
      <w:r w:rsidR="002E2794" w:rsidRPr="00730B1E">
        <w:t>netrestním</w:t>
      </w:r>
      <w:r w:rsidR="00EA55C9" w:rsidRPr="00730B1E">
        <w:t xml:space="preserve"> úseku je </w:t>
      </w:r>
      <w:r w:rsidR="002E2794" w:rsidRPr="00730B1E">
        <w:t>téměř 3,5</w:t>
      </w:r>
      <w:r w:rsidR="00C36859" w:rsidRPr="00730B1E">
        <w:t>×</w:t>
      </w:r>
      <w:r w:rsidR="002E2794" w:rsidRPr="00730B1E">
        <w:t xml:space="preserve"> </w:t>
      </w:r>
      <w:r w:rsidR="00EA55C9" w:rsidRPr="00730B1E">
        <w:t xml:space="preserve">vyšší než počet soudců na úseku trestním. </w:t>
      </w:r>
      <w:r w:rsidR="002E2794" w:rsidRPr="00730B1E">
        <w:t>Opatrovnick</w:t>
      </w:r>
      <w:r w:rsidR="00391B13" w:rsidRPr="00730B1E">
        <w:t>é</w:t>
      </w:r>
      <w:r w:rsidR="002E2794" w:rsidRPr="00730B1E">
        <w:t xml:space="preserve"> a trestní úsek</w:t>
      </w:r>
      <w:r w:rsidR="00391B13" w:rsidRPr="00730B1E">
        <w:t>y</w:t>
      </w:r>
      <w:r w:rsidR="002E2794" w:rsidRPr="00730B1E">
        <w:t xml:space="preserve"> jsou </w:t>
      </w:r>
      <w:r w:rsidR="0054606D" w:rsidRPr="00730B1E">
        <w:t xml:space="preserve">přibližně </w:t>
      </w:r>
      <w:r w:rsidR="002E2794" w:rsidRPr="00730B1E">
        <w:t>stejně velké, civilní úsek</w:t>
      </w:r>
      <w:r w:rsidR="009512AD" w:rsidRPr="00730B1E">
        <w:t>y</w:t>
      </w:r>
      <w:r w:rsidR="002E2794" w:rsidRPr="00730B1E">
        <w:t xml:space="preserve"> j</w:t>
      </w:r>
      <w:r w:rsidR="009512AD" w:rsidRPr="00730B1E">
        <w:t>sou</w:t>
      </w:r>
      <w:r w:rsidR="002E2794" w:rsidRPr="00730B1E">
        <w:t xml:space="preserve"> výrazně větší. Data můžeme vidět v grafu a tabulce níže. V přepočtu na 100 tis. obyvatel jsou personálně výrazně nejsilnější OS </w:t>
      </w:r>
      <w:r w:rsidR="00357AA2" w:rsidRPr="00730B1E">
        <w:t xml:space="preserve">v Praze a </w:t>
      </w:r>
      <w:r w:rsidR="002E2794" w:rsidRPr="00730B1E">
        <w:t>v </w:t>
      </w:r>
      <w:r w:rsidR="006B7AEB" w:rsidRPr="00730B1E">
        <w:t>S</w:t>
      </w:r>
      <w:r w:rsidR="002E2794" w:rsidRPr="00730B1E">
        <w:t>everočeském soudním kraj</w:t>
      </w:r>
      <w:r w:rsidR="00357AA2" w:rsidRPr="00730B1E">
        <w:t>i.</w:t>
      </w:r>
      <w:r w:rsidR="002E2794" w:rsidRPr="00730B1E">
        <w:t> </w:t>
      </w:r>
    </w:p>
    <w:p w14:paraId="5C1103CA" w14:textId="0E31CF00" w:rsidR="002E2794" w:rsidRPr="00730B1E" w:rsidRDefault="002E2794">
      <w:pPr>
        <w:spacing w:after="160" w:line="259" w:lineRule="auto"/>
        <w:jc w:val="left"/>
      </w:pPr>
    </w:p>
    <w:p w14:paraId="49B758B4" w14:textId="41DD673F" w:rsidR="002E2794" w:rsidRPr="00730B1E" w:rsidRDefault="002E2794" w:rsidP="002E2794">
      <w:pPr>
        <w:pStyle w:val="Podnadpis"/>
        <w:numPr>
          <w:ilvl w:val="0"/>
          <w:numId w:val="0"/>
        </w:numPr>
        <w:rPr>
          <w:color w:val="auto"/>
        </w:rPr>
      </w:pPr>
      <w:bookmarkStart w:id="51" w:name="_Toc169250921"/>
      <w:bookmarkStart w:id="52" w:name="_Toc17408060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w:t>
      </w:r>
      <w:r w:rsidRPr="00730B1E">
        <w:rPr>
          <w:color w:val="auto"/>
        </w:rPr>
        <w:fldChar w:fldCharType="end"/>
      </w:r>
      <w:r w:rsidRPr="00730B1E">
        <w:rPr>
          <w:color w:val="auto"/>
        </w:rPr>
        <w:t xml:space="preserve">: OS – </w:t>
      </w:r>
      <w:r w:rsidR="00EF4786" w:rsidRPr="00730B1E">
        <w:rPr>
          <w:color w:val="auto"/>
        </w:rPr>
        <w:t xml:space="preserve">skutečný </w:t>
      </w:r>
      <w:r w:rsidRPr="00730B1E">
        <w:rPr>
          <w:color w:val="auto"/>
        </w:rPr>
        <w:t>počet soudců dle úseků v roce 2023</w:t>
      </w:r>
      <w:bookmarkEnd w:id="51"/>
      <w:bookmarkEnd w:id="52"/>
    </w:p>
    <w:p w14:paraId="04B251BF" w14:textId="173454E9" w:rsidR="002E2794" w:rsidRPr="00730B1E" w:rsidRDefault="00357AA2" w:rsidP="002E2794">
      <w:r w:rsidRPr="00730B1E">
        <w:rPr>
          <w:noProof/>
          <w:lang w:eastAsia="cs-CZ"/>
        </w:rPr>
        <w:drawing>
          <wp:inline distT="0" distB="0" distL="0" distR="0" wp14:anchorId="4684A228" wp14:editId="78EF80FD">
            <wp:extent cx="5029200" cy="3657600"/>
            <wp:effectExtent l="0" t="0" r="0" b="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EDB136B" w14:textId="77777777" w:rsidR="00EA55C9" w:rsidRPr="00730B1E" w:rsidRDefault="00EA55C9" w:rsidP="00EA55C9">
      <w:pPr>
        <w:pStyle w:val="OdstavecASR"/>
      </w:pPr>
    </w:p>
    <w:p w14:paraId="3BC76A04" w14:textId="1D848590" w:rsidR="002E2794" w:rsidRPr="00730B1E" w:rsidRDefault="002E2794" w:rsidP="002E2794">
      <w:pPr>
        <w:pStyle w:val="Podnadpis"/>
        <w:numPr>
          <w:ilvl w:val="0"/>
          <w:numId w:val="0"/>
        </w:numPr>
        <w:rPr>
          <w:color w:val="auto"/>
        </w:rPr>
      </w:pPr>
      <w:bookmarkStart w:id="53" w:name="_Toc169251059"/>
      <w:bookmarkStart w:id="54" w:name="_Toc174080745"/>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w:t>
      </w:r>
      <w:r w:rsidRPr="00730B1E">
        <w:rPr>
          <w:color w:val="auto"/>
        </w:rPr>
        <w:fldChar w:fldCharType="end"/>
      </w:r>
      <w:r w:rsidRPr="00730B1E">
        <w:rPr>
          <w:color w:val="auto"/>
        </w:rPr>
        <w:t>: OS –</w:t>
      </w:r>
      <w:r w:rsidR="00EF4786" w:rsidRPr="00730B1E">
        <w:rPr>
          <w:color w:val="auto"/>
        </w:rPr>
        <w:t xml:space="preserve"> skutečný</w:t>
      </w:r>
      <w:r w:rsidRPr="00730B1E">
        <w:rPr>
          <w:color w:val="auto"/>
        </w:rPr>
        <w:t xml:space="preserve"> počet soudců dle </w:t>
      </w:r>
      <w:r w:rsidR="002111E1" w:rsidRPr="00730B1E">
        <w:rPr>
          <w:color w:val="auto"/>
        </w:rPr>
        <w:t xml:space="preserve">úseků a </w:t>
      </w:r>
      <w:r w:rsidRPr="00730B1E">
        <w:rPr>
          <w:color w:val="auto"/>
        </w:rPr>
        <w:t>krajů</w:t>
      </w:r>
      <w:r w:rsidR="002C3636" w:rsidRPr="00730B1E">
        <w:rPr>
          <w:color w:val="auto"/>
        </w:rPr>
        <w:t>, 2023</w:t>
      </w:r>
      <w:bookmarkEnd w:id="53"/>
      <w:bookmarkEnd w:id="54"/>
    </w:p>
    <w:tbl>
      <w:tblPr>
        <w:tblW w:w="9004" w:type="dxa"/>
        <w:tblCellMar>
          <w:left w:w="70" w:type="dxa"/>
          <w:right w:w="70" w:type="dxa"/>
        </w:tblCellMar>
        <w:tblLook w:val="04A0" w:firstRow="1" w:lastRow="0" w:firstColumn="1" w:lastColumn="0" w:noHBand="0" w:noVBand="1"/>
      </w:tblPr>
      <w:tblGrid>
        <w:gridCol w:w="2080"/>
        <w:gridCol w:w="1464"/>
        <w:gridCol w:w="1418"/>
        <w:gridCol w:w="1559"/>
        <w:gridCol w:w="1134"/>
        <w:gridCol w:w="1349"/>
      </w:tblGrid>
      <w:tr w:rsidR="00B64E96" w:rsidRPr="00730B1E" w14:paraId="2BFC9943" w14:textId="77777777" w:rsidTr="00C77185">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024C16F3" w14:textId="77777777"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6924" w:type="dxa"/>
            <w:gridSpan w:val="5"/>
            <w:tcBorders>
              <w:top w:val="double" w:sz="6" w:space="0" w:color="auto"/>
              <w:left w:val="nil"/>
              <w:bottom w:val="nil"/>
              <w:right w:val="nil"/>
            </w:tcBorders>
            <w:shd w:val="clear" w:color="auto" w:fill="auto"/>
            <w:vAlign w:val="center"/>
            <w:hideMark/>
          </w:tcPr>
          <w:p w14:paraId="3C192711" w14:textId="77777777"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Skutečný počet úvazků</w:t>
            </w:r>
          </w:p>
        </w:tc>
      </w:tr>
      <w:tr w:rsidR="00B64E96" w:rsidRPr="00730B1E" w14:paraId="257DC7DF" w14:textId="77777777" w:rsidTr="00C77185">
        <w:trPr>
          <w:trHeight w:val="645"/>
        </w:trPr>
        <w:tc>
          <w:tcPr>
            <w:tcW w:w="2080" w:type="dxa"/>
            <w:vMerge/>
            <w:tcBorders>
              <w:top w:val="double" w:sz="6" w:space="0" w:color="auto"/>
              <w:left w:val="nil"/>
              <w:bottom w:val="double" w:sz="6" w:space="0" w:color="000000"/>
              <w:right w:val="nil"/>
            </w:tcBorders>
            <w:vAlign w:val="center"/>
            <w:hideMark/>
          </w:tcPr>
          <w:p w14:paraId="149060E8" w14:textId="77777777" w:rsidR="00357AA2" w:rsidRPr="00730B1E" w:rsidRDefault="00357AA2" w:rsidP="00357AA2">
            <w:pPr>
              <w:spacing w:line="240" w:lineRule="auto"/>
              <w:jc w:val="left"/>
              <w:rPr>
                <w:rFonts w:eastAsia="Times New Roman"/>
                <w:b/>
                <w:bCs/>
                <w:szCs w:val="24"/>
                <w:lang w:eastAsia="cs-CZ"/>
              </w:rPr>
            </w:pPr>
          </w:p>
        </w:tc>
        <w:tc>
          <w:tcPr>
            <w:tcW w:w="1464" w:type="dxa"/>
            <w:tcBorders>
              <w:top w:val="nil"/>
              <w:left w:val="nil"/>
              <w:bottom w:val="double" w:sz="6" w:space="0" w:color="auto"/>
              <w:right w:val="nil"/>
            </w:tcBorders>
            <w:shd w:val="clear" w:color="auto" w:fill="auto"/>
            <w:vAlign w:val="center"/>
            <w:hideMark/>
          </w:tcPr>
          <w:p w14:paraId="01E2554A" w14:textId="77777777"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Civilní úsek</w:t>
            </w:r>
          </w:p>
        </w:tc>
        <w:tc>
          <w:tcPr>
            <w:tcW w:w="1418" w:type="dxa"/>
            <w:tcBorders>
              <w:top w:val="nil"/>
              <w:left w:val="nil"/>
              <w:bottom w:val="double" w:sz="6" w:space="0" w:color="auto"/>
              <w:right w:val="nil"/>
            </w:tcBorders>
            <w:shd w:val="clear" w:color="auto" w:fill="auto"/>
            <w:vAlign w:val="center"/>
            <w:hideMark/>
          </w:tcPr>
          <w:p w14:paraId="62EEA36A" w14:textId="77777777"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Trestní úsek</w:t>
            </w:r>
          </w:p>
        </w:tc>
        <w:tc>
          <w:tcPr>
            <w:tcW w:w="1559" w:type="dxa"/>
            <w:tcBorders>
              <w:top w:val="nil"/>
              <w:left w:val="nil"/>
              <w:bottom w:val="double" w:sz="6" w:space="0" w:color="auto"/>
              <w:right w:val="nil"/>
            </w:tcBorders>
            <w:shd w:val="clear" w:color="auto" w:fill="auto"/>
            <w:vAlign w:val="center"/>
            <w:hideMark/>
          </w:tcPr>
          <w:p w14:paraId="780007CD" w14:textId="77777777"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Opatrovnický úsek</w:t>
            </w:r>
          </w:p>
        </w:tc>
        <w:tc>
          <w:tcPr>
            <w:tcW w:w="1134" w:type="dxa"/>
            <w:tcBorders>
              <w:top w:val="nil"/>
              <w:left w:val="nil"/>
              <w:bottom w:val="double" w:sz="6" w:space="0" w:color="auto"/>
              <w:right w:val="nil"/>
            </w:tcBorders>
            <w:shd w:val="clear" w:color="auto" w:fill="auto"/>
            <w:noWrap/>
            <w:vAlign w:val="center"/>
            <w:hideMark/>
          </w:tcPr>
          <w:p w14:paraId="343842B4" w14:textId="77777777"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Celkem</w:t>
            </w:r>
          </w:p>
        </w:tc>
        <w:tc>
          <w:tcPr>
            <w:tcW w:w="1348" w:type="dxa"/>
            <w:tcBorders>
              <w:top w:val="nil"/>
              <w:left w:val="nil"/>
              <w:bottom w:val="double" w:sz="6" w:space="0" w:color="auto"/>
              <w:right w:val="nil"/>
            </w:tcBorders>
            <w:shd w:val="clear" w:color="auto" w:fill="auto"/>
            <w:vAlign w:val="center"/>
            <w:hideMark/>
          </w:tcPr>
          <w:p w14:paraId="6D63B759" w14:textId="77777777"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Na 100 000 obyvatel</w:t>
            </w:r>
          </w:p>
        </w:tc>
      </w:tr>
      <w:tr w:rsidR="00B64E96" w:rsidRPr="00730B1E" w14:paraId="19AF01E0" w14:textId="77777777" w:rsidTr="00C77185">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65697746" w14:textId="77777777" w:rsidR="00357AA2" w:rsidRPr="00730B1E" w:rsidRDefault="00357AA2" w:rsidP="00357AA2">
            <w:pPr>
              <w:spacing w:line="240" w:lineRule="auto"/>
              <w:jc w:val="left"/>
              <w:rPr>
                <w:rFonts w:eastAsia="Times New Roman"/>
                <w:szCs w:val="24"/>
                <w:lang w:eastAsia="cs-CZ"/>
              </w:rPr>
            </w:pPr>
            <w:r w:rsidRPr="00730B1E">
              <w:rPr>
                <w:rFonts w:eastAsia="Times New Roman"/>
                <w:szCs w:val="24"/>
                <w:lang w:eastAsia="cs-CZ"/>
              </w:rPr>
              <w:t>MS Praha</w:t>
            </w:r>
          </w:p>
        </w:tc>
        <w:tc>
          <w:tcPr>
            <w:tcW w:w="1464" w:type="dxa"/>
            <w:tcBorders>
              <w:top w:val="single" w:sz="4" w:space="0" w:color="auto"/>
              <w:left w:val="nil"/>
              <w:bottom w:val="single" w:sz="4" w:space="0" w:color="auto"/>
              <w:right w:val="nil"/>
            </w:tcBorders>
            <w:shd w:val="clear" w:color="auto" w:fill="auto"/>
            <w:noWrap/>
            <w:vAlign w:val="bottom"/>
            <w:hideMark/>
          </w:tcPr>
          <w:p w14:paraId="1A119A4A" w14:textId="1181BBEE"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175,2</w:t>
            </w:r>
          </w:p>
        </w:tc>
        <w:tc>
          <w:tcPr>
            <w:tcW w:w="1418" w:type="dxa"/>
            <w:tcBorders>
              <w:top w:val="single" w:sz="4" w:space="0" w:color="auto"/>
              <w:left w:val="nil"/>
              <w:bottom w:val="single" w:sz="4" w:space="0" w:color="auto"/>
              <w:right w:val="nil"/>
            </w:tcBorders>
            <w:shd w:val="clear" w:color="auto" w:fill="auto"/>
            <w:noWrap/>
            <w:vAlign w:val="bottom"/>
            <w:hideMark/>
          </w:tcPr>
          <w:p w14:paraId="3058C4E7" w14:textId="3849D905"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57,9</w:t>
            </w:r>
          </w:p>
        </w:tc>
        <w:tc>
          <w:tcPr>
            <w:tcW w:w="1559" w:type="dxa"/>
            <w:tcBorders>
              <w:top w:val="single" w:sz="4" w:space="0" w:color="auto"/>
              <w:left w:val="nil"/>
              <w:bottom w:val="single" w:sz="4" w:space="0" w:color="auto"/>
              <w:right w:val="nil"/>
            </w:tcBorders>
            <w:shd w:val="clear" w:color="auto" w:fill="auto"/>
            <w:noWrap/>
            <w:vAlign w:val="bottom"/>
            <w:hideMark/>
          </w:tcPr>
          <w:p w14:paraId="58869859" w14:textId="0F877107"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43,5</w:t>
            </w:r>
          </w:p>
        </w:tc>
        <w:tc>
          <w:tcPr>
            <w:tcW w:w="1134" w:type="dxa"/>
            <w:tcBorders>
              <w:top w:val="single" w:sz="4" w:space="0" w:color="auto"/>
              <w:left w:val="nil"/>
              <w:bottom w:val="single" w:sz="4" w:space="0" w:color="auto"/>
              <w:right w:val="nil"/>
            </w:tcBorders>
            <w:shd w:val="clear" w:color="auto" w:fill="auto"/>
            <w:noWrap/>
            <w:vAlign w:val="bottom"/>
            <w:hideMark/>
          </w:tcPr>
          <w:p w14:paraId="3E8F84A5" w14:textId="7B450879"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276,6</w:t>
            </w:r>
          </w:p>
        </w:tc>
        <w:tc>
          <w:tcPr>
            <w:tcW w:w="1348" w:type="dxa"/>
            <w:tcBorders>
              <w:top w:val="single" w:sz="4" w:space="0" w:color="auto"/>
              <w:left w:val="nil"/>
              <w:bottom w:val="single" w:sz="4" w:space="0" w:color="auto"/>
              <w:right w:val="nil"/>
            </w:tcBorders>
            <w:shd w:val="clear" w:color="auto" w:fill="auto"/>
            <w:noWrap/>
            <w:vAlign w:val="bottom"/>
            <w:hideMark/>
          </w:tcPr>
          <w:p w14:paraId="22E08084" w14:textId="4B058A06"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20,9</w:t>
            </w:r>
          </w:p>
        </w:tc>
      </w:tr>
      <w:tr w:rsidR="00B64E96" w:rsidRPr="00730B1E" w14:paraId="07BE773A" w14:textId="77777777" w:rsidTr="00C77185">
        <w:trPr>
          <w:trHeight w:val="315"/>
        </w:trPr>
        <w:tc>
          <w:tcPr>
            <w:tcW w:w="2080" w:type="dxa"/>
            <w:tcBorders>
              <w:top w:val="nil"/>
              <w:left w:val="nil"/>
              <w:bottom w:val="single" w:sz="4" w:space="0" w:color="auto"/>
              <w:right w:val="nil"/>
            </w:tcBorders>
            <w:shd w:val="clear" w:color="auto" w:fill="auto"/>
            <w:noWrap/>
            <w:vAlign w:val="bottom"/>
            <w:hideMark/>
          </w:tcPr>
          <w:p w14:paraId="69E7B182" w14:textId="77777777" w:rsidR="00357AA2" w:rsidRPr="00730B1E" w:rsidRDefault="00357AA2" w:rsidP="00357AA2">
            <w:pPr>
              <w:spacing w:line="240" w:lineRule="auto"/>
              <w:jc w:val="left"/>
              <w:rPr>
                <w:rFonts w:eastAsia="Times New Roman"/>
                <w:szCs w:val="24"/>
                <w:lang w:eastAsia="cs-CZ"/>
              </w:rPr>
            </w:pPr>
            <w:r w:rsidRPr="00730B1E">
              <w:rPr>
                <w:rFonts w:eastAsia="Times New Roman"/>
                <w:szCs w:val="24"/>
                <w:lang w:eastAsia="cs-CZ"/>
              </w:rPr>
              <w:t>KS Praha</w:t>
            </w:r>
          </w:p>
        </w:tc>
        <w:tc>
          <w:tcPr>
            <w:tcW w:w="1464" w:type="dxa"/>
            <w:tcBorders>
              <w:top w:val="nil"/>
              <w:left w:val="nil"/>
              <w:bottom w:val="single" w:sz="4" w:space="0" w:color="auto"/>
              <w:right w:val="nil"/>
            </w:tcBorders>
            <w:shd w:val="clear" w:color="auto" w:fill="auto"/>
            <w:noWrap/>
            <w:vAlign w:val="bottom"/>
            <w:hideMark/>
          </w:tcPr>
          <w:p w14:paraId="7891BED6" w14:textId="70992B06"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97,72</w:t>
            </w:r>
          </w:p>
        </w:tc>
        <w:tc>
          <w:tcPr>
            <w:tcW w:w="1418" w:type="dxa"/>
            <w:tcBorders>
              <w:top w:val="nil"/>
              <w:left w:val="nil"/>
              <w:bottom w:val="single" w:sz="4" w:space="0" w:color="auto"/>
              <w:right w:val="nil"/>
            </w:tcBorders>
            <w:shd w:val="clear" w:color="auto" w:fill="auto"/>
            <w:noWrap/>
            <w:vAlign w:val="bottom"/>
            <w:hideMark/>
          </w:tcPr>
          <w:p w14:paraId="0A530631" w14:textId="11733098"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41,25</w:t>
            </w:r>
          </w:p>
        </w:tc>
        <w:tc>
          <w:tcPr>
            <w:tcW w:w="1559" w:type="dxa"/>
            <w:tcBorders>
              <w:top w:val="nil"/>
              <w:left w:val="nil"/>
              <w:bottom w:val="single" w:sz="4" w:space="0" w:color="auto"/>
              <w:right w:val="nil"/>
            </w:tcBorders>
            <w:shd w:val="clear" w:color="auto" w:fill="auto"/>
            <w:noWrap/>
            <w:vAlign w:val="bottom"/>
            <w:hideMark/>
          </w:tcPr>
          <w:p w14:paraId="2E212F63" w14:textId="4C6E7926"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49,88</w:t>
            </w:r>
          </w:p>
        </w:tc>
        <w:tc>
          <w:tcPr>
            <w:tcW w:w="1134" w:type="dxa"/>
            <w:tcBorders>
              <w:top w:val="nil"/>
              <w:left w:val="nil"/>
              <w:bottom w:val="single" w:sz="4" w:space="0" w:color="auto"/>
              <w:right w:val="nil"/>
            </w:tcBorders>
            <w:shd w:val="clear" w:color="auto" w:fill="auto"/>
            <w:noWrap/>
            <w:vAlign w:val="bottom"/>
            <w:hideMark/>
          </w:tcPr>
          <w:p w14:paraId="4A23BB89" w14:textId="0D1CCE85"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188,85</w:t>
            </w:r>
          </w:p>
        </w:tc>
        <w:tc>
          <w:tcPr>
            <w:tcW w:w="1348" w:type="dxa"/>
            <w:tcBorders>
              <w:top w:val="nil"/>
              <w:left w:val="nil"/>
              <w:bottom w:val="single" w:sz="4" w:space="0" w:color="auto"/>
              <w:right w:val="nil"/>
            </w:tcBorders>
            <w:shd w:val="clear" w:color="auto" w:fill="auto"/>
            <w:noWrap/>
            <w:vAlign w:val="bottom"/>
            <w:hideMark/>
          </w:tcPr>
          <w:p w14:paraId="57DE570D" w14:textId="0E942473"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13,6</w:t>
            </w:r>
          </w:p>
        </w:tc>
      </w:tr>
      <w:tr w:rsidR="00B64E96" w:rsidRPr="00730B1E" w14:paraId="5E50494C" w14:textId="77777777" w:rsidTr="00C77185">
        <w:trPr>
          <w:trHeight w:val="315"/>
        </w:trPr>
        <w:tc>
          <w:tcPr>
            <w:tcW w:w="2080" w:type="dxa"/>
            <w:tcBorders>
              <w:top w:val="nil"/>
              <w:left w:val="nil"/>
              <w:bottom w:val="single" w:sz="4" w:space="0" w:color="auto"/>
              <w:right w:val="nil"/>
            </w:tcBorders>
            <w:shd w:val="clear" w:color="auto" w:fill="auto"/>
            <w:noWrap/>
            <w:vAlign w:val="bottom"/>
            <w:hideMark/>
          </w:tcPr>
          <w:p w14:paraId="30F095F5" w14:textId="77777777" w:rsidR="00357AA2" w:rsidRPr="00730B1E" w:rsidRDefault="00357AA2" w:rsidP="00357AA2">
            <w:pPr>
              <w:spacing w:line="240" w:lineRule="auto"/>
              <w:jc w:val="left"/>
              <w:rPr>
                <w:rFonts w:eastAsia="Times New Roman"/>
                <w:szCs w:val="24"/>
                <w:lang w:eastAsia="cs-CZ"/>
              </w:rPr>
            </w:pPr>
            <w:r w:rsidRPr="00730B1E">
              <w:rPr>
                <w:rFonts w:eastAsia="Times New Roman"/>
                <w:szCs w:val="24"/>
                <w:lang w:eastAsia="cs-CZ"/>
              </w:rPr>
              <w:t>KS Č. Budějovice</w:t>
            </w:r>
          </w:p>
        </w:tc>
        <w:tc>
          <w:tcPr>
            <w:tcW w:w="1464" w:type="dxa"/>
            <w:tcBorders>
              <w:top w:val="nil"/>
              <w:left w:val="nil"/>
              <w:bottom w:val="single" w:sz="4" w:space="0" w:color="auto"/>
              <w:right w:val="nil"/>
            </w:tcBorders>
            <w:shd w:val="clear" w:color="auto" w:fill="auto"/>
            <w:noWrap/>
            <w:vAlign w:val="bottom"/>
            <w:hideMark/>
          </w:tcPr>
          <w:p w14:paraId="18B5A016" w14:textId="133507B6"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43,61</w:t>
            </w:r>
          </w:p>
        </w:tc>
        <w:tc>
          <w:tcPr>
            <w:tcW w:w="1418" w:type="dxa"/>
            <w:tcBorders>
              <w:top w:val="nil"/>
              <w:left w:val="nil"/>
              <w:bottom w:val="single" w:sz="4" w:space="0" w:color="auto"/>
              <w:right w:val="nil"/>
            </w:tcBorders>
            <w:shd w:val="clear" w:color="auto" w:fill="auto"/>
            <w:noWrap/>
            <w:vAlign w:val="bottom"/>
            <w:hideMark/>
          </w:tcPr>
          <w:p w14:paraId="0ACB3BCB" w14:textId="5C66A1A3"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21,9</w:t>
            </w:r>
          </w:p>
        </w:tc>
        <w:tc>
          <w:tcPr>
            <w:tcW w:w="1559" w:type="dxa"/>
            <w:tcBorders>
              <w:top w:val="nil"/>
              <w:left w:val="nil"/>
              <w:bottom w:val="single" w:sz="4" w:space="0" w:color="auto"/>
              <w:right w:val="nil"/>
            </w:tcBorders>
            <w:shd w:val="clear" w:color="auto" w:fill="auto"/>
            <w:noWrap/>
            <w:vAlign w:val="bottom"/>
            <w:hideMark/>
          </w:tcPr>
          <w:p w14:paraId="31C19F62" w14:textId="77777777"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23</w:t>
            </w:r>
          </w:p>
        </w:tc>
        <w:tc>
          <w:tcPr>
            <w:tcW w:w="1134" w:type="dxa"/>
            <w:tcBorders>
              <w:top w:val="nil"/>
              <w:left w:val="nil"/>
              <w:bottom w:val="single" w:sz="4" w:space="0" w:color="auto"/>
              <w:right w:val="nil"/>
            </w:tcBorders>
            <w:shd w:val="clear" w:color="auto" w:fill="auto"/>
            <w:noWrap/>
            <w:vAlign w:val="bottom"/>
            <w:hideMark/>
          </w:tcPr>
          <w:p w14:paraId="6C0C34C3" w14:textId="7449B414"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88,51</w:t>
            </w:r>
          </w:p>
        </w:tc>
        <w:tc>
          <w:tcPr>
            <w:tcW w:w="1348" w:type="dxa"/>
            <w:tcBorders>
              <w:top w:val="nil"/>
              <w:left w:val="nil"/>
              <w:bottom w:val="single" w:sz="4" w:space="0" w:color="auto"/>
              <w:right w:val="nil"/>
            </w:tcBorders>
            <w:shd w:val="clear" w:color="auto" w:fill="auto"/>
            <w:noWrap/>
            <w:vAlign w:val="bottom"/>
            <w:hideMark/>
          </w:tcPr>
          <w:p w14:paraId="2B510597" w14:textId="50E462DC"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12,4</w:t>
            </w:r>
          </w:p>
        </w:tc>
      </w:tr>
      <w:tr w:rsidR="00B64E96" w:rsidRPr="00730B1E" w14:paraId="56ECB378" w14:textId="77777777" w:rsidTr="00C77185">
        <w:trPr>
          <w:trHeight w:val="315"/>
        </w:trPr>
        <w:tc>
          <w:tcPr>
            <w:tcW w:w="2080" w:type="dxa"/>
            <w:tcBorders>
              <w:top w:val="nil"/>
              <w:left w:val="nil"/>
              <w:bottom w:val="single" w:sz="4" w:space="0" w:color="auto"/>
              <w:right w:val="nil"/>
            </w:tcBorders>
            <w:shd w:val="clear" w:color="auto" w:fill="auto"/>
            <w:noWrap/>
            <w:vAlign w:val="bottom"/>
            <w:hideMark/>
          </w:tcPr>
          <w:p w14:paraId="4918C179" w14:textId="77777777" w:rsidR="00357AA2" w:rsidRPr="00730B1E" w:rsidRDefault="00357AA2" w:rsidP="00357AA2">
            <w:pPr>
              <w:spacing w:line="240" w:lineRule="auto"/>
              <w:jc w:val="left"/>
              <w:rPr>
                <w:rFonts w:eastAsia="Times New Roman"/>
                <w:szCs w:val="24"/>
                <w:lang w:eastAsia="cs-CZ"/>
              </w:rPr>
            </w:pPr>
            <w:r w:rsidRPr="00730B1E">
              <w:rPr>
                <w:rFonts w:eastAsia="Times New Roman"/>
                <w:szCs w:val="24"/>
                <w:lang w:eastAsia="cs-CZ"/>
              </w:rPr>
              <w:t>KS Plzeň</w:t>
            </w:r>
          </w:p>
        </w:tc>
        <w:tc>
          <w:tcPr>
            <w:tcW w:w="1464" w:type="dxa"/>
            <w:tcBorders>
              <w:top w:val="nil"/>
              <w:left w:val="nil"/>
              <w:bottom w:val="single" w:sz="4" w:space="0" w:color="auto"/>
              <w:right w:val="nil"/>
            </w:tcBorders>
            <w:shd w:val="clear" w:color="auto" w:fill="auto"/>
            <w:noWrap/>
            <w:vAlign w:val="bottom"/>
            <w:hideMark/>
          </w:tcPr>
          <w:p w14:paraId="55C32921" w14:textId="087F66FC"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78,5</w:t>
            </w:r>
          </w:p>
        </w:tc>
        <w:tc>
          <w:tcPr>
            <w:tcW w:w="1418" w:type="dxa"/>
            <w:tcBorders>
              <w:top w:val="nil"/>
              <w:left w:val="nil"/>
              <w:bottom w:val="single" w:sz="4" w:space="0" w:color="auto"/>
              <w:right w:val="nil"/>
            </w:tcBorders>
            <w:shd w:val="clear" w:color="auto" w:fill="auto"/>
            <w:noWrap/>
            <w:vAlign w:val="bottom"/>
            <w:hideMark/>
          </w:tcPr>
          <w:p w14:paraId="3B0DBF97" w14:textId="5025548C"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36,32</w:t>
            </w:r>
          </w:p>
        </w:tc>
        <w:tc>
          <w:tcPr>
            <w:tcW w:w="1559" w:type="dxa"/>
            <w:tcBorders>
              <w:top w:val="nil"/>
              <w:left w:val="nil"/>
              <w:bottom w:val="single" w:sz="4" w:space="0" w:color="auto"/>
              <w:right w:val="nil"/>
            </w:tcBorders>
            <w:shd w:val="clear" w:color="auto" w:fill="auto"/>
            <w:noWrap/>
            <w:vAlign w:val="bottom"/>
            <w:hideMark/>
          </w:tcPr>
          <w:p w14:paraId="197BCD37" w14:textId="24F1B48E"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30,6</w:t>
            </w:r>
          </w:p>
        </w:tc>
        <w:tc>
          <w:tcPr>
            <w:tcW w:w="1134" w:type="dxa"/>
            <w:tcBorders>
              <w:top w:val="nil"/>
              <w:left w:val="nil"/>
              <w:bottom w:val="single" w:sz="4" w:space="0" w:color="auto"/>
              <w:right w:val="nil"/>
            </w:tcBorders>
            <w:shd w:val="clear" w:color="auto" w:fill="auto"/>
            <w:noWrap/>
            <w:vAlign w:val="bottom"/>
            <w:hideMark/>
          </w:tcPr>
          <w:p w14:paraId="3D7C63CA" w14:textId="42988BDF"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145,42</w:t>
            </w:r>
          </w:p>
        </w:tc>
        <w:tc>
          <w:tcPr>
            <w:tcW w:w="1348" w:type="dxa"/>
            <w:tcBorders>
              <w:top w:val="nil"/>
              <w:left w:val="nil"/>
              <w:bottom w:val="single" w:sz="4" w:space="0" w:color="auto"/>
              <w:right w:val="nil"/>
            </w:tcBorders>
            <w:shd w:val="clear" w:color="auto" w:fill="auto"/>
            <w:noWrap/>
            <w:vAlign w:val="bottom"/>
            <w:hideMark/>
          </w:tcPr>
          <w:p w14:paraId="680D07AF" w14:textId="759AFDD3"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16,4</w:t>
            </w:r>
          </w:p>
        </w:tc>
      </w:tr>
      <w:tr w:rsidR="00B64E96" w:rsidRPr="00730B1E" w14:paraId="1370B17F" w14:textId="77777777" w:rsidTr="00C77185">
        <w:trPr>
          <w:trHeight w:val="315"/>
        </w:trPr>
        <w:tc>
          <w:tcPr>
            <w:tcW w:w="2080" w:type="dxa"/>
            <w:tcBorders>
              <w:top w:val="nil"/>
              <w:left w:val="nil"/>
              <w:bottom w:val="single" w:sz="4" w:space="0" w:color="auto"/>
              <w:right w:val="nil"/>
            </w:tcBorders>
            <w:shd w:val="clear" w:color="auto" w:fill="auto"/>
            <w:noWrap/>
            <w:vAlign w:val="bottom"/>
            <w:hideMark/>
          </w:tcPr>
          <w:p w14:paraId="51ADD5D7" w14:textId="77777777" w:rsidR="00357AA2" w:rsidRPr="00730B1E" w:rsidRDefault="00357AA2" w:rsidP="00357AA2">
            <w:pPr>
              <w:spacing w:line="240" w:lineRule="auto"/>
              <w:jc w:val="left"/>
              <w:rPr>
                <w:rFonts w:eastAsia="Times New Roman"/>
                <w:szCs w:val="24"/>
                <w:lang w:eastAsia="cs-CZ"/>
              </w:rPr>
            </w:pPr>
            <w:r w:rsidRPr="00730B1E">
              <w:rPr>
                <w:rFonts w:eastAsia="Times New Roman"/>
                <w:szCs w:val="24"/>
                <w:lang w:eastAsia="cs-CZ"/>
              </w:rPr>
              <w:t>KS Ústí n. Labem</w:t>
            </w:r>
          </w:p>
        </w:tc>
        <w:tc>
          <w:tcPr>
            <w:tcW w:w="1464" w:type="dxa"/>
            <w:tcBorders>
              <w:top w:val="nil"/>
              <w:left w:val="nil"/>
              <w:bottom w:val="single" w:sz="4" w:space="0" w:color="auto"/>
              <w:right w:val="nil"/>
            </w:tcBorders>
            <w:shd w:val="clear" w:color="auto" w:fill="auto"/>
            <w:noWrap/>
            <w:vAlign w:val="bottom"/>
            <w:hideMark/>
          </w:tcPr>
          <w:p w14:paraId="14F16B61" w14:textId="1C121F31"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121,45</w:t>
            </w:r>
          </w:p>
        </w:tc>
        <w:tc>
          <w:tcPr>
            <w:tcW w:w="1418" w:type="dxa"/>
            <w:tcBorders>
              <w:top w:val="nil"/>
              <w:left w:val="nil"/>
              <w:bottom w:val="single" w:sz="4" w:space="0" w:color="auto"/>
              <w:right w:val="nil"/>
            </w:tcBorders>
            <w:shd w:val="clear" w:color="auto" w:fill="auto"/>
            <w:noWrap/>
            <w:vAlign w:val="bottom"/>
            <w:hideMark/>
          </w:tcPr>
          <w:p w14:paraId="0CB12CA7" w14:textId="7B93F81E"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62,07</w:t>
            </w:r>
          </w:p>
        </w:tc>
        <w:tc>
          <w:tcPr>
            <w:tcW w:w="1559" w:type="dxa"/>
            <w:tcBorders>
              <w:top w:val="nil"/>
              <w:left w:val="nil"/>
              <w:bottom w:val="single" w:sz="4" w:space="0" w:color="auto"/>
              <w:right w:val="nil"/>
            </w:tcBorders>
            <w:shd w:val="clear" w:color="auto" w:fill="auto"/>
            <w:noWrap/>
            <w:vAlign w:val="bottom"/>
            <w:hideMark/>
          </w:tcPr>
          <w:p w14:paraId="040AAFEE" w14:textId="58857B6E"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48,87</w:t>
            </w:r>
          </w:p>
        </w:tc>
        <w:tc>
          <w:tcPr>
            <w:tcW w:w="1134" w:type="dxa"/>
            <w:tcBorders>
              <w:top w:val="nil"/>
              <w:left w:val="nil"/>
              <w:bottom w:val="single" w:sz="4" w:space="0" w:color="auto"/>
              <w:right w:val="nil"/>
            </w:tcBorders>
            <w:shd w:val="clear" w:color="auto" w:fill="auto"/>
            <w:noWrap/>
            <w:vAlign w:val="bottom"/>
            <w:hideMark/>
          </w:tcPr>
          <w:p w14:paraId="290BE5D9" w14:textId="2294EC8F"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232,39</w:t>
            </w:r>
          </w:p>
        </w:tc>
        <w:tc>
          <w:tcPr>
            <w:tcW w:w="1348" w:type="dxa"/>
            <w:tcBorders>
              <w:top w:val="nil"/>
              <w:left w:val="nil"/>
              <w:bottom w:val="single" w:sz="4" w:space="0" w:color="auto"/>
              <w:right w:val="nil"/>
            </w:tcBorders>
            <w:shd w:val="clear" w:color="auto" w:fill="auto"/>
            <w:noWrap/>
            <w:vAlign w:val="bottom"/>
            <w:hideMark/>
          </w:tcPr>
          <w:p w14:paraId="487D8C00" w14:textId="36C0172E"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19,5</w:t>
            </w:r>
          </w:p>
        </w:tc>
      </w:tr>
      <w:tr w:rsidR="00B64E96" w:rsidRPr="00730B1E" w14:paraId="0185AD66" w14:textId="77777777" w:rsidTr="00C77185">
        <w:trPr>
          <w:trHeight w:val="315"/>
        </w:trPr>
        <w:tc>
          <w:tcPr>
            <w:tcW w:w="2080" w:type="dxa"/>
            <w:tcBorders>
              <w:top w:val="nil"/>
              <w:left w:val="nil"/>
              <w:bottom w:val="single" w:sz="4" w:space="0" w:color="auto"/>
              <w:right w:val="nil"/>
            </w:tcBorders>
            <w:shd w:val="clear" w:color="auto" w:fill="auto"/>
            <w:noWrap/>
            <w:vAlign w:val="bottom"/>
            <w:hideMark/>
          </w:tcPr>
          <w:p w14:paraId="65561247" w14:textId="77777777" w:rsidR="00357AA2" w:rsidRPr="00730B1E" w:rsidRDefault="00357AA2" w:rsidP="00357AA2">
            <w:pPr>
              <w:spacing w:line="240" w:lineRule="auto"/>
              <w:jc w:val="left"/>
              <w:rPr>
                <w:rFonts w:eastAsia="Times New Roman"/>
                <w:szCs w:val="24"/>
                <w:lang w:eastAsia="cs-CZ"/>
              </w:rPr>
            </w:pPr>
            <w:r w:rsidRPr="00730B1E">
              <w:rPr>
                <w:rFonts w:eastAsia="Times New Roman"/>
                <w:szCs w:val="24"/>
                <w:lang w:eastAsia="cs-CZ"/>
              </w:rPr>
              <w:t>KS Hr. Králové</w:t>
            </w:r>
          </w:p>
        </w:tc>
        <w:tc>
          <w:tcPr>
            <w:tcW w:w="1464" w:type="dxa"/>
            <w:tcBorders>
              <w:top w:val="nil"/>
              <w:left w:val="nil"/>
              <w:bottom w:val="single" w:sz="4" w:space="0" w:color="auto"/>
              <w:right w:val="nil"/>
            </w:tcBorders>
            <w:shd w:val="clear" w:color="auto" w:fill="auto"/>
            <w:noWrap/>
            <w:vAlign w:val="bottom"/>
            <w:hideMark/>
          </w:tcPr>
          <w:p w14:paraId="32081006" w14:textId="57297E11"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77,6</w:t>
            </w:r>
          </w:p>
        </w:tc>
        <w:tc>
          <w:tcPr>
            <w:tcW w:w="1418" w:type="dxa"/>
            <w:tcBorders>
              <w:top w:val="nil"/>
              <w:left w:val="nil"/>
              <w:bottom w:val="single" w:sz="4" w:space="0" w:color="auto"/>
              <w:right w:val="nil"/>
            </w:tcBorders>
            <w:shd w:val="clear" w:color="auto" w:fill="auto"/>
            <w:noWrap/>
            <w:vAlign w:val="bottom"/>
            <w:hideMark/>
          </w:tcPr>
          <w:p w14:paraId="7A5B9509" w14:textId="4B60C9C4"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35,5</w:t>
            </w:r>
          </w:p>
        </w:tc>
        <w:tc>
          <w:tcPr>
            <w:tcW w:w="1559" w:type="dxa"/>
            <w:tcBorders>
              <w:top w:val="nil"/>
              <w:left w:val="nil"/>
              <w:bottom w:val="single" w:sz="4" w:space="0" w:color="auto"/>
              <w:right w:val="nil"/>
            </w:tcBorders>
            <w:shd w:val="clear" w:color="auto" w:fill="auto"/>
            <w:noWrap/>
            <w:vAlign w:val="bottom"/>
            <w:hideMark/>
          </w:tcPr>
          <w:p w14:paraId="267178D3" w14:textId="5AAAE1BB"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43,35</w:t>
            </w:r>
          </w:p>
        </w:tc>
        <w:tc>
          <w:tcPr>
            <w:tcW w:w="1134" w:type="dxa"/>
            <w:tcBorders>
              <w:top w:val="nil"/>
              <w:left w:val="nil"/>
              <w:bottom w:val="single" w:sz="4" w:space="0" w:color="auto"/>
              <w:right w:val="nil"/>
            </w:tcBorders>
            <w:shd w:val="clear" w:color="auto" w:fill="auto"/>
            <w:noWrap/>
            <w:vAlign w:val="bottom"/>
            <w:hideMark/>
          </w:tcPr>
          <w:p w14:paraId="6A35088C" w14:textId="45E8B59D"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156,45</w:t>
            </w:r>
          </w:p>
        </w:tc>
        <w:tc>
          <w:tcPr>
            <w:tcW w:w="1348" w:type="dxa"/>
            <w:tcBorders>
              <w:top w:val="nil"/>
              <w:left w:val="nil"/>
              <w:bottom w:val="single" w:sz="4" w:space="0" w:color="auto"/>
              <w:right w:val="nil"/>
            </w:tcBorders>
            <w:shd w:val="clear" w:color="auto" w:fill="auto"/>
            <w:noWrap/>
            <w:vAlign w:val="bottom"/>
            <w:hideMark/>
          </w:tcPr>
          <w:p w14:paraId="0F95D128" w14:textId="18DCECFB"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12,6</w:t>
            </w:r>
          </w:p>
        </w:tc>
      </w:tr>
      <w:tr w:rsidR="00B64E96" w:rsidRPr="00730B1E" w14:paraId="18A08C82" w14:textId="77777777" w:rsidTr="00C77185">
        <w:trPr>
          <w:trHeight w:val="315"/>
        </w:trPr>
        <w:tc>
          <w:tcPr>
            <w:tcW w:w="2080" w:type="dxa"/>
            <w:tcBorders>
              <w:top w:val="nil"/>
              <w:left w:val="nil"/>
              <w:bottom w:val="single" w:sz="4" w:space="0" w:color="auto"/>
              <w:right w:val="nil"/>
            </w:tcBorders>
            <w:shd w:val="clear" w:color="auto" w:fill="auto"/>
            <w:noWrap/>
            <w:vAlign w:val="bottom"/>
            <w:hideMark/>
          </w:tcPr>
          <w:p w14:paraId="0059C892" w14:textId="77777777" w:rsidR="00357AA2" w:rsidRPr="00730B1E" w:rsidRDefault="00357AA2" w:rsidP="00357AA2">
            <w:pPr>
              <w:spacing w:line="240" w:lineRule="auto"/>
              <w:jc w:val="left"/>
              <w:rPr>
                <w:rFonts w:eastAsia="Times New Roman"/>
                <w:szCs w:val="24"/>
                <w:lang w:eastAsia="cs-CZ"/>
              </w:rPr>
            </w:pPr>
            <w:r w:rsidRPr="00730B1E">
              <w:rPr>
                <w:rFonts w:eastAsia="Times New Roman"/>
                <w:szCs w:val="24"/>
                <w:lang w:eastAsia="cs-CZ"/>
              </w:rPr>
              <w:t>KS Brno</w:t>
            </w:r>
          </w:p>
        </w:tc>
        <w:tc>
          <w:tcPr>
            <w:tcW w:w="1464" w:type="dxa"/>
            <w:tcBorders>
              <w:top w:val="nil"/>
              <w:left w:val="nil"/>
              <w:bottom w:val="single" w:sz="4" w:space="0" w:color="auto"/>
              <w:right w:val="nil"/>
            </w:tcBorders>
            <w:shd w:val="clear" w:color="auto" w:fill="auto"/>
            <w:noWrap/>
            <w:vAlign w:val="bottom"/>
            <w:hideMark/>
          </w:tcPr>
          <w:p w14:paraId="0F704A75" w14:textId="2C3190B3"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142,7</w:t>
            </w:r>
          </w:p>
        </w:tc>
        <w:tc>
          <w:tcPr>
            <w:tcW w:w="1418" w:type="dxa"/>
            <w:tcBorders>
              <w:top w:val="nil"/>
              <w:left w:val="nil"/>
              <w:bottom w:val="single" w:sz="4" w:space="0" w:color="auto"/>
              <w:right w:val="nil"/>
            </w:tcBorders>
            <w:shd w:val="clear" w:color="auto" w:fill="auto"/>
            <w:noWrap/>
            <w:vAlign w:val="bottom"/>
            <w:hideMark/>
          </w:tcPr>
          <w:p w14:paraId="61E51911" w14:textId="1545AEBD"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53,1</w:t>
            </w:r>
          </w:p>
        </w:tc>
        <w:tc>
          <w:tcPr>
            <w:tcW w:w="1559" w:type="dxa"/>
            <w:tcBorders>
              <w:top w:val="nil"/>
              <w:left w:val="nil"/>
              <w:bottom w:val="single" w:sz="4" w:space="0" w:color="auto"/>
              <w:right w:val="nil"/>
            </w:tcBorders>
            <w:shd w:val="clear" w:color="auto" w:fill="auto"/>
            <w:noWrap/>
            <w:vAlign w:val="bottom"/>
            <w:hideMark/>
          </w:tcPr>
          <w:p w14:paraId="2CFF9C36" w14:textId="08C38879"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55,2</w:t>
            </w:r>
          </w:p>
        </w:tc>
        <w:tc>
          <w:tcPr>
            <w:tcW w:w="1134" w:type="dxa"/>
            <w:tcBorders>
              <w:top w:val="nil"/>
              <w:left w:val="nil"/>
              <w:bottom w:val="single" w:sz="4" w:space="0" w:color="auto"/>
              <w:right w:val="nil"/>
            </w:tcBorders>
            <w:shd w:val="clear" w:color="auto" w:fill="auto"/>
            <w:noWrap/>
            <w:vAlign w:val="bottom"/>
            <w:hideMark/>
          </w:tcPr>
          <w:p w14:paraId="651880D5" w14:textId="77777777"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251</w:t>
            </w:r>
          </w:p>
        </w:tc>
        <w:tc>
          <w:tcPr>
            <w:tcW w:w="1348" w:type="dxa"/>
            <w:tcBorders>
              <w:top w:val="nil"/>
              <w:left w:val="nil"/>
              <w:bottom w:val="single" w:sz="4" w:space="0" w:color="auto"/>
              <w:right w:val="nil"/>
            </w:tcBorders>
            <w:shd w:val="clear" w:color="auto" w:fill="auto"/>
            <w:noWrap/>
            <w:vAlign w:val="bottom"/>
            <w:hideMark/>
          </w:tcPr>
          <w:p w14:paraId="78135493" w14:textId="406BFF83"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12,1</w:t>
            </w:r>
          </w:p>
        </w:tc>
      </w:tr>
      <w:tr w:rsidR="00B64E96" w:rsidRPr="00730B1E" w14:paraId="0A84313A" w14:textId="77777777" w:rsidTr="00C77185">
        <w:trPr>
          <w:trHeight w:val="330"/>
        </w:trPr>
        <w:tc>
          <w:tcPr>
            <w:tcW w:w="2080" w:type="dxa"/>
            <w:tcBorders>
              <w:top w:val="nil"/>
              <w:left w:val="nil"/>
              <w:bottom w:val="double" w:sz="6" w:space="0" w:color="auto"/>
              <w:right w:val="nil"/>
            </w:tcBorders>
            <w:shd w:val="clear" w:color="auto" w:fill="auto"/>
            <w:noWrap/>
            <w:vAlign w:val="bottom"/>
            <w:hideMark/>
          </w:tcPr>
          <w:p w14:paraId="623B0980" w14:textId="77777777" w:rsidR="00357AA2" w:rsidRPr="00730B1E" w:rsidRDefault="00357AA2" w:rsidP="00357AA2">
            <w:pPr>
              <w:spacing w:line="240" w:lineRule="auto"/>
              <w:jc w:val="left"/>
              <w:rPr>
                <w:rFonts w:eastAsia="Times New Roman"/>
                <w:szCs w:val="24"/>
                <w:lang w:eastAsia="cs-CZ"/>
              </w:rPr>
            </w:pPr>
            <w:r w:rsidRPr="00730B1E">
              <w:rPr>
                <w:rFonts w:eastAsia="Times New Roman"/>
                <w:szCs w:val="24"/>
                <w:lang w:eastAsia="cs-CZ"/>
              </w:rPr>
              <w:t>KS Ostrava</w:t>
            </w:r>
          </w:p>
        </w:tc>
        <w:tc>
          <w:tcPr>
            <w:tcW w:w="1464" w:type="dxa"/>
            <w:tcBorders>
              <w:top w:val="nil"/>
              <w:left w:val="nil"/>
              <w:bottom w:val="double" w:sz="6" w:space="0" w:color="auto"/>
              <w:right w:val="nil"/>
            </w:tcBorders>
            <w:shd w:val="clear" w:color="auto" w:fill="auto"/>
            <w:noWrap/>
            <w:vAlign w:val="bottom"/>
            <w:hideMark/>
          </w:tcPr>
          <w:p w14:paraId="0DE86F23" w14:textId="565494FF"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149,65</w:t>
            </w:r>
          </w:p>
        </w:tc>
        <w:tc>
          <w:tcPr>
            <w:tcW w:w="1418" w:type="dxa"/>
            <w:tcBorders>
              <w:top w:val="nil"/>
              <w:left w:val="nil"/>
              <w:bottom w:val="double" w:sz="6" w:space="0" w:color="auto"/>
              <w:right w:val="nil"/>
            </w:tcBorders>
            <w:shd w:val="clear" w:color="auto" w:fill="auto"/>
            <w:noWrap/>
            <w:vAlign w:val="bottom"/>
            <w:hideMark/>
          </w:tcPr>
          <w:p w14:paraId="28FC39F4" w14:textId="3AC2EF6F"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70,35</w:t>
            </w:r>
          </w:p>
        </w:tc>
        <w:tc>
          <w:tcPr>
            <w:tcW w:w="1559" w:type="dxa"/>
            <w:tcBorders>
              <w:top w:val="nil"/>
              <w:left w:val="nil"/>
              <w:bottom w:val="double" w:sz="6" w:space="0" w:color="auto"/>
              <w:right w:val="nil"/>
            </w:tcBorders>
            <w:shd w:val="clear" w:color="auto" w:fill="auto"/>
            <w:noWrap/>
            <w:vAlign w:val="bottom"/>
            <w:hideMark/>
          </w:tcPr>
          <w:p w14:paraId="6F480DDE" w14:textId="35837AFB"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72,6</w:t>
            </w:r>
          </w:p>
        </w:tc>
        <w:tc>
          <w:tcPr>
            <w:tcW w:w="1134" w:type="dxa"/>
            <w:tcBorders>
              <w:top w:val="nil"/>
              <w:left w:val="nil"/>
              <w:bottom w:val="single" w:sz="4" w:space="0" w:color="auto"/>
              <w:right w:val="nil"/>
            </w:tcBorders>
            <w:shd w:val="clear" w:color="auto" w:fill="auto"/>
            <w:noWrap/>
            <w:vAlign w:val="bottom"/>
            <w:hideMark/>
          </w:tcPr>
          <w:p w14:paraId="3A4901BF" w14:textId="12F85846"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292,6</w:t>
            </w:r>
          </w:p>
        </w:tc>
        <w:tc>
          <w:tcPr>
            <w:tcW w:w="1348" w:type="dxa"/>
            <w:tcBorders>
              <w:top w:val="nil"/>
              <w:left w:val="nil"/>
              <w:bottom w:val="double" w:sz="6" w:space="0" w:color="auto"/>
              <w:right w:val="nil"/>
            </w:tcBorders>
            <w:shd w:val="clear" w:color="auto" w:fill="auto"/>
            <w:noWrap/>
            <w:vAlign w:val="bottom"/>
            <w:hideMark/>
          </w:tcPr>
          <w:p w14:paraId="1DD4DF38" w14:textId="48526DBB" w:rsidR="00357AA2" w:rsidRPr="00730B1E" w:rsidRDefault="00357AA2" w:rsidP="00357AA2">
            <w:pPr>
              <w:spacing w:line="240" w:lineRule="auto"/>
              <w:jc w:val="center"/>
              <w:rPr>
                <w:rFonts w:eastAsia="Times New Roman"/>
                <w:szCs w:val="24"/>
                <w:lang w:eastAsia="cs-CZ"/>
              </w:rPr>
            </w:pPr>
            <w:r w:rsidRPr="00730B1E">
              <w:rPr>
                <w:rFonts w:eastAsia="Times New Roman"/>
                <w:szCs w:val="24"/>
                <w:lang w:eastAsia="cs-CZ"/>
              </w:rPr>
              <w:t>15,7</w:t>
            </w:r>
          </w:p>
        </w:tc>
      </w:tr>
      <w:tr w:rsidR="00B64E96" w:rsidRPr="00730B1E" w14:paraId="315C26A4" w14:textId="77777777" w:rsidTr="00C77185">
        <w:trPr>
          <w:trHeight w:val="345"/>
        </w:trPr>
        <w:tc>
          <w:tcPr>
            <w:tcW w:w="2080" w:type="dxa"/>
            <w:tcBorders>
              <w:top w:val="nil"/>
              <w:left w:val="nil"/>
              <w:bottom w:val="double" w:sz="6" w:space="0" w:color="auto"/>
              <w:right w:val="nil"/>
            </w:tcBorders>
            <w:shd w:val="clear" w:color="auto" w:fill="auto"/>
            <w:noWrap/>
            <w:vAlign w:val="bottom"/>
            <w:hideMark/>
          </w:tcPr>
          <w:p w14:paraId="0C61354C" w14:textId="77777777" w:rsidR="00357AA2" w:rsidRPr="00730B1E" w:rsidRDefault="00357AA2" w:rsidP="00357AA2">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464" w:type="dxa"/>
            <w:tcBorders>
              <w:top w:val="nil"/>
              <w:left w:val="nil"/>
              <w:bottom w:val="double" w:sz="6" w:space="0" w:color="auto"/>
              <w:right w:val="nil"/>
            </w:tcBorders>
            <w:shd w:val="clear" w:color="auto" w:fill="auto"/>
            <w:noWrap/>
            <w:vAlign w:val="bottom"/>
            <w:hideMark/>
          </w:tcPr>
          <w:p w14:paraId="08465312" w14:textId="00D80F66"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886,43</w:t>
            </w:r>
          </w:p>
        </w:tc>
        <w:tc>
          <w:tcPr>
            <w:tcW w:w="1418" w:type="dxa"/>
            <w:tcBorders>
              <w:top w:val="nil"/>
              <w:left w:val="nil"/>
              <w:bottom w:val="double" w:sz="6" w:space="0" w:color="auto"/>
              <w:right w:val="nil"/>
            </w:tcBorders>
            <w:shd w:val="clear" w:color="auto" w:fill="auto"/>
            <w:noWrap/>
            <w:vAlign w:val="bottom"/>
            <w:hideMark/>
          </w:tcPr>
          <w:p w14:paraId="0CED7E55" w14:textId="78735133"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378,39</w:t>
            </w:r>
          </w:p>
        </w:tc>
        <w:tc>
          <w:tcPr>
            <w:tcW w:w="1559" w:type="dxa"/>
            <w:tcBorders>
              <w:top w:val="nil"/>
              <w:left w:val="nil"/>
              <w:bottom w:val="double" w:sz="6" w:space="0" w:color="auto"/>
              <w:right w:val="nil"/>
            </w:tcBorders>
            <w:shd w:val="clear" w:color="auto" w:fill="auto"/>
            <w:noWrap/>
            <w:vAlign w:val="bottom"/>
            <w:hideMark/>
          </w:tcPr>
          <w:p w14:paraId="0E143D7A" w14:textId="77777777"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367</w:t>
            </w:r>
          </w:p>
        </w:tc>
        <w:tc>
          <w:tcPr>
            <w:tcW w:w="1134" w:type="dxa"/>
            <w:tcBorders>
              <w:top w:val="double" w:sz="6" w:space="0" w:color="auto"/>
              <w:left w:val="nil"/>
              <w:bottom w:val="double" w:sz="6" w:space="0" w:color="auto"/>
              <w:right w:val="nil"/>
            </w:tcBorders>
            <w:shd w:val="clear" w:color="auto" w:fill="auto"/>
            <w:noWrap/>
            <w:vAlign w:val="bottom"/>
            <w:hideMark/>
          </w:tcPr>
          <w:p w14:paraId="39872672" w14:textId="3338F800"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1</w:t>
            </w:r>
            <w:r w:rsidR="00C36859" w:rsidRPr="00730B1E">
              <w:rPr>
                <w:rFonts w:eastAsia="Times New Roman"/>
                <w:b/>
                <w:bCs/>
                <w:szCs w:val="24"/>
                <w:lang w:eastAsia="cs-CZ"/>
              </w:rPr>
              <w:t xml:space="preserve"> </w:t>
            </w:r>
            <w:r w:rsidRPr="00730B1E">
              <w:rPr>
                <w:rFonts w:eastAsia="Times New Roman"/>
                <w:b/>
                <w:bCs/>
                <w:szCs w:val="24"/>
                <w:lang w:eastAsia="cs-CZ"/>
              </w:rPr>
              <w:t>631,82</w:t>
            </w:r>
          </w:p>
        </w:tc>
        <w:tc>
          <w:tcPr>
            <w:tcW w:w="1348" w:type="dxa"/>
            <w:tcBorders>
              <w:top w:val="nil"/>
              <w:left w:val="nil"/>
              <w:bottom w:val="double" w:sz="6" w:space="0" w:color="auto"/>
              <w:right w:val="nil"/>
            </w:tcBorders>
            <w:shd w:val="clear" w:color="auto" w:fill="auto"/>
            <w:noWrap/>
            <w:vAlign w:val="bottom"/>
            <w:hideMark/>
          </w:tcPr>
          <w:p w14:paraId="10DAB4F0" w14:textId="344924F2" w:rsidR="00357AA2" w:rsidRPr="00730B1E" w:rsidRDefault="00357AA2" w:rsidP="00357AA2">
            <w:pPr>
              <w:spacing w:line="240" w:lineRule="auto"/>
              <w:jc w:val="center"/>
              <w:rPr>
                <w:rFonts w:eastAsia="Times New Roman"/>
                <w:b/>
                <w:bCs/>
                <w:szCs w:val="24"/>
                <w:lang w:eastAsia="cs-CZ"/>
              </w:rPr>
            </w:pPr>
            <w:r w:rsidRPr="00730B1E">
              <w:rPr>
                <w:rFonts w:eastAsia="Times New Roman"/>
                <w:b/>
                <w:bCs/>
                <w:szCs w:val="24"/>
                <w:lang w:eastAsia="cs-CZ"/>
              </w:rPr>
              <w:t>15,3</w:t>
            </w:r>
          </w:p>
        </w:tc>
      </w:tr>
      <w:tr w:rsidR="00357AA2" w:rsidRPr="00730B1E" w14:paraId="319BFEBF" w14:textId="77777777" w:rsidTr="00C77185">
        <w:trPr>
          <w:trHeight w:val="330"/>
        </w:trPr>
        <w:tc>
          <w:tcPr>
            <w:tcW w:w="2080" w:type="dxa"/>
            <w:tcBorders>
              <w:top w:val="nil"/>
              <w:left w:val="nil"/>
              <w:bottom w:val="nil"/>
              <w:right w:val="nil"/>
            </w:tcBorders>
            <w:shd w:val="clear" w:color="auto" w:fill="auto"/>
            <w:noWrap/>
            <w:vAlign w:val="bottom"/>
            <w:hideMark/>
          </w:tcPr>
          <w:p w14:paraId="3743380C" w14:textId="77777777" w:rsidR="00357AA2" w:rsidRPr="00730B1E" w:rsidRDefault="00357AA2" w:rsidP="00357AA2">
            <w:pPr>
              <w:spacing w:line="240" w:lineRule="auto"/>
              <w:jc w:val="center"/>
              <w:rPr>
                <w:rFonts w:eastAsia="Times New Roman"/>
                <w:b/>
                <w:bCs/>
                <w:szCs w:val="24"/>
                <w:lang w:eastAsia="cs-CZ"/>
              </w:rPr>
            </w:pPr>
          </w:p>
        </w:tc>
        <w:tc>
          <w:tcPr>
            <w:tcW w:w="1464" w:type="dxa"/>
            <w:tcBorders>
              <w:top w:val="nil"/>
              <w:left w:val="nil"/>
              <w:bottom w:val="nil"/>
              <w:right w:val="nil"/>
            </w:tcBorders>
            <w:shd w:val="clear" w:color="auto" w:fill="auto"/>
            <w:noWrap/>
            <w:vAlign w:val="bottom"/>
            <w:hideMark/>
          </w:tcPr>
          <w:p w14:paraId="28C9EF5D" w14:textId="77777777" w:rsidR="00357AA2" w:rsidRPr="00DF07F3" w:rsidRDefault="00357AA2" w:rsidP="00357AA2">
            <w:pPr>
              <w:spacing w:line="240" w:lineRule="auto"/>
              <w:jc w:val="left"/>
              <w:rPr>
                <w:sz w:val="20"/>
              </w:rPr>
            </w:pPr>
          </w:p>
        </w:tc>
        <w:tc>
          <w:tcPr>
            <w:tcW w:w="1418" w:type="dxa"/>
            <w:tcBorders>
              <w:top w:val="nil"/>
              <w:left w:val="nil"/>
              <w:bottom w:val="nil"/>
              <w:right w:val="nil"/>
            </w:tcBorders>
            <w:shd w:val="clear" w:color="auto" w:fill="auto"/>
            <w:noWrap/>
            <w:vAlign w:val="bottom"/>
            <w:hideMark/>
          </w:tcPr>
          <w:p w14:paraId="65F095CE" w14:textId="77777777" w:rsidR="00357AA2" w:rsidRPr="00DF07F3" w:rsidRDefault="00357AA2" w:rsidP="00357AA2">
            <w:pPr>
              <w:spacing w:line="240" w:lineRule="auto"/>
              <w:jc w:val="left"/>
              <w:rPr>
                <w:sz w:val="20"/>
              </w:rPr>
            </w:pPr>
          </w:p>
        </w:tc>
        <w:tc>
          <w:tcPr>
            <w:tcW w:w="1559" w:type="dxa"/>
            <w:tcBorders>
              <w:top w:val="nil"/>
              <w:left w:val="nil"/>
              <w:bottom w:val="nil"/>
              <w:right w:val="nil"/>
            </w:tcBorders>
            <w:shd w:val="clear" w:color="auto" w:fill="auto"/>
            <w:noWrap/>
            <w:vAlign w:val="bottom"/>
            <w:hideMark/>
          </w:tcPr>
          <w:p w14:paraId="59AFE390" w14:textId="77777777" w:rsidR="00357AA2" w:rsidRPr="00DF07F3" w:rsidRDefault="00357AA2" w:rsidP="00357AA2">
            <w:pPr>
              <w:spacing w:line="240" w:lineRule="auto"/>
              <w:jc w:val="left"/>
              <w:rPr>
                <w:sz w:val="20"/>
              </w:rPr>
            </w:pPr>
          </w:p>
        </w:tc>
        <w:tc>
          <w:tcPr>
            <w:tcW w:w="1134" w:type="dxa"/>
            <w:tcBorders>
              <w:top w:val="nil"/>
              <w:left w:val="nil"/>
              <w:bottom w:val="nil"/>
              <w:right w:val="nil"/>
            </w:tcBorders>
            <w:shd w:val="clear" w:color="auto" w:fill="auto"/>
            <w:noWrap/>
            <w:vAlign w:val="bottom"/>
            <w:hideMark/>
          </w:tcPr>
          <w:p w14:paraId="4BBA0273" w14:textId="77777777" w:rsidR="00357AA2" w:rsidRPr="00DF07F3" w:rsidRDefault="00357AA2" w:rsidP="00357AA2">
            <w:pPr>
              <w:spacing w:line="240" w:lineRule="auto"/>
              <w:jc w:val="left"/>
              <w:rPr>
                <w:sz w:val="20"/>
              </w:rPr>
            </w:pPr>
          </w:p>
        </w:tc>
        <w:tc>
          <w:tcPr>
            <w:tcW w:w="1348" w:type="dxa"/>
            <w:tcBorders>
              <w:top w:val="nil"/>
              <w:left w:val="nil"/>
              <w:bottom w:val="nil"/>
              <w:right w:val="nil"/>
            </w:tcBorders>
            <w:shd w:val="clear" w:color="auto" w:fill="auto"/>
            <w:noWrap/>
            <w:vAlign w:val="bottom"/>
            <w:hideMark/>
          </w:tcPr>
          <w:p w14:paraId="39FCC846" w14:textId="77777777" w:rsidR="00357AA2" w:rsidRPr="00DF07F3" w:rsidRDefault="00357AA2" w:rsidP="00357AA2">
            <w:pPr>
              <w:spacing w:line="240" w:lineRule="auto"/>
              <w:jc w:val="left"/>
              <w:rPr>
                <w:sz w:val="20"/>
              </w:rPr>
            </w:pPr>
          </w:p>
        </w:tc>
      </w:tr>
    </w:tbl>
    <w:p w14:paraId="3ADF81D4" w14:textId="4DDF8E26" w:rsidR="002111E1" w:rsidRPr="00730B1E" w:rsidRDefault="002111E1" w:rsidP="00EA55C9">
      <w:pPr>
        <w:pStyle w:val="OdstavecASR"/>
      </w:pPr>
    </w:p>
    <w:p w14:paraId="52599A33" w14:textId="04CD57E2" w:rsidR="002111E1" w:rsidRPr="00730B1E" w:rsidRDefault="002111E1" w:rsidP="002111E1">
      <w:pPr>
        <w:pStyle w:val="Podnadpis"/>
        <w:rPr>
          <w:color w:val="auto"/>
        </w:rPr>
      </w:pPr>
      <w:bookmarkStart w:id="55" w:name="_Ref41044837"/>
      <w:bookmarkStart w:id="56" w:name="_Toc515871328"/>
      <w:bookmarkStart w:id="57" w:name="_Toc11135064"/>
      <w:bookmarkStart w:id="58" w:name="_Toc43841383"/>
      <w:bookmarkStart w:id="59" w:name="_Toc75952183"/>
      <w:bookmarkStart w:id="60" w:name="_Toc106106637"/>
      <w:bookmarkStart w:id="61" w:name="_Toc144104115"/>
      <w:bookmarkStart w:id="62" w:name="_Toc169250922"/>
      <w:bookmarkStart w:id="63" w:name="_Toc17408060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3</w:t>
      </w:r>
      <w:r w:rsidRPr="00730B1E">
        <w:rPr>
          <w:color w:val="auto"/>
        </w:rPr>
        <w:fldChar w:fldCharType="end"/>
      </w:r>
      <w:bookmarkEnd w:id="55"/>
      <w:r w:rsidRPr="00730B1E">
        <w:rPr>
          <w:color w:val="auto"/>
        </w:rPr>
        <w:t xml:space="preserve">: OS – skutečný počet </w:t>
      </w:r>
      <w:r w:rsidR="002C3636" w:rsidRPr="00730B1E">
        <w:rPr>
          <w:color w:val="auto"/>
        </w:rPr>
        <w:t>soudců</w:t>
      </w:r>
      <w:r w:rsidRPr="00730B1E">
        <w:rPr>
          <w:color w:val="auto"/>
        </w:rPr>
        <w:t xml:space="preserve"> u jednotlivých soudů</w:t>
      </w:r>
      <w:bookmarkEnd w:id="56"/>
      <w:bookmarkEnd w:id="57"/>
      <w:bookmarkEnd w:id="58"/>
      <w:bookmarkEnd w:id="59"/>
      <w:bookmarkEnd w:id="60"/>
      <w:bookmarkEnd w:id="61"/>
      <w:r w:rsidR="002C3636" w:rsidRPr="00730B1E">
        <w:rPr>
          <w:color w:val="auto"/>
        </w:rPr>
        <w:t>, 2023</w:t>
      </w:r>
      <w:bookmarkEnd w:id="62"/>
      <w:bookmarkEnd w:id="63"/>
    </w:p>
    <w:p w14:paraId="6A515966" w14:textId="17DE8188" w:rsidR="002E2794" w:rsidRPr="00730B1E" w:rsidRDefault="000D56B2" w:rsidP="00EA55C9">
      <w:pPr>
        <w:pStyle w:val="OdstavecASR"/>
      </w:pPr>
      <w:r w:rsidRPr="00730B1E">
        <w:rPr>
          <w:noProof/>
          <w:lang w:eastAsia="cs-CZ"/>
        </w:rPr>
        <w:drawing>
          <wp:anchor distT="0" distB="0" distL="114300" distR="114300" simplePos="0" relativeHeight="251662336" behindDoc="0" locked="0" layoutInCell="1" allowOverlap="1" wp14:anchorId="7129F600" wp14:editId="61BA3E3F">
            <wp:simplePos x="0" y="0"/>
            <wp:positionH relativeFrom="margin">
              <wp:align>right</wp:align>
            </wp:positionH>
            <wp:positionV relativeFrom="paragraph">
              <wp:posOffset>36195</wp:posOffset>
            </wp:positionV>
            <wp:extent cx="1231105" cy="895350"/>
            <wp:effectExtent l="0" t="0" r="7620" b="0"/>
            <wp:wrapNone/>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110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55A6" w:rsidRPr="00730B1E">
        <w:rPr>
          <w:noProof/>
          <w:lang w:eastAsia="cs-CZ"/>
        </w:rPr>
        <w:drawing>
          <wp:inline distT="0" distB="0" distL="0" distR="0" wp14:anchorId="5CF8ADB6" wp14:editId="430863E1">
            <wp:extent cx="5760720" cy="3296920"/>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4AC58278" w14:textId="409F7E35" w:rsidR="00EA55C9" w:rsidRPr="00730B1E" w:rsidRDefault="00AB451E" w:rsidP="00EA55C9">
      <w:r w:rsidRPr="00730B1E">
        <w:t>Největšími okresními soudy v absolutních počtech soudců jsou OS Ostrava (67,1 skutečného úvazku), MS Brno (61,8 úvazku) a OS Karviná (48 úvazků). Naopak nejmenší okresní soudy dle skutečného počtu úvazků jsou OS v Semilech (6 úvazků), OS v Pelhřimově (6,36 úvazku) a OS v Prachaticích (6,4 úvazku). Velikost jednotlivých soudů lze přibližně vyčíst z kartogramu.</w:t>
      </w:r>
    </w:p>
    <w:p w14:paraId="63F4F6A2" w14:textId="271B842B" w:rsidR="00AB451E" w:rsidRPr="00730B1E" w:rsidRDefault="00AB451E" w:rsidP="00AB451E">
      <w:pPr>
        <w:pStyle w:val="Podnadpis"/>
        <w:rPr>
          <w:color w:val="auto"/>
        </w:rPr>
      </w:pPr>
      <w:bookmarkStart w:id="64" w:name="_Toc515871329"/>
      <w:bookmarkStart w:id="65" w:name="_Toc11135065"/>
      <w:bookmarkStart w:id="66" w:name="_Toc43841384"/>
      <w:bookmarkStart w:id="67" w:name="_Toc75952184"/>
      <w:bookmarkStart w:id="68" w:name="_Toc106106638"/>
      <w:bookmarkStart w:id="69" w:name="_Toc144104116"/>
      <w:bookmarkStart w:id="70" w:name="_Toc169250923"/>
      <w:bookmarkStart w:id="71" w:name="_Toc174080609"/>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w:t>
      </w:r>
      <w:r w:rsidRPr="00730B1E">
        <w:rPr>
          <w:color w:val="auto"/>
        </w:rPr>
        <w:fldChar w:fldCharType="end"/>
      </w:r>
      <w:r w:rsidRPr="00730B1E">
        <w:rPr>
          <w:color w:val="auto"/>
        </w:rPr>
        <w:t xml:space="preserve">: </w:t>
      </w:r>
      <w:bookmarkStart w:id="72" w:name="_Toc485734466"/>
      <w:bookmarkStart w:id="73" w:name="_Toc487792737"/>
      <w:r w:rsidRPr="00730B1E">
        <w:rPr>
          <w:color w:val="auto"/>
        </w:rPr>
        <w:t xml:space="preserve">OS – skutečný počet soudců dle pohlaví </w:t>
      </w:r>
      <w:bookmarkEnd w:id="64"/>
      <w:bookmarkEnd w:id="65"/>
      <w:bookmarkEnd w:id="66"/>
      <w:bookmarkEnd w:id="67"/>
      <w:bookmarkEnd w:id="68"/>
      <w:bookmarkEnd w:id="69"/>
      <w:bookmarkEnd w:id="72"/>
      <w:bookmarkEnd w:id="73"/>
      <w:r w:rsidRPr="00730B1E">
        <w:rPr>
          <w:color w:val="auto"/>
        </w:rPr>
        <w:t>v roce 2023</w:t>
      </w:r>
      <w:bookmarkEnd w:id="70"/>
      <w:bookmarkEnd w:id="71"/>
    </w:p>
    <w:p w14:paraId="4ACB889E" w14:textId="0850F2FF" w:rsidR="00AB451E" w:rsidRPr="00730B1E" w:rsidRDefault="00357AA2" w:rsidP="00AB451E">
      <w:r w:rsidRPr="00730B1E">
        <w:rPr>
          <w:noProof/>
          <w:lang w:eastAsia="cs-CZ"/>
        </w:rPr>
        <w:drawing>
          <wp:inline distT="0" distB="0" distL="0" distR="0" wp14:anchorId="5F2285F2" wp14:editId="17BB524C">
            <wp:extent cx="5029200" cy="3657600"/>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2AADED6" w14:textId="5AA360B0" w:rsidR="00357AA2" w:rsidRPr="00730B1E" w:rsidRDefault="00357AA2" w:rsidP="00357AA2">
      <w:pPr>
        <w:pStyle w:val="OdstavecASR"/>
      </w:pPr>
      <w:r w:rsidRPr="00730B1E">
        <w:t xml:space="preserve">Procentuální podíl soudkyň </w:t>
      </w:r>
      <w:r w:rsidR="00EF4786" w:rsidRPr="00730B1E">
        <w:t xml:space="preserve">na OS </w:t>
      </w:r>
      <w:r w:rsidRPr="00730B1E">
        <w:t>je v posledních letech celkem stabilní a </w:t>
      </w:r>
      <w:r w:rsidR="00F11F31" w:rsidRPr="00730B1E">
        <w:t>v</w:t>
      </w:r>
      <w:r w:rsidR="003817FB" w:rsidRPr="00730B1E">
        <w:t xml:space="preserve"> roce 2023 </w:t>
      </w:r>
      <w:r w:rsidR="00722AF5" w:rsidRPr="00730B1E">
        <w:t xml:space="preserve">činil </w:t>
      </w:r>
      <w:r w:rsidR="003817FB" w:rsidRPr="00730B1E">
        <w:t>65,2</w:t>
      </w:r>
      <w:r w:rsidR="001D018C" w:rsidRPr="00730B1E">
        <w:t> </w:t>
      </w:r>
      <w:r w:rsidR="003817FB" w:rsidRPr="00730B1E">
        <w:t>%.</w:t>
      </w:r>
      <w:r w:rsidRPr="00730B1E">
        <w:t xml:space="preserve"> Tabulka </w:t>
      </w:r>
      <w:r w:rsidR="00F11F31" w:rsidRPr="00730B1E">
        <w:rPr>
          <w:noProof/>
        </w:rPr>
        <w:t>3</w:t>
      </w:r>
      <w:r w:rsidR="00F11F31" w:rsidRPr="00730B1E">
        <w:t xml:space="preserve"> </w:t>
      </w:r>
      <w:r w:rsidRPr="00730B1E">
        <w:t>uvádí evidenční počty soudců a soudkyň podle soudních krajů. Podíl žen u soudů spadajících pod MS Praha a KS Praha je vyšší než ve zbytku ČR.</w:t>
      </w:r>
    </w:p>
    <w:p w14:paraId="69DAEE9B" w14:textId="0CA7D715" w:rsidR="003817FB" w:rsidRPr="00730B1E" w:rsidRDefault="003817FB" w:rsidP="003817FB">
      <w:pPr>
        <w:pStyle w:val="Podnadpis"/>
        <w:rPr>
          <w:color w:val="auto"/>
        </w:rPr>
      </w:pPr>
      <w:bookmarkStart w:id="74" w:name="_Ref511985934"/>
      <w:bookmarkStart w:id="75" w:name="_Toc515871437"/>
      <w:bookmarkStart w:id="76" w:name="_Toc11133204"/>
      <w:bookmarkStart w:id="77" w:name="_Toc43931175"/>
      <w:bookmarkStart w:id="78" w:name="_Toc75952305"/>
      <w:bookmarkStart w:id="79" w:name="_Toc106106764"/>
      <w:bookmarkStart w:id="80" w:name="_Toc144104241"/>
      <w:bookmarkStart w:id="81" w:name="_Toc169251060"/>
      <w:bookmarkStart w:id="82" w:name="_Toc174080746"/>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w:t>
      </w:r>
      <w:r w:rsidRPr="00730B1E">
        <w:rPr>
          <w:noProof/>
          <w:color w:val="auto"/>
        </w:rPr>
        <w:fldChar w:fldCharType="end"/>
      </w:r>
      <w:bookmarkEnd w:id="74"/>
      <w:r w:rsidRPr="00730B1E">
        <w:rPr>
          <w:color w:val="auto"/>
        </w:rPr>
        <w:t xml:space="preserve">: OS – </w:t>
      </w:r>
      <w:r w:rsidR="00863B91" w:rsidRPr="00730B1E">
        <w:rPr>
          <w:color w:val="auto"/>
        </w:rPr>
        <w:t>skutečný</w:t>
      </w:r>
      <w:r w:rsidRPr="00730B1E">
        <w:rPr>
          <w:color w:val="auto"/>
        </w:rPr>
        <w:t xml:space="preserve"> počet soudců dle pohlaví a krajů</w:t>
      </w:r>
      <w:bookmarkEnd w:id="75"/>
      <w:bookmarkEnd w:id="76"/>
      <w:bookmarkEnd w:id="77"/>
      <w:bookmarkEnd w:id="78"/>
      <w:bookmarkEnd w:id="79"/>
      <w:bookmarkEnd w:id="80"/>
      <w:r w:rsidR="002C3636" w:rsidRPr="00730B1E">
        <w:rPr>
          <w:color w:val="auto"/>
        </w:rPr>
        <w:t>, 2023</w:t>
      </w:r>
      <w:bookmarkEnd w:id="81"/>
      <w:bookmarkEnd w:id="82"/>
    </w:p>
    <w:tbl>
      <w:tblPr>
        <w:tblW w:w="6800" w:type="dxa"/>
        <w:tblCellMar>
          <w:left w:w="70" w:type="dxa"/>
          <w:right w:w="70" w:type="dxa"/>
        </w:tblCellMar>
        <w:tblLook w:val="04A0" w:firstRow="1" w:lastRow="0" w:firstColumn="1" w:lastColumn="0" w:noHBand="0" w:noVBand="1"/>
      </w:tblPr>
      <w:tblGrid>
        <w:gridCol w:w="2480"/>
        <w:gridCol w:w="1452"/>
        <w:gridCol w:w="1268"/>
        <w:gridCol w:w="1600"/>
      </w:tblGrid>
      <w:tr w:rsidR="00B64E96" w:rsidRPr="00730B1E" w14:paraId="1ED286C0" w14:textId="77777777" w:rsidTr="003817F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3C168CE"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2720" w:type="dxa"/>
            <w:gridSpan w:val="2"/>
            <w:tcBorders>
              <w:top w:val="double" w:sz="6" w:space="0" w:color="auto"/>
              <w:left w:val="nil"/>
              <w:bottom w:val="nil"/>
              <w:right w:val="nil"/>
            </w:tcBorders>
            <w:shd w:val="clear" w:color="auto" w:fill="auto"/>
            <w:noWrap/>
            <w:vAlign w:val="center"/>
            <w:hideMark/>
          </w:tcPr>
          <w:p w14:paraId="4DDE791B"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Skutečný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6AD8EB94"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Podíl žen v %</w:t>
            </w:r>
          </w:p>
        </w:tc>
      </w:tr>
      <w:tr w:rsidR="00B64E96" w:rsidRPr="00730B1E" w14:paraId="5536E55D" w14:textId="77777777" w:rsidTr="003817FB">
        <w:trPr>
          <w:trHeight w:val="330"/>
        </w:trPr>
        <w:tc>
          <w:tcPr>
            <w:tcW w:w="2480" w:type="dxa"/>
            <w:vMerge/>
            <w:tcBorders>
              <w:top w:val="double" w:sz="6" w:space="0" w:color="auto"/>
              <w:left w:val="nil"/>
              <w:bottom w:val="double" w:sz="6" w:space="0" w:color="000000"/>
              <w:right w:val="nil"/>
            </w:tcBorders>
            <w:vAlign w:val="center"/>
            <w:hideMark/>
          </w:tcPr>
          <w:p w14:paraId="0D884281" w14:textId="77777777" w:rsidR="003817FB" w:rsidRPr="00730B1E" w:rsidRDefault="003817FB" w:rsidP="003817FB">
            <w:pPr>
              <w:spacing w:line="240" w:lineRule="auto"/>
              <w:jc w:val="left"/>
              <w:rPr>
                <w:rFonts w:eastAsia="Times New Roman"/>
                <w:b/>
                <w:bCs/>
                <w:szCs w:val="24"/>
                <w:lang w:eastAsia="cs-CZ"/>
              </w:rPr>
            </w:pPr>
          </w:p>
        </w:tc>
        <w:tc>
          <w:tcPr>
            <w:tcW w:w="1452" w:type="dxa"/>
            <w:tcBorders>
              <w:top w:val="nil"/>
              <w:left w:val="nil"/>
              <w:bottom w:val="double" w:sz="6" w:space="0" w:color="auto"/>
              <w:right w:val="nil"/>
            </w:tcBorders>
            <w:shd w:val="clear" w:color="auto" w:fill="auto"/>
            <w:noWrap/>
            <w:vAlign w:val="center"/>
            <w:hideMark/>
          </w:tcPr>
          <w:p w14:paraId="3F6BFEAB"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Žen</w:t>
            </w:r>
          </w:p>
        </w:tc>
        <w:tc>
          <w:tcPr>
            <w:tcW w:w="1268" w:type="dxa"/>
            <w:tcBorders>
              <w:top w:val="nil"/>
              <w:left w:val="nil"/>
              <w:bottom w:val="double" w:sz="6" w:space="0" w:color="auto"/>
              <w:right w:val="nil"/>
            </w:tcBorders>
            <w:shd w:val="clear" w:color="auto" w:fill="auto"/>
            <w:noWrap/>
            <w:vAlign w:val="center"/>
            <w:hideMark/>
          </w:tcPr>
          <w:p w14:paraId="2D15BB9E"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35CB598A" w14:textId="77777777" w:rsidR="003817FB" w:rsidRPr="00730B1E" w:rsidRDefault="003817FB" w:rsidP="003817FB">
            <w:pPr>
              <w:spacing w:line="240" w:lineRule="auto"/>
              <w:jc w:val="left"/>
              <w:rPr>
                <w:rFonts w:eastAsia="Times New Roman"/>
                <w:b/>
                <w:bCs/>
                <w:szCs w:val="24"/>
                <w:lang w:eastAsia="cs-CZ"/>
              </w:rPr>
            </w:pPr>
          </w:p>
        </w:tc>
      </w:tr>
      <w:tr w:rsidR="00B64E96" w:rsidRPr="00730B1E" w14:paraId="2268A90C" w14:textId="77777777" w:rsidTr="003817F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609FFA5"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MS Praha</w:t>
            </w:r>
          </w:p>
        </w:tc>
        <w:tc>
          <w:tcPr>
            <w:tcW w:w="1452" w:type="dxa"/>
            <w:tcBorders>
              <w:top w:val="single" w:sz="4" w:space="0" w:color="auto"/>
              <w:left w:val="nil"/>
              <w:bottom w:val="single" w:sz="4" w:space="0" w:color="auto"/>
              <w:right w:val="nil"/>
            </w:tcBorders>
            <w:shd w:val="clear" w:color="auto" w:fill="auto"/>
            <w:noWrap/>
            <w:vAlign w:val="bottom"/>
            <w:hideMark/>
          </w:tcPr>
          <w:p w14:paraId="38A13522" w14:textId="5B3FF26B"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204,95</w:t>
            </w:r>
          </w:p>
        </w:tc>
        <w:tc>
          <w:tcPr>
            <w:tcW w:w="1268" w:type="dxa"/>
            <w:tcBorders>
              <w:top w:val="single" w:sz="4" w:space="0" w:color="auto"/>
              <w:left w:val="nil"/>
              <w:bottom w:val="single" w:sz="4" w:space="0" w:color="auto"/>
              <w:right w:val="nil"/>
            </w:tcBorders>
            <w:shd w:val="clear" w:color="auto" w:fill="auto"/>
            <w:noWrap/>
            <w:vAlign w:val="bottom"/>
            <w:hideMark/>
          </w:tcPr>
          <w:p w14:paraId="1B802B2D" w14:textId="266D5B2A"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71,65</w:t>
            </w:r>
          </w:p>
        </w:tc>
        <w:tc>
          <w:tcPr>
            <w:tcW w:w="1600" w:type="dxa"/>
            <w:tcBorders>
              <w:top w:val="single" w:sz="4" w:space="0" w:color="auto"/>
              <w:left w:val="nil"/>
              <w:bottom w:val="single" w:sz="4" w:space="0" w:color="auto"/>
              <w:right w:val="nil"/>
            </w:tcBorders>
            <w:shd w:val="clear" w:color="auto" w:fill="auto"/>
            <w:noWrap/>
            <w:vAlign w:val="bottom"/>
            <w:hideMark/>
          </w:tcPr>
          <w:p w14:paraId="1F051E50" w14:textId="10728F9A"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74,10</w:t>
            </w:r>
          </w:p>
        </w:tc>
      </w:tr>
      <w:tr w:rsidR="00B64E96" w:rsidRPr="00730B1E" w14:paraId="3D361899" w14:textId="77777777" w:rsidTr="003817FB">
        <w:trPr>
          <w:trHeight w:val="315"/>
        </w:trPr>
        <w:tc>
          <w:tcPr>
            <w:tcW w:w="2480" w:type="dxa"/>
            <w:tcBorders>
              <w:top w:val="nil"/>
              <w:left w:val="nil"/>
              <w:bottom w:val="single" w:sz="4" w:space="0" w:color="auto"/>
              <w:right w:val="nil"/>
            </w:tcBorders>
            <w:shd w:val="clear" w:color="auto" w:fill="auto"/>
            <w:noWrap/>
            <w:vAlign w:val="bottom"/>
            <w:hideMark/>
          </w:tcPr>
          <w:p w14:paraId="2429FDDD"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Praha</w:t>
            </w:r>
          </w:p>
        </w:tc>
        <w:tc>
          <w:tcPr>
            <w:tcW w:w="1452" w:type="dxa"/>
            <w:tcBorders>
              <w:top w:val="nil"/>
              <w:left w:val="nil"/>
              <w:bottom w:val="single" w:sz="4" w:space="0" w:color="auto"/>
              <w:right w:val="nil"/>
            </w:tcBorders>
            <w:shd w:val="clear" w:color="auto" w:fill="auto"/>
            <w:noWrap/>
            <w:vAlign w:val="bottom"/>
            <w:hideMark/>
          </w:tcPr>
          <w:p w14:paraId="79FCCC37" w14:textId="74653BD4"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132,2</w:t>
            </w:r>
          </w:p>
        </w:tc>
        <w:tc>
          <w:tcPr>
            <w:tcW w:w="1268" w:type="dxa"/>
            <w:tcBorders>
              <w:top w:val="nil"/>
              <w:left w:val="nil"/>
              <w:bottom w:val="single" w:sz="4" w:space="0" w:color="auto"/>
              <w:right w:val="nil"/>
            </w:tcBorders>
            <w:shd w:val="clear" w:color="auto" w:fill="auto"/>
            <w:noWrap/>
            <w:vAlign w:val="bottom"/>
            <w:hideMark/>
          </w:tcPr>
          <w:p w14:paraId="72335E60" w14:textId="412EA1B8"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56,65</w:t>
            </w:r>
          </w:p>
        </w:tc>
        <w:tc>
          <w:tcPr>
            <w:tcW w:w="1600" w:type="dxa"/>
            <w:tcBorders>
              <w:top w:val="nil"/>
              <w:left w:val="nil"/>
              <w:bottom w:val="single" w:sz="4" w:space="0" w:color="auto"/>
              <w:right w:val="nil"/>
            </w:tcBorders>
            <w:shd w:val="clear" w:color="auto" w:fill="auto"/>
            <w:noWrap/>
            <w:vAlign w:val="bottom"/>
            <w:hideMark/>
          </w:tcPr>
          <w:p w14:paraId="37B88794" w14:textId="3226D272"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70,00</w:t>
            </w:r>
          </w:p>
        </w:tc>
      </w:tr>
      <w:tr w:rsidR="00B64E96" w:rsidRPr="00730B1E" w14:paraId="5E63EB04" w14:textId="77777777" w:rsidTr="003817FB">
        <w:trPr>
          <w:trHeight w:val="315"/>
        </w:trPr>
        <w:tc>
          <w:tcPr>
            <w:tcW w:w="2480" w:type="dxa"/>
            <w:tcBorders>
              <w:top w:val="nil"/>
              <w:left w:val="nil"/>
              <w:bottom w:val="single" w:sz="4" w:space="0" w:color="auto"/>
              <w:right w:val="nil"/>
            </w:tcBorders>
            <w:shd w:val="clear" w:color="auto" w:fill="auto"/>
            <w:noWrap/>
            <w:vAlign w:val="bottom"/>
            <w:hideMark/>
          </w:tcPr>
          <w:p w14:paraId="5F5A8BA2"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Č. Budějovice</w:t>
            </w:r>
          </w:p>
        </w:tc>
        <w:tc>
          <w:tcPr>
            <w:tcW w:w="1452" w:type="dxa"/>
            <w:tcBorders>
              <w:top w:val="nil"/>
              <w:left w:val="nil"/>
              <w:bottom w:val="single" w:sz="4" w:space="0" w:color="auto"/>
              <w:right w:val="nil"/>
            </w:tcBorders>
            <w:shd w:val="clear" w:color="auto" w:fill="auto"/>
            <w:noWrap/>
            <w:vAlign w:val="bottom"/>
            <w:hideMark/>
          </w:tcPr>
          <w:p w14:paraId="2FABAED4" w14:textId="1CE43093"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56,26</w:t>
            </w:r>
          </w:p>
        </w:tc>
        <w:tc>
          <w:tcPr>
            <w:tcW w:w="1268" w:type="dxa"/>
            <w:tcBorders>
              <w:top w:val="nil"/>
              <w:left w:val="nil"/>
              <w:bottom w:val="single" w:sz="4" w:space="0" w:color="auto"/>
              <w:right w:val="nil"/>
            </w:tcBorders>
            <w:shd w:val="clear" w:color="auto" w:fill="auto"/>
            <w:noWrap/>
            <w:vAlign w:val="bottom"/>
            <w:hideMark/>
          </w:tcPr>
          <w:p w14:paraId="685EC0D9" w14:textId="161E5E9C"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32,25</w:t>
            </w:r>
          </w:p>
        </w:tc>
        <w:tc>
          <w:tcPr>
            <w:tcW w:w="1600" w:type="dxa"/>
            <w:tcBorders>
              <w:top w:val="nil"/>
              <w:left w:val="nil"/>
              <w:bottom w:val="single" w:sz="4" w:space="0" w:color="auto"/>
              <w:right w:val="nil"/>
            </w:tcBorders>
            <w:shd w:val="clear" w:color="auto" w:fill="auto"/>
            <w:noWrap/>
            <w:vAlign w:val="bottom"/>
            <w:hideMark/>
          </w:tcPr>
          <w:p w14:paraId="161929C3" w14:textId="3F6EBDF1"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63,56</w:t>
            </w:r>
          </w:p>
        </w:tc>
      </w:tr>
      <w:tr w:rsidR="00B64E96" w:rsidRPr="00730B1E" w14:paraId="648DDDE6" w14:textId="77777777" w:rsidTr="003817FB">
        <w:trPr>
          <w:trHeight w:val="315"/>
        </w:trPr>
        <w:tc>
          <w:tcPr>
            <w:tcW w:w="2480" w:type="dxa"/>
            <w:tcBorders>
              <w:top w:val="nil"/>
              <w:left w:val="nil"/>
              <w:bottom w:val="single" w:sz="4" w:space="0" w:color="auto"/>
              <w:right w:val="nil"/>
            </w:tcBorders>
            <w:shd w:val="clear" w:color="auto" w:fill="auto"/>
            <w:noWrap/>
            <w:vAlign w:val="bottom"/>
            <w:hideMark/>
          </w:tcPr>
          <w:p w14:paraId="3A3BD5BD"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Plzeň</w:t>
            </w:r>
          </w:p>
        </w:tc>
        <w:tc>
          <w:tcPr>
            <w:tcW w:w="1452" w:type="dxa"/>
            <w:tcBorders>
              <w:top w:val="nil"/>
              <w:left w:val="nil"/>
              <w:bottom w:val="single" w:sz="4" w:space="0" w:color="auto"/>
              <w:right w:val="nil"/>
            </w:tcBorders>
            <w:shd w:val="clear" w:color="auto" w:fill="auto"/>
            <w:noWrap/>
            <w:vAlign w:val="bottom"/>
            <w:hideMark/>
          </w:tcPr>
          <w:p w14:paraId="248392F9" w14:textId="4FCF133F"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85,25</w:t>
            </w:r>
          </w:p>
        </w:tc>
        <w:tc>
          <w:tcPr>
            <w:tcW w:w="1268" w:type="dxa"/>
            <w:tcBorders>
              <w:top w:val="nil"/>
              <w:left w:val="nil"/>
              <w:bottom w:val="single" w:sz="4" w:space="0" w:color="auto"/>
              <w:right w:val="nil"/>
            </w:tcBorders>
            <w:shd w:val="clear" w:color="auto" w:fill="auto"/>
            <w:noWrap/>
            <w:vAlign w:val="bottom"/>
            <w:hideMark/>
          </w:tcPr>
          <w:p w14:paraId="66AA0FBB" w14:textId="786D432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60,17</w:t>
            </w:r>
          </w:p>
        </w:tc>
        <w:tc>
          <w:tcPr>
            <w:tcW w:w="1600" w:type="dxa"/>
            <w:tcBorders>
              <w:top w:val="nil"/>
              <w:left w:val="nil"/>
              <w:bottom w:val="single" w:sz="4" w:space="0" w:color="auto"/>
              <w:right w:val="nil"/>
            </w:tcBorders>
            <w:shd w:val="clear" w:color="auto" w:fill="auto"/>
            <w:noWrap/>
            <w:vAlign w:val="bottom"/>
            <w:hideMark/>
          </w:tcPr>
          <w:p w14:paraId="252A5865" w14:textId="72AB9C9A"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58,62</w:t>
            </w:r>
          </w:p>
        </w:tc>
      </w:tr>
      <w:tr w:rsidR="00B64E96" w:rsidRPr="00730B1E" w14:paraId="0828492B" w14:textId="77777777" w:rsidTr="003817FB">
        <w:trPr>
          <w:trHeight w:val="315"/>
        </w:trPr>
        <w:tc>
          <w:tcPr>
            <w:tcW w:w="2480" w:type="dxa"/>
            <w:tcBorders>
              <w:top w:val="nil"/>
              <w:left w:val="nil"/>
              <w:bottom w:val="single" w:sz="4" w:space="0" w:color="auto"/>
              <w:right w:val="nil"/>
            </w:tcBorders>
            <w:shd w:val="clear" w:color="auto" w:fill="auto"/>
            <w:noWrap/>
            <w:vAlign w:val="bottom"/>
            <w:hideMark/>
          </w:tcPr>
          <w:p w14:paraId="3186BE23"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Ústí n. Labem</w:t>
            </w:r>
          </w:p>
        </w:tc>
        <w:tc>
          <w:tcPr>
            <w:tcW w:w="1452" w:type="dxa"/>
            <w:tcBorders>
              <w:top w:val="nil"/>
              <w:left w:val="nil"/>
              <w:bottom w:val="single" w:sz="4" w:space="0" w:color="auto"/>
              <w:right w:val="nil"/>
            </w:tcBorders>
            <w:shd w:val="clear" w:color="auto" w:fill="auto"/>
            <w:noWrap/>
            <w:vAlign w:val="bottom"/>
            <w:hideMark/>
          </w:tcPr>
          <w:p w14:paraId="193908AD" w14:textId="6D0D11CB"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140,09</w:t>
            </w:r>
          </w:p>
        </w:tc>
        <w:tc>
          <w:tcPr>
            <w:tcW w:w="1268" w:type="dxa"/>
            <w:tcBorders>
              <w:top w:val="nil"/>
              <w:left w:val="nil"/>
              <w:bottom w:val="single" w:sz="4" w:space="0" w:color="auto"/>
              <w:right w:val="nil"/>
            </w:tcBorders>
            <w:shd w:val="clear" w:color="auto" w:fill="auto"/>
            <w:noWrap/>
            <w:vAlign w:val="bottom"/>
            <w:hideMark/>
          </w:tcPr>
          <w:p w14:paraId="3C0EA506" w14:textId="5DF0A7E2"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92,3</w:t>
            </w:r>
          </w:p>
        </w:tc>
        <w:tc>
          <w:tcPr>
            <w:tcW w:w="1600" w:type="dxa"/>
            <w:tcBorders>
              <w:top w:val="nil"/>
              <w:left w:val="nil"/>
              <w:bottom w:val="single" w:sz="4" w:space="0" w:color="auto"/>
              <w:right w:val="nil"/>
            </w:tcBorders>
            <w:shd w:val="clear" w:color="auto" w:fill="auto"/>
            <w:noWrap/>
            <w:vAlign w:val="bottom"/>
            <w:hideMark/>
          </w:tcPr>
          <w:p w14:paraId="18DD984C" w14:textId="7517F51A"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60,28</w:t>
            </w:r>
          </w:p>
        </w:tc>
      </w:tr>
      <w:tr w:rsidR="00B64E96" w:rsidRPr="00730B1E" w14:paraId="0426AEC4" w14:textId="77777777" w:rsidTr="003817FB">
        <w:trPr>
          <w:trHeight w:val="315"/>
        </w:trPr>
        <w:tc>
          <w:tcPr>
            <w:tcW w:w="2480" w:type="dxa"/>
            <w:tcBorders>
              <w:top w:val="nil"/>
              <w:left w:val="nil"/>
              <w:bottom w:val="single" w:sz="4" w:space="0" w:color="auto"/>
              <w:right w:val="nil"/>
            </w:tcBorders>
            <w:shd w:val="clear" w:color="auto" w:fill="auto"/>
            <w:noWrap/>
            <w:vAlign w:val="bottom"/>
            <w:hideMark/>
          </w:tcPr>
          <w:p w14:paraId="0C8BBAE2"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Hr. Králové</w:t>
            </w:r>
          </w:p>
        </w:tc>
        <w:tc>
          <w:tcPr>
            <w:tcW w:w="1452" w:type="dxa"/>
            <w:tcBorders>
              <w:top w:val="nil"/>
              <w:left w:val="nil"/>
              <w:bottom w:val="single" w:sz="4" w:space="0" w:color="auto"/>
              <w:right w:val="nil"/>
            </w:tcBorders>
            <w:shd w:val="clear" w:color="auto" w:fill="auto"/>
            <w:noWrap/>
            <w:vAlign w:val="bottom"/>
            <w:hideMark/>
          </w:tcPr>
          <w:p w14:paraId="678D35C8" w14:textId="5B3C93F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98,3</w:t>
            </w:r>
          </w:p>
        </w:tc>
        <w:tc>
          <w:tcPr>
            <w:tcW w:w="1268" w:type="dxa"/>
            <w:tcBorders>
              <w:top w:val="nil"/>
              <w:left w:val="nil"/>
              <w:bottom w:val="single" w:sz="4" w:space="0" w:color="auto"/>
              <w:right w:val="nil"/>
            </w:tcBorders>
            <w:shd w:val="clear" w:color="auto" w:fill="auto"/>
            <w:noWrap/>
            <w:vAlign w:val="bottom"/>
            <w:hideMark/>
          </w:tcPr>
          <w:p w14:paraId="2F553703" w14:textId="6F3D9781"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58,15</w:t>
            </w:r>
          </w:p>
        </w:tc>
        <w:tc>
          <w:tcPr>
            <w:tcW w:w="1600" w:type="dxa"/>
            <w:tcBorders>
              <w:top w:val="nil"/>
              <w:left w:val="nil"/>
              <w:bottom w:val="single" w:sz="4" w:space="0" w:color="auto"/>
              <w:right w:val="nil"/>
            </w:tcBorders>
            <w:shd w:val="clear" w:color="auto" w:fill="auto"/>
            <w:noWrap/>
            <w:vAlign w:val="bottom"/>
            <w:hideMark/>
          </w:tcPr>
          <w:p w14:paraId="732C4381" w14:textId="39FDFC9D"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62,83</w:t>
            </w:r>
          </w:p>
        </w:tc>
      </w:tr>
      <w:tr w:rsidR="00B64E96" w:rsidRPr="00730B1E" w14:paraId="1515FCBF" w14:textId="77777777" w:rsidTr="003817FB">
        <w:trPr>
          <w:trHeight w:val="315"/>
        </w:trPr>
        <w:tc>
          <w:tcPr>
            <w:tcW w:w="2480" w:type="dxa"/>
            <w:tcBorders>
              <w:top w:val="nil"/>
              <w:left w:val="nil"/>
              <w:bottom w:val="single" w:sz="4" w:space="0" w:color="auto"/>
              <w:right w:val="nil"/>
            </w:tcBorders>
            <w:shd w:val="clear" w:color="auto" w:fill="auto"/>
            <w:noWrap/>
            <w:vAlign w:val="bottom"/>
            <w:hideMark/>
          </w:tcPr>
          <w:p w14:paraId="5B0B5544"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Brno</w:t>
            </w:r>
          </w:p>
        </w:tc>
        <w:tc>
          <w:tcPr>
            <w:tcW w:w="1452" w:type="dxa"/>
            <w:tcBorders>
              <w:top w:val="nil"/>
              <w:left w:val="nil"/>
              <w:bottom w:val="single" w:sz="4" w:space="0" w:color="auto"/>
              <w:right w:val="nil"/>
            </w:tcBorders>
            <w:shd w:val="clear" w:color="auto" w:fill="auto"/>
            <w:noWrap/>
            <w:vAlign w:val="bottom"/>
            <w:hideMark/>
          </w:tcPr>
          <w:p w14:paraId="5CD2F728" w14:textId="6A2DE0CC"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153,6</w:t>
            </w:r>
          </w:p>
        </w:tc>
        <w:tc>
          <w:tcPr>
            <w:tcW w:w="1268" w:type="dxa"/>
            <w:tcBorders>
              <w:top w:val="nil"/>
              <w:left w:val="nil"/>
              <w:bottom w:val="single" w:sz="4" w:space="0" w:color="auto"/>
              <w:right w:val="nil"/>
            </w:tcBorders>
            <w:shd w:val="clear" w:color="auto" w:fill="auto"/>
            <w:noWrap/>
            <w:vAlign w:val="bottom"/>
            <w:hideMark/>
          </w:tcPr>
          <w:p w14:paraId="24609120" w14:textId="4E23170D"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97,4</w:t>
            </w:r>
          </w:p>
        </w:tc>
        <w:tc>
          <w:tcPr>
            <w:tcW w:w="1600" w:type="dxa"/>
            <w:tcBorders>
              <w:top w:val="nil"/>
              <w:left w:val="nil"/>
              <w:bottom w:val="single" w:sz="4" w:space="0" w:color="auto"/>
              <w:right w:val="nil"/>
            </w:tcBorders>
            <w:shd w:val="clear" w:color="auto" w:fill="auto"/>
            <w:noWrap/>
            <w:vAlign w:val="bottom"/>
            <w:hideMark/>
          </w:tcPr>
          <w:p w14:paraId="27AC3911" w14:textId="0FBC69AC"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61,20</w:t>
            </w:r>
          </w:p>
        </w:tc>
      </w:tr>
      <w:tr w:rsidR="00B64E96" w:rsidRPr="00730B1E" w14:paraId="3E005182" w14:textId="77777777" w:rsidTr="003817FB">
        <w:trPr>
          <w:trHeight w:val="330"/>
        </w:trPr>
        <w:tc>
          <w:tcPr>
            <w:tcW w:w="2480" w:type="dxa"/>
            <w:tcBorders>
              <w:top w:val="nil"/>
              <w:left w:val="nil"/>
              <w:bottom w:val="double" w:sz="6" w:space="0" w:color="auto"/>
              <w:right w:val="nil"/>
            </w:tcBorders>
            <w:shd w:val="clear" w:color="auto" w:fill="auto"/>
            <w:noWrap/>
            <w:vAlign w:val="bottom"/>
            <w:hideMark/>
          </w:tcPr>
          <w:p w14:paraId="078DEE60"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Ostrava</w:t>
            </w:r>
          </w:p>
        </w:tc>
        <w:tc>
          <w:tcPr>
            <w:tcW w:w="1452" w:type="dxa"/>
            <w:tcBorders>
              <w:top w:val="nil"/>
              <w:left w:val="nil"/>
              <w:bottom w:val="double" w:sz="6" w:space="0" w:color="auto"/>
              <w:right w:val="nil"/>
            </w:tcBorders>
            <w:shd w:val="clear" w:color="auto" w:fill="auto"/>
            <w:noWrap/>
            <w:vAlign w:val="bottom"/>
            <w:hideMark/>
          </w:tcPr>
          <w:p w14:paraId="6AFE9B2F" w14:textId="7B7DBF0D"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193,1</w:t>
            </w:r>
          </w:p>
        </w:tc>
        <w:tc>
          <w:tcPr>
            <w:tcW w:w="1268" w:type="dxa"/>
            <w:tcBorders>
              <w:top w:val="nil"/>
              <w:left w:val="nil"/>
              <w:bottom w:val="double" w:sz="6" w:space="0" w:color="auto"/>
              <w:right w:val="nil"/>
            </w:tcBorders>
            <w:shd w:val="clear" w:color="auto" w:fill="auto"/>
            <w:noWrap/>
            <w:vAlign w:val="bottom"/>
            <w:hideMark/>
          </w:tcPr>
          <w:p w14:paraId="449450C3" w14:textId="72B5C8F3"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99,5</w:t>
            </w:r>
          </w:p>
        </w:tc>
        <w:tc>
          <w:tcPr>
            <w:tcW w:w="1600" w:type="dxa"/>
            <w:tcBorders>
              <w:top w:val="nil"/>
              <w:left w:val="nil"/>
              <w:bottom w:val="double" w:sz="6" w:space="0" w:color="auto"/>
              <w:right w:val="nil"/>
            </w:tcBorders>
            <w:shd w:val="clear" w:color="auto" w:fill="auto"/>
            <w:noWrap/>
            <w:vAlign w:val="bottom"/>
            <w:hideMark/>
          </w:tcPr>
          <w:p w14:paraId="08EB17E5" w14:textId="4AA49EE2"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65,99</w:t>
            </w:r>
          </w:p>
        </w:tc>
      </w:tr>
      <w:tr w:rsidR="003817FB" w:rsidRPr="00730B1E" w14:paraId="07B0B500" w14:textId="77777777" w:rsidTr="003817FB">
        <w:trPr>
          <w:trHeight w:val="345"/>
        </w:trPr>
        <w:tc>
          <w:tcPr>
            <w:tcW w:w="2480" w:type="dxa"/>
            <w:tcBorders>
              <w:top w:val="nil"/>
              <w:left w:val="nil"/>
              <w:bottom w:val="double" w:sz="6" w:space="0" w:color="auto"/>
              <w:right w:val="nil"/>
            </w:tcBorders>
            <w:shd w:val="clear" w:color="auto" w:fill="auto"/>
            <w:noWrap/>
            <w:vAlign w:val="bottom"/>
            <w:hideMark/>
          </w:tcPr>
          <w:p w14:paraId="2D43AD3D" w14:textId="77777777" w:rsidR="003817FB" w:rsidRPr="00730B1E" w:rsidRDefault="003817FB" w:rsidP="003817FB">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452" w:type="dxa"/>
            <w:tcBorders>
              <w:top w:val="nil"/>
              <w:left w:val="nil"/>
              <w:bottom w:val="double" w:sz="6" w:space="0" w:color="auto"/>
              <w:right w:val="nil"/>
            </w:tcBorders>
            <w:shd w:val="clear" w:color="auto" w:fill="auto"/>
            <w:noWrap/>
            <w:vAlign w:val="bottom"/>
            <w:hideMark/>
          </w:tcPr>
          <w:p w14:paraId="1859BBCE" w14:textId="6CE8F956"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1</w:t>
            </w:r>
            <w:r w:rsidR="00F11F31" w:rsidRPr="00730B1E">
              <w:rPr>
                <w:rFonts w:eastAsia="Times New Roman"/>
                <w:b/>
                <w:bCs/>
                <w:szCs w:val="24"/>
                <w:lang w:eastAsia="cs-CZ"/>
              </w:rPr>
              <w:t xml:space="preserve"> </w:t>
            </w:r>
            <w:r w:rsidRPr="00730B1E">
              <w:rPr>
                <w:rFonts w:eastAsia="Times New Roman"/>
                <w:b/>
                <w:bCs/>
                <w:szCs w:val="24"/>
                <w:lang w:eastAsia="cs-CZ"/>
              </w:rPr>
              <w:t>063,75</w:t>
            </w:r>
          </w:p>
        </w:tc>
        <w:tc>
          <w:tcPr>
            <w:tcW w:w="1268" w:type="dxa"/>
            <w:tcBorders>
              <w:top w:val="nil"/>
              <w:left w:val="nil"/>
              <w:bottom w:val="double" w:sz="6" w:space="0" w:color="auto"/>
              <w:right w:val="nil"/>
            </w:tcBorders>
            <w:shd w:val="clear" w:color="auto" w:fill="auto"/>
            <w:noWrap/>
            <w:vAlign w:val="bottom"/>
            <w:hideMark/>
          </w:tcPr>
          <w:p w14:paraId="45867B9E" w14:textId="40A23A81"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568,07</w:t>
            </w:r>
          </w:p>
        </w:tc>
        <w:tc>
          <w:tcPr>
            <w:tcW w:w="1600" w:type="dxa"/>
            <w:tcBorders>
              <w:top w:val="nil"/>
              <w:left w:val="nil"/>
              <w:bottom w:val="double" w:sz="6" w:space="0" w:color="auto"/>
              <w:right w:val="nil"/>
            </w:tcBorders>
            <w:shd w:val="clear" w:color="auto" w:fill="auto"/>
            <w:noWrap/>
            <w:vAlign w:val="bottom"/>
            <w:hideMark/>
          </w:tcPr>
          <w:p w14:paraId="53413590" w14:textId="08CC74D2"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65,19</w:t>
            </w:r>
          </w:p>
        </w:tc>
      </w:tr>
    </w:tbl>
    <w:p w14:paraId="6171AE65" w14:textId="77777777" w:rsidR="003817FB" w:rsidRPr="00730B1E" w:rsidRDefault="003817FB" w:rsidP="003817FB">
      <w:pPr>
        <w:pStyle w:val="OdstavecASR"/>
      </w:pPr>
    </w:p>
    <w:p w14:paraId="4161DFDE" w14:textId="42CC7099" w:rsidR="003817FB" w:rsidRPr="00730B1E" w:rsidRDefault="003817FB" w:rsidP="003817FB">
      <w:pPr>
        <w:pStyle w:val="OdstavecASR"/>
      </w:pPr>
      <w:r w:rsidRPr="00730B1E">
        <w:t>V kontextu podílu žen mezi soudci dále můžeme sledovat jejich podíl mezi předsedy a místopředsedy soudů. Data jsou v tabulce níže</w:t>
      </w:r>
      <w:r w:rsidR="002C3636" w:rsidRPr="00730B1E">
        <w:t>.</w:t>
      </w:r>
      <w:r w:rsidRPr="00730B1E">
        <w:t xml:space="preserve"> Data jsou k 1. 1. 2023.</w:t>
      </w:r>
    </w:p>
    <w:p w14:paraId="3A628C58" w14:textId="014D461F" w:rsidR="00D505DC" w:rsidRPr="00730B1E" w:rsidRDefault="00D505DC">
      <w:pPr>
        <w:spacing w:after="160" w:line="259" w:lineRule="auto"/>
        <w:jc w:val="left"/>
      </w:pPr>
      <w:r w:rsidRPr="00730B1E">
        <w:br w:type="page"/>
      </w:r>
    </w:p>
    <w:p w14:paraId="62D618A5" w14:textId="37EFB7C7" w:rsidR="003817FB" w:rsidRPr="00730B1E" w:rsidRDefault="003817FB" w:rsidP="003817FB">
      <w:pPr>
        <w:pStyle w:val="Podnadpis"/>
        <w:numPr>
          <w:ilvl w:val="0"/>
          <w:numId w:val="0"/>
        </w:numPr>
        <w:rPr>
          <w:color w:val="auto"/>
        </w:rPr>
      </w:pPr>
      <w:bookmarkStart w:id="83" w:name="_Toc11133205"/>
      <w:bookmarkStart w:id="84" w:name="_Toc43931176"/>
      <w:bookmarkStart w:id="85" w:name="_Toc75952306"/>
      <w:bookmarkStart w:id="86" w:name="_Toc106106765"/>
      <w:bookmarkStart w:id="87" w:name="_Toc144104242"/>
      <w:bookmarkStart w:id="88" w:name="_Toc169251061"/>
      <w:bookmarkStart w:id="89" w:name="_Toc174080747"/>
      <w:r w:rsidRPr="00730B1E">
        <w:rPr>
          <w:color w:val="auto"/>
        </w:rPr>
        <w:lastRenderedPageBreak/>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4</w:t>
      </w:r>
      <w:r w:rsidRPr="00730B1E">
        <w:rPr>
          <w:noProof/>
          <w:color w:val="auto"/>
        </w:rPr>
        <w:fldChar w:fldCharType="end"/>
      </w:r>
      <w:r w:rsidRPr="00730B1E">
        <w:rPr>
          <w:color w:val="auto"/>
        </w:rPr>
        <w:t>: OS – předsedové a místopředsedové okresních soudů</w:t>
      </w:r>
      <w:bookmarkEnd w:id="83"/>
      <w:bookmarkEnd w:id="84"/>
      <w:bookmarkEnd w:id="85"/>
      <w:bookmarkEnd w:id="86"/>
      <w:bookmarkEnd w:id="87"/>
      <w:bookmarkEnd w:id="88"/>
      <w:bookmarkEnd w:id="89"/>
    </w:p>
    <w:tbl>
      <w:tblPr>
        <w:tblW w:w="8460" w:type="dxa"/>
        <w:tblCellMar>
          <w:left w:w="70" w:type="dxa"/>
          <w:right w:w="70" w:type="dxa"/>
        </w:tblCellMar>
        <w:tblLook w:val="04A0" w:firstRow="1" w:lastRow="0" w:firstColumn="1" w:lastColumn="0" w:noHBand="0" w:noVBand="1"/>
      </w:tblPr>
      <w:tblGrid>
        <w:gridCol w:w="2220"/>
        <w:gridCol w:w="851"/>
        <w:gridCol w:w="1229"/>
        <w:gridCol w:w="1040"/>
        <w:gridCol w:w="851"/>
        <w:gridCol w:w="1229"/>
        <w:gridCol w:w="1040"/>
      </w:tblGrid>
      <w:tr w:rsidR="00B64E96" w:rsidRPr="00730B1E" w14:paraId="0F449AEF" w14:textId="77777777" w:rsidTr="003817FB">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033A233B"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2080" w:type="dxa"/>
            <w:gridSpan w:val="2"/>
            <w:tcBorders>
              <w:top w:val="double" w:sz="6" w:space="0" w:color="auto"/>
              <w:left w:val="nil"/>
              <w:bottom w:val="nil"/>
              <w:right w:val="nil"/>
            </w:tcBorders>
            <w:shd w:val="clear" w:color="auto" w:fill="auto"/>
            <w:noWrap/>
            <w:vAlign w:val="center"/>
            <w:hideMark/>
          </w:tcPr>
          <w:p w14:paraId="68664EE8"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37EE12E2"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Podíl žen v %</w:t>
            </w:r>
          </w:p>
        </w:tc>
        <w:tc>
          <w:tcPr>
            <w:tcW w:w="2080" w:type="dxa"/>
            <w:gridSpan w:val="2"/>
            <w:tcBorders>
              <w:top w:val="double" w:sz="6" w:space="0" w:color="auto"/>
              <w:left w:val="nil"/>
              <w:bottom w:val="nil"/>
              <w:right w:val="nil"/>
            </w:tcBorders>
            <w:shd w:val="clear" w:color="auto" w:fill="auto"/>
            <w:noWrap/>
            <w:vAlign w:val="center"/>
            <w:hideMark/>
          </w:tcPr>
          <w:p w14:paraId="43572CD0"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Místopředsedové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025EF0B2"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Podíl žen v %</w:t>
            </w:r>
          </w:p>
        </w:tc>
      </w:tr>
      <w:tr w:rsidR="00B64E96" w:rsidRPr="00730B1E" w14:paraId="286F7D5F" w14:textId="77777777" w:rsidTr="003817FB">
        <w:trPr>
          <w:trHeight w:val="330"/>
        </w:trPr>
        <w:tc>
          <w:tcPr>
            <w:tcW w:w="2220" w:type="dxa"/>
            <w:vMerge/>
            <w:tcBorders>
              <w:top w:val="double" w:sz="6" w:space="0" w:color="auto"/>
              <w:left w:val="nil"/>
              <w:bottom w:val="double" w:sz="6" w:space="0" w:color="000000"/>
              <w:right w:val="nil"/>
            </w:tcBorders>
            <w:vAlign w:val="center"/>
            <w:hideMark/>
          </w:tcPr>
          <w:p w14:paraId="55F87421" w14:textId="77777777" w:rsidR="003817FB" w:rsidRPr="00730B1E" w:rsidRDefault="003817FB" w:rsidP="003817FB">
            <w:pPr>
              <w:spacing w:line="240" w:lineRule="auto"/>
              <w:jc w:val="left"/>
              <w:rPr>
                <w:rFonts w:eastAsia="Times New Roman"/>
                <w:b/>
                <w:bCs/>
                <w:szCs w:val="24"/>
                <w:lang w:eastAsia="cs-CZ"/>
              </w:rPr>
            </w:pPr>
          </w:p>
        </w:tc>
        <w:tc>
          <w:tcPr>
            <w:tcW w:w="851" w:type="dxa"/>
            <w:tcBorders>
              <w:top w:val="nil"/>
              <w:left w:val="nil"/>
              <w:bottom w:val="double" w:sz="6" w:space="0" w:color="auto"/>
              <w:right w:val="nil"/>
            </w:tcBorders>
            <w:shd w:val="clear" w:color="auto" w:fill="auto"/>
            <w:noWrap/>
            <w:vAlign w:val="center"/>
            <w:hideMark/>
          </w:tcPr>
          <w:p w14:paraId="378BF466"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Žen</w:t>
            </w:r>
          </w:p>
        </w:tc>
        <w:tc>
          <w:tcPr>
            <w:tcW w:w="1229" w:type="dxa"/>
            <w:tcBorders>
              <w:top w:val="nil"/>
              <w:left w:val="nil"/>
              <w:bottom w:val="double" w:sz="6" w:space="0" w:color="auto"/>
              <w:right w:val="nil"/>
            </w:tcBorders>
            <w:shd w:val="clear" w:color="auto" w:fill="auto"/>
            <w:noWrap/>
            <w:vAlign w:val="center"/>
            <w:hideMark/>
          </w:tcPr>
          <w:p w14:paraId="0F2BC1CD"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1CB699A9" w14:textId="77777777" w:rsidR="003817FB" w:rsidRPr="00730B1E" w:rsidRDefault="003817FB" w:rsidP="003817FB">
            <w:pPr>
              <w:spacing w:line="240" w:lineRule="auto"/>
              <w:jc w:val="left"/>
              <w:rPr>
                <w:rFonts w:eastAsia="Times New Roman"/>
                <w:b/>
                <w:bCs/>
                <w:szCs w:val="24"/>
                <w:lang w:eastAsia="cs-CZ"/>
              </w:rPr>
            </w:pPr>
          </w:p>
        </w:tc>
        <w:tc>
          <w:tcPr>
            <w:tcW w:w="851" w:type="dxa"/>
            <w:tcBorders>
              <w:top w:val="nil"/>
              <w:left w:val="nil"/>
              <w:bottom w:val="double" w:sz="6" w:space="0" w:color="auto"/>
              <w:right w:val="nil"/>
            </w:tcBorders>
            <w:shd w:val="clear" w:color="auto" w:fill="auto"/>
            <w:noWrap/>
            <w:vAlign w:val="center"/>
            <w:hideMark/>
          </w:tcPr>
          <w:p w14:paraId="2431A71D"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Žen</w:t>
            </w:r>
          </w:p>
        </w:tc>
        <w:tc>
          <w:tcPr>
            <w:tcW w:w="1229" w:type="dxa"/>
            <w:tcBorders>
              <w:top w:val="nil"/>
              <w:left w:val="nil"/>
              <w:bottom w:val="double" w:sz="6" w:space="0" w:color="auto"/>
              <w:right w:val="nil"/>
            </w:tcBorders>
            <w:shd w:val="clear" w:color="auto" w:fill="auto"/>
            <w:noWrap/>
            <w:vAlign w:val="center"/>
            <w:hideMark/>
          </w:tcPr>
          <w:p w14:paraId="1FE4B849"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247E9D91" w14:textId="77777777" w:rsidR="003817FB" w:rsidRPr="00730B1E" w:rsidRDefault="003817FB" w:rsidP="003817FB">
            <w:pPr>
              <w:spacing w:line="240" w:lineRule="auto"/>
              <w:jc w:val="left"/>
              <w:rPr>
                <w:rFonts w:eastAsia="Times New Roman"/>
                <w:b/>
                <w:bCs/>
                <w:szCs w:val="24"/>
                <w:lang w:eastAsia="cs-CZ"/>
              </w:rPr>
            </w:pPr>
          </w:p>
        </w:tc>
      </w:tr>
      <w:tr w:rsidR="00B64E96" w:rsidRPr="00730B1E" w14:paraId="745B1D2B" w14:textId="77777777" w:rsidTr="003817FB">
        <w:trPr>
          <w:trHeight w:val="330"/>
        </w:trPr>
        <w:tc>
          <w:tcPr>
            <w:tcW w:w="2220" w:type="dxa"/>
            <w:tcBorders>
              <w:top w:val="single" w:sz="4" w:space="0" w:color="auto"/>
              <w:left w:val="nil"/>
              <w:bottom w:val="single" w:sz="4" w:space="0" w:color="auto"/>
              <w:right w:val="nil"/>
            </w:tcBorders>
            <w:shd w:val="clear" w:color="auto" w:fill="auto"/>
            <w:noWrap/>
            <w:vAlign w:val="bottom"/>
            <w:hideMark/>
          </w:tcPr>
          <w:p w14:paraId="58297A1B"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MS Praha</w:t>
            </w:r>
          </w:p>
        </w:tc>
        <w:tc>
          <w:tcPr>
            <w:tcW w:w="851" w:type="dxa"/>
            <w:tcBorders>
              <w:top w:val="single" w:sz="4" w:space="0" w:color="auto"/>
              <w:left w:val="nil"/>
              <w:bottom w:val="single" w:sz="4" w:space="0" w:color="auto"/>
              <w:right w:val="nil"/>
            </w:tcBorders>
            <w:shd w:val="clear" w:color="auto" w:fill="auto"/>
            <w:noWrap/>
            <w:vAlign w:val="bottom"/>
            <w:hideMark/>
          </w:tcPr>
          <w:p w14:paraId="4A3E3A6B"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229" w:type="dxa"/>
            <w:tcBorders>
              <w:top w:val="single" w:sz="4" w:space="0" w:color="auto"/>
              <w:left w:val="nil"/>
              <w:bottom w:val="single" w:sz="4" w:space="0" w:color="auto"/>
              <w:right w:val="nil"/>
            </w:tcBorders>
            <w:shd w:val="clear" w:color="auto" w:fill="auto"/>
            <w:noWrap/>
            <w:vAlign w:val="bottom"/>
            <w:hideMark/>
          </w:tcPr>
          <w:p w14:paraId="50540831"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4</w:t>
            </w:r>
          </w:p>
        </w:tc>
        <w:tc>
          <w:tcPr>
            <w:tcW w:w="1040" w:type="dxa"/>
            <w:tcBorders>
              <w:top w:val="single" w:sz="4" w:space="0" w:color="auto"/>
              <w:left w:val="nil"/>
              <w:bottom w:val="single" w:sz="4" w:space="0" w:color="auto"/>
              <w:right w:val="nil"/>
            </w:tcBorders>
            <w:shd w:val="clear" w:color="auto" w:fill="auto"/>
            <w:noWrap/>
            <w:vAlign w:val="bottom"/>
            <w:hideMark/>
          </w:tcPr>
          <w:p w14:paraId="42CB1A2A" w14:textId="30C50C50"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60,00</w:t>
            </w:r>
          </w:p>
        </w:tc>
        <w:tc>
          <w:tcPr>
            <w:tcW w:w="851" w:type="dxa"/>
            <w:tcBorders>
              <w:top w:val="single" w:sz="4" w:space="0" w:color="auto"/>
              <w:left w:val="nil"/>
              <w:bottom w:val="single" w:sz="4" w:space="0" w:color="auto"/>
              <w:right w:val="nil"/>
            </w:tcBorders>
            <w:shd w:val="clear" w:color="auto" w:fill="auto"/>
            <w:noWrap/>
            <w:vAlign w:val="bottom"/>
            <w:hideMark/>
          </w:tcPr>
          <w:p w14:paraId="04B79959"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19</w:t>
            </w:r>
          </w:p>
        </w:tc>
        <w:tc>
          <w:tcPr>
            <w:tcW w:w="1229" w:type="dxa"/>
            <w:tcBorders>
              <w:top w:val="single" w:sz="4" w:space="0" w:color="auto"/>
              <w:left w:val="nil"/>
              <w:bottom w:val="single" w:sz="4" w:space="0" w:color="auto"/>
              <w:right w:val="nil"/>
            </w:tcBorders>
            <w:shd w:val="clear" w:color="auto" w:fill="auto"/>
            <w:noWrap/>
            <w:vAlign w:val="bottom"/>
            <w:hideMark/>
          </w:tcPr>
          <w:p w14:paraId="1282A7E1"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3</w:t>
            </w:r>
          </w:p>
        </w:tc>
        <w:tc>
          <w:tcPr>
            <w:tcW w:w="1040" w:type="dxa"/>
            <w:tcBorders>
              <w:top w:val="single" w:sz="4" w:space="0" w:color="auto"/>
              <w:left w:val="nil"/>
              <w:bottom w:val="single" w:sz="4" w:space="0" w:color="auto"/>
              <w:right w:val="nil"/>
            </w:tcBorders>
            <w:shd w:val="clear" w:color="auto" w:fill="auto"/>
            <w:noWrap/>
            <w:vAlign w:val="bottom"/>
            <w:hideMark/>
          </w:tcPr>
          <w:p w14:paraId="396F0D39" w14:textId="5A2449C1"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86,36</w:t>
            </w:r>
          </w:p>
        </w:tc>
      </w:tr>
      <w:tr w:rsidR="00B64E96" w:rsidRPr="00730B1E" w14:paraId="3736BCA3" w14:textId="77777777" w:rsidTr="003817FB">
        <w:trPr>
          <w:trHeight w:val="315"/>
        </w:trPr>
        <w:tc>
          <w:tcPr>
            <w:tcW w:w="2220" w:type="dxa"/>
            <w:tcBorders>
              <w:top w:val="nil"/>
              <w:left w:val="nil"/>
              <w:bottom w:val="single" w:sz="4" w:space="0" w:color="auto"/>
              <w:right w:val="nil"/>
            </w:tcBorders>
            <w:shd w:val="clear" w:color="auto" w:fill="auto"/>
            <w:noWrap/>
            <w:vAlign w:val="bottom"/>
            <w:hideMark/>
          </w:tcPr>
          <w:p w14:paraId="667AF62D"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Praha</w:t>
            </w:r>
          </w:p>
        </w:tc>
        <w:tc>
          <w:tcPr>
            <w:tcW w:w="851" w:type="dxa"/>
            <w:tcBorders>
              <w:top w:val="nil"/>
              <w:left w:val="nil"/>
              <w:bottom w:val="single" w:sz="4" w:space="0" w:color="auto"/>
              <w:right w:val="nil"/>
            </w:tcBorders>
            <w:shd w:val="clear" w:color="auto" w:fill="auto"/>
            <w:noWrap/>
            <w:vAlign w:val="bottom"/>
            <w:hideMark/>
          </w:tcPr>
          <w:p w14:paraId="16430A6C"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229" w:type="dxa"/>
            <w:tcBorders>
              <w:top w:val="nil"/>
              <w:left w:val="nil"/>
              <w:bottom w:val="single" w:sz="4" w:space="0" w:color="auto"/>
              <w:right w:val="nil"/>
            </w:tcBorders>
            <w:shd w:val="clear" w:color="auto" w:fill="auto"/>
            <w:noWrap/>
            <w:vAlign w:val="bottom"/>
            <w:hideMark/>
          </w:tcPr>
          <w:p w14:paraId="24F37E31"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2C3CF70B" w14:textId="366288C4"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50,00</w:t>
            </w:r>
          </w:p>
        </w:tc>
        <w:tc>
          <w:tcPr>
            <w:tcW w:w="851" w:type="dxa"/>
            <w:tcBorders>
              <w:top w:val="nil"/>
              <w:left w:val="nil"/>
              <w:bottom w:val="single" w:sz="4" w:space="0" w:color="auto"/>
              <w:right w:val="nil"/>
            </w:tcBorders>
            <w:shd w:val="clear" w:color="auto" w:fill="auto"/>
            <w:noWrap/>
            <w:vAlign w:val="bottom"/>
            <w:hideMark/>
          </w:tcPr>
          <w:p w14:paraId="39DE2149"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229" w:type="dxa"/>
            <w:tcBorders>
              <w:top w:val="nil"/>
              <w:left w:val="nil"/>
              <w:bottom w:val="single" w:sz="4" w:space="0" w:color="auto"/>
              <w:right w:val="nil"/>
            </w:tcBorders>
            <w:shd w:val="clear" w:color="auto" w:fill="auto"/>
            <w:noWrap/>
            <w:vAlign w:val="bottom"/>
            <w:hideMark/>
          </w:tcPr>
          <w:p w14:paraId="19AFC184"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w:t>
            </w:r>
          </w:p>
        </w:tc>
        <w:tc>
          <w:tcPr>
            <w:tcW w:w="1040" w:type="dxa"/>
            <w:tcBorders>
              <w:top w:val="nil"/>
              <w:left w:val="nil"/>
              <w:bottom w:val="single" w:sz="4" w:space="0" w:color="auto"/>
              <w:right w:val="nil"/>
            </w:tcBorders>
            <w:shd w:val="clear" w:color="auto" w:fill="auto"/>
            <w:noWrap/>
            <w:vAlign w:val="bottom"/>
            <w:hideMark/>
          </w:tcPr>
          <w:p w14:paraId="069FB02F" w14:textId="283E0D8F"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46,15</w:t>
            </w:r>
          </w:p>
        </w:tc>
      </w:tr>
      <w:tr w:rsidR="00B64E96" w:rsidRPr="00730B1E" w14:paraId="70F34517" w14:textId="77777777" w:rsidTr="003817FB">
        <w:trPr>
          <w:trHeight w:val="315"/>
        </w:trPr>
        <w:tc>
          <w:tcPr>
            <w:tcW w:w="2220" w:type="dxa"/>
            <w:tcBorders>
              <w:top w:val="nil"/>
              <w:left w:val="nil"/>
              <w:bottom w:val="single" w:sz="4" w:space="0" w:color="auto"/>
              <w:right w:val="nil"/>
            </w:tcBorders>
            <w:shd w:val="clear" w:color="auto" w:fill="auto"/>
            <w:noWrap/>
            <w:vAlign w:val="bottom"/>
            <w:hideMark/>
          </w:tcPr>
          <w:p w14:paraId="49EF9095"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Č. Budějovice</w:t>
            </w:r>
          </w:p>
        </w:tc>
        <w:tc>
          <w:tcPr>
            <w:tcW w:w="851" w:type="dxa"/>
            <w:tcBorders>
              <w:top w:val="nil"/>
              <w:left w:val="nil"/>
              <w:bottom w:val="single" w:sz="4" w:space="0" w:color="auto"/>
              <w:right w:val="nil"/>
            </w:tcBorders>
            <w:shd w:val="clear" w:color="auto" w:fill="auto"/>
            <w:noWrap/>
            <w:vAlign w:val="bottom"/>
            <w:hideMark/>
          </w:tcPr>
          <w:p w14:paraId="068A7608"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229" w:type="dxa"/>
            <w:tcBorders>
              <w:top w:val="nil"/>
              <w:left w:val="nil"/>
              <w:bottom w:val="single" w:sz="4" w:space="0" w:color="auto"/>
              <w:right w:val="nil"/>
            </w:tcBorders>
            <w:shd w:val="clear" w:color="auto" w:fill="auto"/>
            <w:noWrap/>
            <w:vAlign w:val="bottom"/>
            <w:hideMark/>
          </w:tcPr>
          <w:p w14:paraId="08DEB27A"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2</w:t>
            </w:r>
          </w:p>
        </w:tc>
        <w:tc>
          <w:tcPr>
            <w:tcW w:w="1040" w:type="dxa"/>
            <w:tcBorders>
              <w:top w:val="nil"/>
              <w:left w:val="nil"/>
              <w:bottom w:val="single" w:sz="4" w:space="0" w:color="auto"/>
              <w:right w:val="nil"/>
            </w:tcBorders>
            <w:shd w:val="clear" w:color="auto" w:fill="auto"/>
            <w:noWrap/>
            <w:vAlign w:val="bottom"/>
            <w:hideMark/>
          </w:tcPr>
          <w:p w14:paraId="6271B42E" w14:textId="233313D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75,00</w:t>
            </w:r>
          </w:p>
        </w:tc>
        <w:tc>
          <w:tcPr>
            <w:tcW w:w="851" w:type="dxa"/>
            <w:tcBorders>
              <w:top w:val="nil"/>
              <w:left w:val="nil"/>
              <w:bottom w:val="single" w:sz="4" w:space="0" w:color="auto"/>
              <w:right w:val="nil"/>
            </w:tcBorders>
            <w:shd w:val="clear" w:color="auto" w:fill="auto"/>
            <w:noWrap/>
            <w:vAlign w:val="bottom"/>
            <w:hideMark/>
          </w:tcPr>
          <w:p w14:paraId="3F1A3BF3"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2</w:t>
            </w:r>
          </w:p>
        </w:tc>
        <w:tc>
          <w:tcPr>
            <w:tcW w:w="1229" w:type="dxa"/>
            <w:tcBorders>
              <w:top w:val="nil"/>
              <w:left w:val="nil"/>
              <w:bottom w:val="single" w:sz="4" w:space="0" w:color="auto"/>
              <w:right w:val="nil"/>
            </w:tcBorders>
            <w:shd w:val="clear" w:color="auto" w:fill="auto"/>
            <w:noWrap/>
            <w:vAlign w:val="bottom"/>
            <w:hideMark/>
          </w:tcPr>
          <w:p w14:paraId="6C7AC10D"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3C4CFF84" w14:textId="2D34D03F"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40,00</w:t>
            </w:r>
          </w:p>
        </w:tc>
      </w:tr>
      <w:tr w:rsidR="00B64E96" w:rsidRPr="00730B1E" w14:paraId="10446799" w14:textId="77777777" w:rsidTr="003817FB">
        <w:trPr>
          <w:trHeight w:val="315"/>
        </w:trPr>
        <w:tc>
          <w:tcPr>
            <w:tcW w:w="2220" w:type="dxa"/>
            <w:tcBorders>
              <w:top w:val="nil"/>
              <w:left w:val="nil"/>
              <w:bottom w:val="single" w:sz="4" w:space="0" w:color="auto"/>
              <w:right w:val="nil"/>
            </w:tcBorders>
            <w:shd w:val="clear" w:color="auto" w:fill="auto"/>
            <w:noWrap/>
            <w:vAlign w:val="bottom"/>
            <w:hideMark/>
          </w:tcPr>
          <w:p w14:paraId="3FAE70E7"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Plzeň</w:t>
            </w:r>
          </w:p>
        </w:tc>
        <w:tc>
          <w:tcPr>
            <w:tcW w:w="851" w:type="dxa"/>
            <w:tcBorders>
              <w:top w:val="nil"/>
              <w:left w:val="nil"/>
              <w:bottom w:val="single" w:sz="4" w:space="0" w:color="auto"/>
              <w:right w:val="nil"/>
            </w:tcBorders>
            <w:shd w:val="clear" w:color="auto" w:fill="auto"/>
            <w:noWrap/>
            <w:vAlign w:val="bottom"/>
            <w:hideMark/>
          </w:tcPr>
          <w:p w14:paraId="222E16FA"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4</w:t>
            </w:r>
          </w:p>
        </w:tc>
        <w:tc>
          <w:tcPr>
            <w:tcW w:w="1229" w:type="dxa"/>
            <w:tcBorders>
              <w:top w:val="nil"/>
              <w:left w:val="nil"/>
              <w:bottom w:val="single" w:sz="4" w:space="0" w:color="auto"/>
              <w:right w:val="nil"/>
            </w:tcBorders>
            <w:shd w:val="clear" w:color="auto" w:fill="auto"/>
            <w:noWrap/>
            <w:vAlign w:val="bottom"/>
            <w:hideMark/>
          </w:tcPr>
          <w:p w14:paraId="5D342C1E"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358D56B0" w14:textId="6C02F1B9"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40,00</w:t>
            </w:r>
          </w:p>
        </w:tc>
        <w:tc>
          <w:tcPr>
            <w:tcW w:w="851" w:type="dxa"/>
            <w:tcBorders>
              <w:top w:val="nil"/>
              <w:left w:val="nil"/>
              <w:bottom w:val="single" w:sz="4" w:space="0" w:color="auto"/>
              <w:right w:val="nil"/>
            </w:tcBorders>
            <w:shd w:val="clear" w:color="auto" w:fill="auto"/>
            <w:noWrap/>
            <w:vAlign w:val="bottom"/>
            <w:hideMark/>
          </w:tcPr>
          <w:p w14:paraId="0A4364F9"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w:t>
            </w:r>
          </w:p>
        </w:tc>
        <w:tc>
          <w:tcPr>
            <w:tcW w:w="1229" w:type="dxa"/>
            <w:tcBorders>
              <w:top w:val="nil"/>
              <w:left w:val="nil"/>
              <w:bottom w:val="single" w:sz="4" w:space="0" w:color="auto"/>
              <w:right w:val="nil"/>
            </w:tcBorders>
            <w:shd w:val="clear" w:color="auto" w:fill="auto"/>
            <w:noWrap/>
            <w:vAlign w:val="bottom"/>
            <w:hideMark/>
          </w:tcPr>
          <w:p w14:paraId="56855F6D"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55AAB090" w14:textId="4DB6BA99"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53,85</w:t>
            </w:r>
          </w:p>
        </w:tc>
      </w:tr>
      <w:tr w:rsidR="00B64E96" w:rsidRPr="00730B1E" w14:paraId="4AC2FD7A" w14:textId="77777777" w:rsidTr="003817FB">
        <w:trPr>
          <w:trHeight w:val="315"/>
        </w:trPr>
        <w:tc>
          <w:tcPr>
            <w:tcW w:w="2220" w:type="dxa"/>
            <w:tcBorders>
              <w:top w:val="nil"/>
              <w:left w:val="nil"/>
              <w:bottom w:val="single" w:sz="4" w:space="0" w:color="auto"/>
              <w:right w:val="nil"/>
            </w:tcBorders>
            <w:shd w:val="clear" w:color="auto" w:fill="auto"/>
            <w:noWrap/>
            <w:vAlign w:val="bottom"/>
            <w:hideMark/>
          </w:tcPr>
          <w:p w14:paraId="2B46FF8C"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Ústí n. Labem</w:t>
            </w:r>
          </w:p>
        </w:tc>
        <w:tc>
          <w:tcPr>
            <w:tcW w:w="851" w:type="dxa"/>
            <w:tcBorders>
              <w:top w:val="nil"/>
              <w:left w:val="nil"/>
              <w:bottom w:val="single" w:sz="4" w:space="0" w:color="auto"/>
              <w:right w:val="nil"/>
            </w:tcBorders>
            <w:shd w:val="clear" w:color="auto" w:fill="auto"/>
            <w:noWrap/>
            <w:vAlign w:val="bottom"/>
            <w:hideMark/>
          </w:tcPr>
          <w:p w14:paraId="5DC662B8"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w:t>
            </w:r>
          </w:p>
        </w:tc>
        <w:tc>
          <w:tcPr>
            <w:tcW w:w="1229" w:type="dxa"/>
            <w:tcBorders>
              <w:top w:val="nil"/>
              <w:left w:val="nil"/>
              <w:bottom w:val="single" w:sz="4" w:space="0" w:color="auto"/>
              <w:right w:val="nil"/>
            </w:tcBorders>
            <w:shd w:val="clear" w:color="auto" w:fill="auto"/>
            <w:noWrap/>
            <w:vAlign w:val="bottom"/>
            <w:hideMark/>
          </w:tcPr>
          <w:p w14:paraId="1EC603EA"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2D90DE08" w14:textId="78FD2F91"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70,00</w:t>
            </w:r>
          </w:p>
        </w:tc>
        <w:tc>
          <w:tcPr>
            <w:tcW w:w="851" w:type="dxa"/>
            <w:tcBorders>
              <w:top w:val="nil"/>
              <w:left w:val="nil"/>
              <w:bottom w:val="single" w:sz="4" w:space="0" w:color="auto"/>
              <w:right w:val="nil"/>
            </w:tcBorders>
            <w:shd w:val="clear" w:color="auto" w:fill="auto"/>
            <w:noWrap/>
            <w:vAlign w:val="bottom"/>
            <w:hideMark/>
          </w:tcPr>
          <w:p w14:paraId="29A2B153"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11</w:t>
            </w:r>
          </w:p>
        </w:tc>
        <w:tc>
          <w:tcPr>
            <w:tcW w:w="1229" w:type="dxa"/>
            <w:tcBorders>
              <w:top w:val="nil"/>
              <w:left w:val="nil"/>
              <w:bottom w:val="single" w:sz="4" w:space="0" w:color="auto"/>
              <w:right w:val="nil"/>
            </w:tcBorders>
            <w:shd w:val="clear" w:color="auto" w:fill="auto"/>
            <w:noWrap/>
            <w:vAlign w:val="bottom"/>
            <w:hideMark/>
          </w:tcPr>
          <w:p w14:paraId="61797D84"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0CD10BEB" w14:textId="18529498"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64,71</w:t>
            </w:r>
          </w:p>
        </w:tc>
      </w:tr>
      <w:tr w:rsidR="00B64E96" w:rsidRPr="00730B1E" w14:paraId="630F0BF3" w14:textId="77777777" w:rsidTr="003817FB">
        <w:trPr>
          <w:trHeight w:val="315"/>
        </w:trPr>
        <w:tc>
          <w:tcPr>
            <w:tcW w:w="2220" w:type="dxa"/>
            <w:tcBorders>
              <w:top w:val="nil"/>
              <w:left w:val="nil"/>
              <w:bottom w:val="single" w:sz="4" w:space="0" w:color="auto"/>
              <w:right w:val="nil"/>
            </w:tcBorders>
            <w:shd w:val="clear" w:color="auto" w:fill="auto"/>
            <w:noWrap/>
            <w:vAlign w:val="bottom"/>
            <w:hideMark/>
          </w:tcPr>
          <w:p w14:paraId="3583199F"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Hr. Králové</w:t>
            </w:r>
          </w:p>
        </w:tc>
        <w:tc>
          <w:tcPr>
            <w:tcW w:w="851" w:type="dxa"/>
            <w:tcBorders>
              <w:top w:val="nil"/>
              <w:left w:val="nil"/>
              <w:bottom w:val="single" w:sz="4" w:space="0" w:color="auto"/>
              <w:right w:val="nil"/>
            </w:tcBorders>
            <w:shd w:val="clear" w:color="auto" w:fill="auto"/>
            <w:noWrap/>
            <w:vAlign w:val="bottom"/>
            <w:hideMark/>
          </w:tcPr>
          <w:p w14:paraId="017ABC9C"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w:t>
            </w:r>
          </w:p>
        </w:tc>
        <w:tc>
          <w:tcPr>
            <w:tcW w:w="1229" w:type="dxa"/>
            <w:tcBorders>
              <w:top w:val="nil"/>
              <w:left w:val="nil"/>
              <w:bottom w:val="single" w:sz="4" w:space="0" w:color="auto"/>
              <w:right w:val="nil"/>
            </w:tcBorders>
            <w:shd w:val="clear" w:color="auto" w:fill="auto"/>
            <w:noWrap/>
            <w:vAlign w:val="bottom"/>
            <w:hideMark/>
          </w:tcPr>
          <w:p w14:paraId="5CA269F6"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5DC7F289" w14:textId="38749680"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45,45</w:t>
            </w:r>
          </w:p>
        </w:tc>
        <w:tc>
          <w:tcPr>
            <w:tcW w:w="851" w:type="dxa"/>
            <w:tcBorders>
              <w:top w:val="nil"/>
              <w:left w:val="nil"/>
              <w:bottom w:val="single" w:sz="4" w:space="0" w:color="auto"/>
              <w:right w:val="nil"/>
            </w:tcBorders>
            <w:shd w:val="clear" w:color="auto" w:fill="auto"/>
            <w:noWrap/>
            <w:vAlign w:val="bottom"/>
            <w:hideMark/>
          </w:tcPr>
          <w:p w14:paraId="5AB053D9"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w:t>
            </w:r>
          </w:p>
        </w:tc>
        <w:tc>
          <w:tcPr>
            <w:tcW w:w="1229" w:type="dxa"/>
            <w:tcBorders>
              <w:top w:val="nil"/>
              <w:left w:val="nil"/>
              <w:bottom w:val="single" w:sz="4" w:space="0" w:color="auto"/>
              <w:right w:val="nil"/>
            </w:tcBorders>
            <w:shd w:val="clear" w:color="auto" w:fill="auto"/>
            <w:noWrap/>
            <w:vAlign w:val="bottom"/>
            <w:hideMark/>
          </w:tcPr>
          <w:p w14:paraId="398DA31E"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09B79656" w14:textId="044C0AC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70,00</w:t>
            </w:r>
          </w:p>
        </w:tc>
      </w:tr>
      <w:tr w:rsidR="00B64E96" w:rsidRPr="00730B1E" w14:paraId="4D8505CC" w14:textId="77777777" w:rsidTr="003817FB">
        <w:trPr>
          <w:trHeight w:val="315"/>
        </w:trPr>
        <w:tc>
          <w:tcPr>
            <w:tcW w:w="2220" w:type="dxa"/>
            <w:tcBorders>
              <w:top w:val="nil"/>
              <w:left w:val="nil"/>
              <w:bottom w:val="single" w:sz="4" w:space="0" w:color="auto"/>
              <w:right w:val="nil"/>
            </w:tcBorders>
            <w:shd w:val="clear" w:color="auto" w:fill="auto"/>
            <w:noWrap/>
            <w:vAlign w:val="bottom"/>
            <w:hideMark/>
          </w:tcPr>
          <w:p w14:paraId="534A57A5"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Brno</w:t>
            </w:r>
          </w:p>
        </w:tc>
        <w:tc>
          <w:tcPr>
            <w:tcW w:w="851" w:type="dxa"/>
            <w:tcBorders>
              <w:top w:val="nil"/>
              <w:left w:val="nil"/>
              <w:bottom w:val="single" w:sz="4" w:space="0" w:color="auto"/>
              <w:right w:val="nil"/>
            </w:tcBorders>
            <w:shd w:val="clear" w:color="auto" w:fill="auto"/>
            <w:noWrap/>
            <w:vAlign w:val="bottom"/>
            <w:hideMark/>
          </w:tcPr>
          <w:p w14:paraId="66114422"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229" w:type="dxa"/>
            <w:tcBorders>
              <w:top w:val="nil"/>
              <w:left w:val="nil"/>
              <w:bottom w:val="single" w:sz="4" w:space="0" w:color="auto"/>
              <w:right w:val="nil"/>
            </w:tcBorders>
            <w:shd w:val="clear" w:color="auto" w:fill="auto"/>
            <w:noWrap/>
            <w:vAlign w:val="bottom"/>
            <w:hideMark/>
          </w:tcPr>
          <w:p w14:paraId="3F6FBB78"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3C77D2BF" w14:textId="415C8EA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42,86</w:t>
            </w:r>
          </w:p>
        </w:tc>
        <w:tc>
          <w:tcPr>
            <w:tcW w:w="851" w:type="dxa"/>
            <w:tcBorders>
              <w:top w:val="nil"/>
              <w:left w:val="nil"/>
              <w:bottom w:val="single" w:sz="4" w:space="0" w:color="auto"/>
              <w:right w:val="nil"/>
            </w:tcBorders>
            <w:shd w:val="clear" w:color="auto" w:fill="auto"/>
            <w:noWrap/>
            <w:vAlign w:val="bottom"/>
            <w:hideMark/>
          </w:tcPr>
          <w:p w14:paraId="5BDCAF4B"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w:t>
            </w:r>
          </w:p>
        </w:tc>
        <w:tc>
          <w:tcPr>
            <w:tcW w:w="1229" w:type="dxa"/>
            <w:tcBorders>
              <w:top w:val="nil"/>
              <w:left w:val="nil"/>
              <w:bottom w:val="single" w:sz="4" w:space="0" w:color="auto"/>
              <w:right w:val="nil"/>
            </w:tcBorders>
            <w:shd w:val="clear" w:color="auto" w:fill="auto"/>
            <w:noWrap/>
            <w:vAlign w:val="bottom"/>
            <w:hideMark/>
          </w:tcPr>
          <w:p w14:paraId="3C3DBC25"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2767A080" w14:textId="316496BA"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38,46</w:t>
            </w:r>
          </w:p>
        </w:tc>
      </w:tr>
      <w:tr w:rsidR="00B64E96" w:rsidRPr="00730B1E" w14:paraId="2BAA00A0" w14:textId="77777777" w:rsidTr="003817FB">
        <w:trPr>
          <w:trHeight w:val="330"/>
        </w:trPr>
        <w:tc>
          <w:tcPr>
            <w:tcW w:w="2220" w:type="dxa"/>
            <w:tcBorders>
              <w:top w:val="nil"/>
              <w:left w:val="nil"/>
              <w:bottom w:val="double" w:sz="6" w:space="0" w:color="auto"/>
              <w:right w:val="nil"/>
            </w:tcBorders>
            <w:shd w:val="clear" w:color="auto" w:fill="auto"/>
            <w:noWrap/>
            <w:vAlign w:val="bottom"/>
            <w:hideMark/>
          </w:tcPr>
          <w:p w14:paraId="033C3EE7" w14:textId="77777777" w:rsidR="003817FB" w:rsidRPr="00730B1E" w:rsidRDefault="003817FB" w:rsidP="003817FB">
            <w:pPr>
              <w:spacing w:line="240" w:lineRule="auto"/>
              <w:jc w:val="left"/>
              <w:rPr>
                <w:rFonts w:eastAsia="Times New Roman"/>
                <w:szCs w:val="24"/>
                <w:lang w:eastAsia="cs-CZ"/>
              </w:rPr>
            </w:pPr>
            <w:r w:rsidRPr="00730B1E">
              <w:rPr>
                <w:rFonts w:eastAsia="Times New Roman"/>
                <w:szCs w:val="24"/>
                <w:lang w:eastAsia="cs-CZ"/>
              </w:rPr>
              <w:t>KS Ostrava</w:t>
            </w:r>
          </w:p>
        </w:tc>
        <w:tc>
          <w:tcPr>
            <w:tcW w:w="851" w:type="dxa"/>
            <w:tcBorders>
              <w:top w:val="nil"/>
              <w:left w:val="nil"/>
              <w:bottom w:val="nil"/>
              <w:right w:val="nil"/>
            </w:tcBorders>
            <w:shd w:val="clear" w:color="auto" w:fill="auto"/>
            <w:noWrap/>
            <w:vAlign w:val="bottom"/>
            <w:hideMark/>
          </w:tcPr>
          <w:p w14:paraId="3945C496"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w:t>
            </w:r>
          </w:p>
        </w:tc>
        <w:tc>
          <w:tcPr>
            <w:tcW w:w="1229" w:type="dxa"/>
            <w:tcBorders>
              <w:top w:val="nil"/>
              <w:left w:val="nil"/>
              <w:bottom w:val="nil"/>
              <w:right w:val="nil"/>
            </w:tcBorders>
            <w:shd w:val="clear" w:color="auto" w:fill="auto"/>
            <w:noWrap/>
            <w:vAlign w:val="bottom"/>
            <w:hideMark/>
          </w:tcPr>
          <w:p w14:paraId="44938FD4"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6</w:t>
            </w:r>
          </w:p>
        </w:tc>
        <w:tc>
          <w:tcPr>
            <w:tcW w:w="1040" w:type="dxa"/>
            <w:tcBorders>
              <w:top w:val="nil"/>
              <w:left w:val="nil"/>
              <w:bottom w:val="nil"/>
              <w:right w:val="nil"/>
            </w:tcBorders>
            <w:shd w:val="clear" w:color="auto" w:fill="auto"/>
            <w:noWrap/>
            <w:vAlign w:val="bottom"/>
            <w:hideMark/>
          </w:tcPr>
          <w:p w14:paraId="6C01809E" w14:textId="74A8FBC5"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45,45</w:t>
            </w:r>
          </w:p>
        </w:tc>
        <w:tc>
          <w:tcPr>
            <w:tcW w:w="851" w:type="dxa"/>
            <w:tcBorders>
              <w:top w:val="nil"/>
              <w:left w:val="nil"/>
              <w:bottom w:val="nil"/>
              <w:right w:val="nil"/>
            </w:tcBorders>
            <w:shd w:val="clear" w:color="auto" w:fill="auto"/>
            <w:noWrap/>
            <w:vAlign w:val="bottom"/>
            <w:hideMark/>
          </w:tcPr>
          <w:p w14:paraId="10B02DFB"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11</w:t>
            </w:r>
          </w:p>
        </w:tc>
        <w:tc>
          <w:tcPr>
            <w:tcW w:w="1229" w:type="dxa"/>
            <w:tcBorders>
              <w:top w:val="nil"/>
              <w:left w:val="nil"/>
              <w:bottom w:val="nil"/>
              <w:right w:val="nil"/>
            </w:tcBorders>
            <w:shd w:val="clear" w:color="auto" w:fill="auto"/>
            <w:noWrap/>
            <w:vAlign w:val="bottom"/>
            <w:hideMark/>
          </w:tcPr>
          <w:p w14:paraId="51E09DF8" w14:textId="77777777"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9</w:t>
            </w:r>
          </w:p>
        </w:tc>
        <w:tc>
          <w:tcPr>
            <w:tcW w:w="1040" w:type="dxa"/>
            <w:tcBorders>
              <w:top w:val="nil"/>
              <w:left w:val="nil"/>
              <w:bottom w:val="nil"/>
              <w:right w:val="nil"/>
            </w:tcBorders>
            <w:shd w:val="clear" w:color="auto" w:fill="auto"/>
            <w:noWrap/>
            <w:vAlign w:val="bottom"/>
            <w:hideMark/>
          </w:tcPr>
          <w:p w14:paraId="31191E3E" w14:textId="6462E8D5" w:rsidR="003817FB" w:rsidRPr="00730B1E" w:rsidRDefault="003817FB" w:rsidP="003817FB">
            <w:pPr>
              <w:spacing w:line="240" w:lineRule="auto"/>
              <w:jc w:val="center"/>
              <w:rPr>
                <w:rFonts w:eastAsia="Times New Roman"/>
                <w:szCs w:val="24"/>
                <w:lang w:eastAsia="cs-CZ"/>
              </w:rPr>
            </w:pPr>
            <w:r w:rsidRPr="00730B1E">
              <w:rPr>
                <w:rFonts w:eastAsia="Times New Roman"/>
                <w:szCs w:val="24"/>
                <w:lang w:eastAsia="cs-CZ"/>
              </w:rPr>
              <w:t>55,00</w:t>
            </w:r>
          </w:p>
        </w:tc>
      </w:tr>
      <w:tr w:rsidR="00B64E96" w:rsidRPr="00730B1E" w14:paraId="5AE20F32" w14:textId="77777777" w:rsidTr="003817FB">
        <w:trPr>
          <w:trHeight w:val="345"/>
        </w:trPr>
        <w:tc>
          <w:tcPr>
            <w:tcW w:w="2220" w:type="dxa"/>
            <w:tcBorders>
              <w:top w:val="nil"/>
              <w:left w:val="nil"/>
              <w:bottom w:val="double" w:sz="6" w:space="0" w:color="auto"/>
              <w:right w:val="nil"/>
            </w:tcBorders>
            <w:shd w:val="clear" w:color="auto" w:fill="auto"/>
            <w:noWrap/>
            <w:vAlign w:val="bottom"/>
            <w:hideMark/>
          </w:tcPr>
          <w:p w14:paraId="33E6B445" w14:textId="77777777" w:rsidR="003817FB" w:rsidRPr="00730B1E" w:rsidRDefault="003817FB" w:rsidP="003817FB">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851" w:type="dxa"/>
            <w:tcBorders>
              <w:top w:val="double" w:sz="6" w:space="0" w:color="auto"/>
              <w:left w:val="nil"/>
              <w:bottom w:val="double" w:sz="6" w:space="0" w:color="auto"/>
              <w:right w:val="nil"/>
            </w:tcBorders>
            <w:shd w:val="clear" w:color="auto" w:fill="auto"/>
            <w:noWrap/>
            <w:vAlign w:val="bottom"/>
            <w:hideMark/>
          </w:tcPr>
          <w:p w14:paraId="349E931C"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45</w:t>
            </w:r>
          </w:p>
        </w:tc>
        <w:tc>
          <w:tcPr>
            <w:tcW w:w="1229" w:type="dxa"/>
            <w:tcBorders>
              <w:top w:val="double" w:sz="6" w:space="0" w:color="auto"/>
              <w:left w:val="nil"/>
              <w:bottom w:val="double" w:sz="6" w:space="0" w:color="auto"/>
              <w:right w:val="nil"/>
            </w:tcBorders>
            <w:shd w:val="clear" w:color="auto" w:fill="auto"/>
            <w:noWrap/>
            <w:vAlign w:val="bottom"/>
            <w:hideMark/>
          </w:tcPr>
          <w:p w14:paraId="427E5D0F"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41</w:t>
            </w:r>
          </w:p>
        </w:tc>
        <w:tc>
          <w:tcPr>
            <w:tcW w:w="1040" w:type="dxa"/>
            <w:tcBorders>
              <w:top w:val="double" w:sz="6" w:space="0" w:color="auto"/>
              <w:left w:val="nil"/>
              <w:bottom w:val="double" w:sz="6" w:space="0" w:color="auto"/>
              <w:right w:val="nil"/>
            </w:tcBorders>
            <w:shd w:val="clear" w:color="auto" w:fill="auto"/>
            <w:noWrap/>
            <w:vAlign w:val="bottom"/>
            <w:hideMark/>
          </w:tcPr>
          <w:p w14:paraId="04C4D1A8" w14:textId="142CCDF8"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52,33</w:t>
            </w:r>
          </w:p>
        </w:tc>
        <w:tc>
          <w:tcPr>
            <w:tcW w:w="851" w:type="dxa"/>
            <w:tcBorders>
              <w:top w:val="double" w:sz="6" w:space="0" w:color="auto"/>
              <w:left w:val="nil"/>
              <w:bottom w:val="double" w:sz="6" w:space="0" w:color="auto"/>
              <w:right w:val="nil"/>
            </w:tcBorders>
            <w:shd w:val="clear" w:color="auto" w:fill="auto"/>
            <w:noWrap/>
            <w:vAlign w:val="bottom"/>
            <w:hideMark/>
          </w:tcPr>
          <w:p w14:paraId="0DABDF45"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68</w:t>
            </w:r>
          </w:p>
        </w:tc>
        <w:tc>
          <w:tcPr>
            <w:tcW w:w="1229" w:type="dxa"/>
            <w:tcBorders>
              <w:top w:val="double" w:sz="6" w:space="0" w:color="auto"/>
              <w:left w:val="nil"/>
              <w:bottom w:val="double" w:sz="6" w:space="0" w:color="auto"/>
              <w:right w:val="nil"/>
            </w:tcBorders>
            <w:shd w:val="clear" w:color="auto" w:fill="auto"/>
            <w:noWrap/>
            <w:vAlign w:val="bottom"/>
            <w:hideMark/>
          </w:tcPr>
          <w:p w14:paraId="15A10740" w14:textId="77777777"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45</w:t>
            </w:r>
          </w:p>
        </w:tc>
        <w:tc>
          <w:tcPr>
            <w:tcW w:w="1040" w:type="dxa"/>
            <w:tcBorders>
              <w:top w:val="double" w:sz="6" w:space="0" w:color="auto"/>
              <w:left w:val="nil"/>
              <w:bottom w:val="double" w:sz="6" w:space="0" w:color="auto"/>
              <w:right w:val="nil"/>
            </w:tcBorders>
            <w:shd w:val="clear" w:color="auto" w:fill="auto"/>
            <w:noWrap/>
            <w:vAlign w:val="bottom"/>
            <w:hideMark/>
          </w:tcPr>
          <w:p w14:paraId="5D9FEA08" w14:textId="4051D3B0" w:rsidR="003817FB" w:rsidRPr="00730B1E" w:rsidRDefault="003817FB" w:rsidP="003817FB">
            <w:pPr>
              <w:spacing w:line="240" w:lineRule="auto"/>
              <w:jc w:val="center"/>
              <w:rPr>
                <w:rFonts w:eastAsia="Times New Roman"/>
                <w:b/>
                <w:bCs/>
                <w:szCs w:val="24"/>
                <w:lang w:eastAsia="cs-CZ"/>
              </w:rPr>
            </w:pPr>
            <w:r w:rsidRPr="00730B1E">
              <w:rPr>
                <w:rFonts w:eastAsia="Times New Roman"/>
                <w:b/>
                <w:bCs/>
                <w:szCs w:val="24"/>
                <w:lang w:eastAsia="cs-CZ"/>
              </w:rPr>
              <w:t>60,18</w:t>
            </w:r>
          </w:p>
        </w:tc>
      </w:tr>
      <w:tr w:rsidR="00B64E96" w:rsidRPr="00730B1E" w14:paraId="263B957C" w14:textId="77777777" w:rsidTr="003817FB">
        <w:trPr>
          <w:trHeight w:val="330"/>
        </w:trPr>
        <w:tc>
          <w:tcPr>
            <w:tcW w:w="2220" w:type="dxa"/>
            <w:tcBorders>
              <w:top w:val="nil"/>
              <w:left w:val="nil"/>
              <w:bottom w:val="nil"/>
              <w:right w:val="nil"/>
            </w:tcBorders>
            <w:shd w:val="clear" w:color="auto" w:fill="auto"/>
            <w:noWrap/>
            <w:vAlign w:val="bottom"/>
            <w:hideMark/>
          </w:tcPr>
          <w:p w14:paraId="2D6DC649" w14:textId="77777777" w:rsidR="003817FB" w:rsidRPr="00730B1E" w:rsidRDefault="003817FB" w:rsidP="003817FB">
            <w:pPr>
              <w:spacing w:line="240" w:lineRule="auto"/>
              <w:jc w:val="center"/>
              <w:rPr>
                <w:rFonts w:eastAsia="Times New Roman"/>
                <w:b/>
                <w:bCs/>
                <w:szCs w:val="24"/>
                <w:lang w:eastAsia="cs-CZ"/>
              </w:rPr>
            </w:pPr>
          </w:p>
        </w:tc>
        <w:tc>
          <w:tcPr>
            <w:tcW w:w="851" w:type="dxa"/>
            <w:tcBorders>
              <w:top w:val="nil"/>
              <w:left w:val="nil"/>
              <w:bottom w:val="nil"/>
              <w:right w:val="nil"/>
            </w:tcBorders>
            <w:shd w:val="clear" w:color="auto" w:fill="auto"/>
            <w:noWrap/>
            <w:vAlign w:val="bottom"/>
            <w:hideMark/>
          </w:tcPr>
          <w:p w14:paraId="675C9F2E" w14:textId="77777777" w:rsidR="003817FB" w:rsidRPr="00DF07F3" w:rsidRDefault="003817FB" w:rsidP="003817FB">
            <w:pPr>
              <w:spacing w:line="240" w:lineRule="auto"/>
              <w:jc w:val="left"/>
              <w:rPr>
                <w:sz w:val="20"/>
              </w:rPr>
            </w:pPr>
          </w:p>
        </w:tc>
        <w:tc>
          <w:tcPr>
            <w:tcW w:w="1229" w:type="dxa"/>
            <w:tcBorders>
              <w:top w:val="nil"/>
              <w:left w:val="nil"/>
              <w:bottom w:val="nil"/>
              <w:right w:val="nil"/>
            </w:tcBorders>
            <w:shd w:val="clear" w:color="auto" w:fill="auto"/>
            <w:noWrap/>
            <w:vAlign w:val="bottom"/>
            <w:hideMark/>
          </w:tcPr>
          <w:p w14:paraId="67539E8C" w14:textId="77777777" w:rsidR="003817FB" w:rsidRPr="00DF07F3" w:rsidRDefault="003817FB" w:rsidP="003817FB">
            <w:pPr>
              <w:spacing w:line="240" w:lineRule="auto"/>
              <w:jc w:val="left"/>
              <w:rPr>
                <w:sz w:val="20"/>
              </w:rPr>
            </w:pPr>
          </w:p>
        </w:tc>
        <w:tc>
          <w:tcPr>
            <w:tcW w:w="1040" w:type="dxa"/>
            <w:tcBorders>
              <w:top w:val="nil"/>
              <w:left w:val="nil"/>
              <w:bottom w:val="nil"/>
              <w:right w:val="nil"/>
            </w:tcBorders>
            <w:shd w:val="clear" w:color="auto" w:fill="auto"/>
            <w:noWrap/>
            <w:vAlign w:val="bottom"/>
            <w:hideMark/>
          </w:tcPr>
          <w:p w14:paraId="0DF63DD9" w14:textId="77777777" w:rsidR="003817FB" w:rsidRPr="00DF07F3" w:rsidRDefault="003817FB" w:rsidP="003817FB">
            <w:pPr>
              <w:spacing w:line="240" w:lineRule="auto"/>
              <w:jc w:val="left"/>
              <w:rPr>
                <w:sz w:val="20"/>
              </w:rPr>
            </w:pPr>
          </w:p>
        </w:tc>
        <w:tc>
          <w:tcPr>
            <w:tcW w:w="851" w:type="dxa"/>
            <w:tcBorders>
              <w:top w:val="nil"/>
              <w:left w:val="nil"/>
              <w:bottom w:val="nil"/>
              <w:right w:val="nil"/>
            </w:tcBorders>
            <w:shd w:val="clear" w:color="auto" w:fill="auto"/>
            <w:noWrap/>
            <w:vAlign w:val="bottom"/>
            <w:hideMark/>
          </w:tcPr>
          <w:p w14:paraId="3AAF7145" w14:textId="77777777" w:rsidR="003817FB" w:rsidRPr="00DF07F3" w:rsidRDefault="003817FB" w:rsidP="003817FB">
            <w:pPr>
              <w:spacing w:line="240" w:lineRule="auto"/>
              <w:jc w:val="left"/>
              <w:rPr>
                <w:sz w:val="20"/>
              </w:rPr>
            </w:pPr>
          </w:p>
        </w:tc>
        <w:tc>
          <w:tcPr>
            <w:tcW w:w="1229" w:type="dxa"/>
            <w:tcBorders>
              <w:top w:val="nil"/>
              <w:left w:val="nil"/>
              <w:bottom w:val="nil"/>
              <w:right w:val="nil"/>
            </w:tcBorders>
            <w:shd w:val="clear" w:color="auto" w:fill="auto"/>
            <w:noWrap/>
            <w:vAlign w:val="bottom"/>
            <w:hideMark/>
          </w:tcPr>
          <w:p w14:paraId="779929D2" w14:textId="77777777" w:rsidR="003817FB" w:rsidRPr="00DF07F3" w:rsidRDefault="003817FB" w:rsidP="003817FB">
            <w:pPr>
              <w:spacing w:line="240" w:lineRule="auto"/>
              <w:jc w:val="left"/>
              <w:rPr>
                <w:sz w:val="20"/>
              </w:rPr>
            </w:pPr>
          </w:p>
        </w:tc>
        <w:tc>
          <w:tcPr>
            <w:tcW w:w="1040" w:type="dxa"/>
            <w:tcBorders>
              <w:top w:val="nil"/>
              <w:left w:val="nil"/>
              <w:bottom w:val="nil"/>
              <w:right w:val="nil"/>
            </w:tcBorders>
            <w:shd w:val="clear" w:color="auto" w:fill="auto"/>
            <w:noWrap/>
            <w:vAlign w:val="bottom"/>
            <w:hideMark/>
          </w:tcPr>
          <w:p w14:paraId="49E6619D" w14:textId="77777777" w:rsidR="003817FB" w:rsidRPr="00DF07F3" w:rsidRDefault="003817FB" w:rsidP="003817FB">
            <w:pPr>
              <w:spacing w:line="240" w:lineRule="auto"/>
              <w:jc w:val="left"/>
              <w:rPr>
                <w:sz w:val="20"/>
              </w:rPr>
            </w:pPr>
          </w:p>
        </w:tc>
      </w:tr>
    </w:tbl>
    <w:p w14:paraId="1DC9C7CA" w14:textId="0EEA035C" w:rsidR="003817FB" w:rsidRPr="00730B1E" w:rsidRDefault="003817FB" w:rsidP="003817FB">
      <w:pPr>
        <w:pStyle w:val="OdstavecASR"/>
      </w:pPr>
      <w:r w:rsidRPr="00730B1E">
        <w:t>Na vysvětlenou je třeba uvést, že součet počtu předsedů a předsedkyň nemusí být roven počtu okresních soudů (86), protože ne všude je funkce předsedy obsazená. Z tabulky můžeme vyčíst, že počet žen a mužů na místech předsedů a místopředsedů je vyrovnanější, než je tomu u celkového počtu soudců</w:t>
      </w:r>
      <w:r w:rsidR="00127FFC" w:rsidRPr="00730B1E">
        <w:t xml:space="preserve"> – ženy zastávají mírnou většinu předsednických funkcí a přibližně 60</w:t>
      </w:r>
      <w:r w:rsidR="00177105" w:rsidRPr="00730B1E">
        <w:t xml:space="preserve"> </w:t>
      </w:r>
      <w:r w:rsidR="00127FFC" w:rsidRPr="00730B1E">
        <w:t>% funkcí místopředsednických</w:t>
      </w:r>
      <w:r w:rsidRPr="00730B1E">
        <w:t xml:space="preserve">. </w:t>
      </w:r>
    </w:p>
    <w:p w14:paraId="03E7C616" w14:textId="73185777" w:rsidR="003817FB" w:rsidRPr="00730B1E" w:rsidRDefault="003817FB" w:rsidP="003817FB">
      <w:pPr>
        <w:pStyle w:val="OdstavecASR"/>
      </w:pPr>
      <w:r w:rsidRPr="00730B1E">
        <w:t>Dalším sledovaným ukazatelem je věková struktura soudců. Na grafu níže vidíme její vývoj v letech 2008 až 2023. Na rozdíl od přechozích dat zde pracujeme s evidenčním počtem soudců</w:t>
      </w:r>
      <w:r w:rsidR="00127FFC" w:rsidRPr="00730B1E">
        <w:t>, protože data o skutečných počtech nerozlišují věk soudců</w:t>
      </w:r>
      <w:r w:rsidR="005010D0" w:rsidRPr="00730B1E">
        <w:t>. V dalším grafu je pak věkové složení soudců v jednotlivých krajích.</w:t>
      </w:r>
    </w:p>
    <w:p w14:paraId="6DA6DA6F" w14:textId="10165C8E" w:rsidR="003817FB" w:rsidRPr="00730B1E" w:rsidRDefault="003817FB" w:rsidP="003817FB">
      <w:pPr>
        <w:pStyle w:val="Podnadpis"/>
        <w:rPr>
          <w:color w:val="auto"/>
        </w:rPr>
      </w:pPr>
      <w:bookmarkStart w:id="90" w:name="_Toc11135066"/>
      <w:bookmarkStart w:id="91" w:name="_Toc43841385"/>
      <w:bookmarkStart w:id="92" w:name="_Toc75952185"/>
      <w:bookmarkStart w:id="93" w:name="_Toc106106639"/>
      <w:bookmarkStart w:id="94" w:name="_Toc144104117"/>
      <w:bookmarkStart w:id="95" w:name="_Toc169250924"/>
      <w:bookmarkStart w:id="96" w:name="_Toc17408061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w:t>
      </w:r>
      <w:r w:rsidRPr="00730B1E">
        <w:rPr>
          <w:color w:val="auto"/>
        </w:rPr>
        <w:fldChar w:fldCharType="end"/>
      </w:r>
      <w:r w:rsidRPr="00730B1E">
        <w:rPr>
          <w:color w:val="auto"/>
        </w:rPr>
        <w:t>: OS – věková struktura soudců v letech 2008–20</w:t>
      </w:r>
      <w:bookmarkEnd w:id="90"/>
      <w:bookmarkEnd w:id="91"/>
      <w:r w:rsidRPr="00730B1E">
        <w:rPr>
          <w:color w:val="auto"/>
        </w:rPr>
        <w:t>2</w:t>
      </w:r>
      <w:bookmarkEnd w:id="92"/>
      <w:bookmarkEnd w:id="93"/>
      <w:bookmarkEnd w:id="94"/>
      <w:r w:rsidRPr="00730B1E">
        <w:rPr>
          <w:color w:val="auto"/>
        </w:rPr>
        <w:t>3</w:t>
      </w:r>
      <w:bookmarkEnd w:id="95"/>
      <w:bookmarkEnd w:id="96"/>
    </w:p>
    <w:p w14:paraId="1B5F0733" w14:textId="0D12ECFE" w:rsidR="003817FB" w:rsidRPr="00730B1E" w:rsidRDefault="00787876" w:rsidP="003817FB">
      <w:r w:rsidRPr="00730B1E">
        <w:rPr>
          <w:noProof/>
          <w:lang w:eastAsia="cs-CZ"/>
        </w:rPr>
        <w:drawing>
          <wp:inline distT="0" distB="0" distL="0" distR="0" wp14:anchorId="2A1A7809" wp14:editId="547BA7BE">
            <wp:extent cx="5029200" cy="3657600"/>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90CFDCD" w14:textId="77777777" w:rsidR="00E9078D" w:rsidRPr="00730B1E" w:rsidRDefault="00E9078D" w:rsidP="00E9078D"/>
    <w:p w14:paraId="0766CAF6" w14:textId="5B811817" w:rsidR="00690AF6" w:rsidRPr="00730B1E" w:rsidRDefault="00690AF6" w:rsidP="00690AF6">
      <w:pPr>
        <w:pStyle w:val="Podnadpis"/>
        <w:rPr>
          <w:color w:val="auto"/>
        </w:rPr>
      </w:pPr>
      <w:bookmarkStart w:id="97" w:name="_Toc515871438"/>
      <w:bookmarkStart w:id="98" w:name="_Toc11133206"/>
      <w:bookmarkStart w:id="99" w:name="_Toc43931177"/>
      <w:bookmarkStart w:id="100" w:name="_Toc75952307"/>
      <w:bookmarkStart w:id="101" w:name="_Toc106106766"/>
      <w:bookmarkStart w:id="102" w:name="_Toc144104243"/>
      <w:bookmarkStart w:id="103" w:name="_Toc169250925"/>
      <w:bookmarkStart w:id="104" w:name="_Toc174080611"/>
      <w:r w:rsidRPr="00730B1E">
        <w:rPr>
          <w:color w:val="auto"/>
        </w:rPr>
        <w:lastRenderedPageBreak/>
        <w:t>Gr</w:t>
      </w:r>
      <w:r w:rsidR="005010D0" w:rsidRPr="00730B1E">
        <w:rPr>
          <w:color w:val="auto"/>
        </w:rPr>
        <w:t>a</w:t>
      </w:r>
      <w:r w:rsidRPr="00730B1E">
        <w:rPr>
          <w:color w:val="auto"/>
        </w:rPr>
        <w:t xml:space="preserve">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w:t>
      </w:r>
      <w:r w:rsidRPr="00730B1E">
        <w:rPr>
          <w:color w:val="auto"/>
        </w:rPr>
        <w:fldChar w:fldCharType="end"/>
      </w:r>
      <w:r w:rsidRPr="00730B1E">
        <w:rPr>
          <w:color w:val="auto"/>
        </w:rPr>
        <w:t xml:space="preserve">: OS – věková struktura soudců dle </w:t>
      </w:r>
      <w:bookmarkEnd w:id="97"/>
      <w:bookmarkEnd w:id="98"/>
      <w:bookmarkEnd w:id="99"/>
      <w:bookmarkEnd w:id="100"/>
      <w:bookmarkEnd w:id="101"/>
      <w:bookmarkEnd w:id="102"/>
      <w:r w:rsidR="005010D0" w:rsidRPr="00730B1E">
        <w:rPr>
          <w:color w:val="auto"/>
        </w:rPr>
        <w:t>nadřízených soudů</w:t>
      </w:r>
      <w:r w:rsidR="00EF4786" w:rsidRPr="00730B1E">
        <w:rPr>
          <w:color w:val="auto"/>
        </w:rPr>
        <w:t xml:space="preserve"> v %, 2023</w:t>
      </w:r>
      <w:bookmarkEnd w:id="103"/>
      <w:bookmarkEnd w:id="104"/>
    </w:p>
    <w:p w14:paraId="461FFB09" w14:textId="000DF741" w:rsidR="00690AF6" w:rsidRPr="00730B1E" w:rsidRDefault="00787876" w:rsidP="00E9078D">
      <w:r w:rsidRPr="00730B1E">
        <w:rPr>
          <w:noProof/>
          <w:lang w:eastAsia="cs-CZ"/>
        </w:rPr>
        <w:drawing>
          <wp:inline distT="0" distB="0" distL="0" distR="0" wp14:anchorId="32504296" wp14:editId="111F7D13">
            <wp:extent cx="5029200" cy="3657600"/>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565851A" w14:textId="77777777" w:rsidR="005010D0" w:rsidRPr="00730B1E" w:rsidRDefault="005010D0" w:rsidP="00E9078D"/>
    <w:p w14:paraId="06797ACA" w14:textId="4DF5F8E8" w:rsidR="005010D0" w:rsidRPr="00730B1E" w:rsidRDefault="00E01598" w:rsidP="005010D0">
      <w:pPr>
        <w:pStyle w:val="OdstavecASR"/>
      </w:pPr>
      <w:r w:rsidRPr="00730B1E">
        <w:t>Z</w:t>
      </w:r>
      <w:r w:rsidR="00F11F31" w:rsidRPr="00730B1E">
        <w:t> </w:t>
      </w:r>
      <w:r w:rsidR="005010D0" w:rsidRPr="00730B1E">
        <w:t>grafu</w:t>
      </w:r>
      <w:r w:rsidR="00F11F31" w:rsidRPr="00730B1E">
        <w:t xml:space="preserve"> 5</w:t>
      </w:r>
      <w:r w:rsidR="005010D0" w:rsidRPr="00730B1E">
        <w:t xml:space="preserve"> </w:t>
      </w:r>
      <w:r w:rsidR="00127FFC" w:rsidRPr="00730B1E">
        <w:t xml:space="preserve">je </w:t>
      </w:r>
      <w:r w:rsidR="005010D0" w:rsidRPr="00730B1E">
        <w:t>patrn</w:t>
      </w:r>
      <w:r w:rsidRPr="00730B1E">
        <w:t>é</w:t>
      </w:r>
      <w:r w:rsidR="005010D0" w:rsidRPr="00730B1E">
        <w:t xml:space="preserve"> pokračující trend</w:t>
      </w:r>
      <w:r w:rsidR="00F11F31" w:rsidRPr="00730B1E">
        <w:t xml:space="preserve">, </w:t>
      </w:r>
      <w:r w:rsidRPr="00730B1E">
        <w:t>že do roku 2021 docházelo ke zvyšování průměrného</w:t>
      </w:r>
      <w:r w:rsidR="005010D0" w:rsidRPr="00730B1E">
        <w:t xml:space="preserve"> </w:t>
      </w:r>
      <w:r w:rsidRPr="00730B1E">
        <w:t xml:space="preserve">věku </w:t>
      </w:r>
      <w:r w:rsidR="005010D0" w:rsidRPr="00730B1E">
        <w:t>soudc</w:t>
      </w:r>
      <w:r w:rsidR="00127FFC" w:rsidRPr="00730B1E">
        <w:t>ů</w:t>
      </w:r>
      <w:r w:rsidR="005010D0" w:rsidRPr="00730B1E">
        <w:t xml:space="preserve"> okresních soudů v ČR. Především soudci z věkové kategorie 30 až 40 let se postupně přesunuli do věkové kategorie 41 až 50 let, přičemž po jednorázovém masivním porevolučním doplnění okresních soudů v roce 1992 již nejsou okresní (ale ani krajské) soudy ve stejné míře doplňovány novými mladými soudci a soudkyněmi. </w:t>
      </w:r>
      <w:r w:rsidRPr="00730B1E">
        <w:t>V</w:t>
      </w:r>
      <w:r w:rsidR="005010D0" w:rsidRPr="00730B1E">
        <w:t xml:space="preserve"> roce 2021 </w:t>
      </w:r>
      <w:r w:rsidRPr="00730B1E">
        <w:t>tak</w:t>
      </w:r>
      <w:r w:rsidR="005010D0" w:rsidRPr="00730B1E">
        <w:t xml:space="preserve"> bylo u OS 416 soudců a soudkyň v kategorii 30 až 40 let oproti 913 v roce 2008, což znamená pokles na méně než polovinu (obdobně je tomu u KS).</w:t>
      </w:r>
      <w:r w:rsidRPr="00730B1E">
        <w:t xml:space="preserve"> V roce 2022 se trend prakticky zastavil. V roce 2023 pak očividně došlo ke jmenování skupiny mladých soudců ve věku 30 až 40 let a vývoj se tedy dočasně obrátil proti předcházejícímu trendu.</w:t>
      </w:r>
    </w:p>
    <w:p w14:paraId="3483A089" w14:textId="55D387F7" w:rsidR="00F312AD" w:rsidRPr="00730B1E" w:rsidRDefault="00F312AD" w:rsidP="00C77185">
      <w:pPr>
        <w:pStyle w:val="OdstavecASR"/>
      </w:pPr>
      <w:r w:rsidRPr="00730B1E">
        <w:t>Data v grafu 6 jsou k 1. 1. 2023 a </w:t>
      </w:r>
      <w:r w:rsidR="00E01598" w:rsidRPr="00730B1E">
        <w:t>ukazují</w:t>
      </w:r>
      <w:r w:rsidRPr="00730B1E">
        <w:t xml:space="preserve">, že </w:t>
      </w:r>
      <w:r w:rsidR="00E01598" w:rsidRPr="00730B1E">
        <w:t>se</w:t>
      </w:r>
      <w:r w:rsidRPr="00730B1E">
        <w:t xml:space="preserve"> věkové složení soudců liší mezi jednotlivými kraji. </w:t>
      </w:r>
      <w:r w:rsidR="00CE1E49">
        <w:t>N</w:t>
      </w:r>
      <w:r w:rsidRPr="00730B1E">
        <w:t xml:space="preserve">ejmladší </w:t>
      </w:r>
      <w:r w:rsidR="00E01598" w:rsidRPr="00730B1E">
        <w:t>jsou</w:t>
      </w:r>
      <w:r w:rsidRPr="00730B1E">
        <w:t xml:space="preserve"> soudci ve Středočeském kraji</w:t>
      </w:r>
      <w:r w:rsidR="00A90A6B" w:rsidRPr="00730B1E">
        <w:t>.</w:t>
      </w:r>
      <w:r w:rsidRPr="00730B1E">
        <w:t xml:space="preserve"> Naopak v průměru nejstarší se zdají být soudci v Jihomoravském kraji. </w:t>
      </w:r>
    </w:p>
    <w:p w14:paraId="6DEF61F2" w14:textId="77777777" w:rsidR="005010D0" w:rsidRPr="00730B1E" w:rsidRDefault="005010D0" w:rsidP="00E9078D"/>
    <w:p w14:paraId="7036460E" w14:textId="047DD426" w:rsidR="008430BD" w:rsidRPr="00730B1E" w:rsidRDefault="008430BD" w:rsidP="008430BD">
      <w:pPr>
        <w:pStyle w:val="Nadpis3"/>
        <w:numPr>
          <w:ilvl w:val="2"/>
          <w:numId w:val="1"/>
        </w:numPr>
        <w:rPr>
          <w:color w:val="auto"/>
        </w:rPr>
      </w:pPr>
      <w:bookmarkStart w:id="105" w:name="_Ref165903038"/>
      <w:bookmarkStart w:id="106" w:name="_Toc169250799"/>
      <w:bookmarkStart w:id="107" w:name="_Toc174080835"/>
      <w:r w:rsidRPr="00730B1E">
        <w:rPr>
          <w:color w:val="auto"/>
        </w:rPr>
        <w:t>Zaměstnanci ve výkonu</w:t>
      </w:r>
      <w:bookmarkEnd w:id="44"/>
      <w:r w:rsidRPr="00730B1E">
        <w:rPr>
          <w:color w:val="auto"/>
        </w:rPr>
        <w:t xml:space="preserve"> </w:t>
      </w:r>
      <w:r w:rsidR="001B5E6A" w:rsidRPr="00730B1E">
        <w:rPr>
          <w:color w:val="auto"/>
        </w:rPr>
        <w:t>a </w:t>
      </w:r>
      <w:r w:rsidRPr="00730B1E">
        <w:rPr>
          <w:color w:val="auto"/>
        </w:rPr>
        <w:t>ve správě</w:t>
      </w:r>
      <w:bookmarkEnd w:id="45"/>
      <w:bookmarkEnd w:id="46"/>
      <w:bookmarkEnd w:id="105"/>
      <w:bookmarkEnd w:id="106"/>
      <w:bookmarkEnd w:id="107"/>
    </w:p>
    <w:p w14:paraId="62FE13B2" w14:textId="624BEDBF" w:rsidR="00F312AD" w:rsidRPr="00730B1E" w:rsidRDefault="00F312AD" w:rsidP="00F312AD">
      <w:pPr>
        <w:pStyle w:val="OdstavecASR"/>
      </w:pPr>
      <w:r w:rsidRPr="00730B1E">
        <w:t>Vzhledem k většímu počtu kategorií zaměstnanců ve výkonu uvádíme pro zachování přehlednosti v tabulce níže pouze jejich počty k 1. 1. 2023, a to po krajích a pouze pro vybrané kategorie.</w:t>
      </w:r>
    </w:p>
    <w:p w14:paraId="51C3A997" w14:textId="55AFEB0B" w:rsidR="00D505DC" w:rsidRPr="00730B1E" w:rsidRDefault="00D505DC">
      <w:pPr>
        <w:spacing w:after="160" w:line="259" w:lineRule="auto"/>
        <w:jc w:val="left"/>
      </w:pPr>
      <w:r w:rsidRPr="00730B1E">
        <w:br w:type="page"/>
      </w:r>
    </w:p>
    <w:p w14:paraId="48467778" w14:textId="55C0C571" w:rsidR="00F312AD" w:rsidRPr="00730B1E" w:rsidRDefault="00F312AD" w:rsidP="00F312AD">
      <w:pPr>
        <w:pStyle w:val="Podnadpis"/>
        <w:numPr>
          <w:ilvl w:val="0"/>
          <w:numId w:val="0"/>
        </w:numPr>
        <w:rPr>
          <w:color w:val="auto"/>
        </w:rPr>
      </w:pPr>
      <w:bookmarkStart w:id="108" w:name="_Toc515871439"/>
      <w:bookmarkStart w:id="109" w:name="_Toc11133207"/>
      <w:bookmarkStart w:id="110" w:name="_Toc43931179"/>
      <w:bookmarkStart w:id="111" w:name="_Toc75952309"/>
      <w:bookmarkStart w:id="112" w:name="_Toc106106768"/>
      <w:bookmarkStart w:id="113" w:name="_Toc144104245"/>
      <w:bookmarkStart w:id="114" w:name="_Toc169251062"/>
      <w:bookmarkStart w:id="115" w:name="_Toc174080748"/>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5</w:t>
      </w:r>
      <w:r w:rsidRPr="00730B1E">
        <w:rPr>
          <w:noProof/>
          <w:color w:val="auto"/>
        </w:rPr>
        <w:fldChar w:fldCharType="end"/>
      </w:r>
      <w:r w:rsidRPr="00730B1E">
        <w:rPr>
          <w:color w:val="auto"/>
        </w:rPr>
        <w:t>: OS – evidenční počet zaměstnanců ve výkonu dle krajů</w:t>
      </w:r>
      <w:bookmarkEnd w:id="108"/>
      <w:bookmarkEnd w:id="109"/>
      <w:bookmarkEnd w:id="110"/>
      <w:bookmarkEnd w:id="111"/>
      <w:bookmarkEnd w:id="112"/>
      <w:bookmarkEnd w:id="113"/>
      <w:r w:rsidR="002C3636" w:rsidRPr="00730B1E">
        <w:rPr>
          <w:color w:val="auto"/>
        </w:rPr>
        <w:t>, 2023</w:t>
      </w:r>
      <w:bookmarkEnd w:id="114"/>
      <w:bookmarkEnd w:id="115"/>
    </w:p>
    <w:tbl>
      <w:tblPr>
        <w:tblW w:w="8875" w:type="dxa"/>
        <w:tblCellMar>
          <w:left w:w="70" w:type="dxa"/>
          <w:right w:w="70" w:type="dxa"/>
        </w:tblCellMar>
        <w:tblLook w:val="04A0" w:firstRow="1" w:lastRow="0" w:firstColumn="1" w:lastColumn="0" w:noHBand="0" w:noVBand="1"/>
      </w:tblPr>
      <w:tblGrid>
        <w:gridCol w:w="2080"/>
        <w:gridCol w:w="866"/>
        <w:gridCol w:w="613"/>
        <w:gridCol w:w="643"/>
        <w:gridCol w:w="643"/>
        <w:gridCol w:w="643"/>
        <w:gridCol w:w="643"/>
        <w:gridCol w:w="781"/>
        <w:gridCol w:w="547"/>
        <w:gridCol w:w="1416"/>
      </w:tblGrid>
      <w:tr w:rsidR="00B64E96" w:rsidRPr="00730B1E" w14:paraId="73BB70B6" w14:textId="77777777" w:rsidTr="00CA369C">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4C1EBDCF"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6795" w:type="dxa"/>
            <w:gridSpan w:val="9"/>
            <w:tcBorders>
              <w:top w:val="double" w:sz="6" w:space="0" w:color="auto"/>
              <w:left w:val="nil"/>
              <w:bottom w:val="nil"/>
              <w:right w:val="nil"/>
            </w:tcBorders>
            <w:shd w:val="clear" w:color="auto" w:fill="auto"/>
            <w:noWrap/>
            <w:vAlign w:val="bottom"/>
            <w:hideMark/>
          </w:tcPr>
          <w:p w14:paraId="52647A7A"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Počet osob</w:t>
            </w:r>
          </w:p>
        </w:tc>
      </w:tr>
      <w:tr w:rsidR="00B64E96" w:rsidRPr="00730B1E" w14:paraId="6EFDE17A" w14:textId="77777777" w:rsidTr="00CA369C">
        <w:trPr>
          <w:trHeight w:val="330"/>
        </w:trPr>
        <w:tc>
          <w:tcPr>
            <w:tcW w:w="2080" w:type="dxa"/>
            <w:vMerge/>
            <w:tcBorders>
              <w:top w:val="double" w:sz="6" w:space="0" w:color="auto"/>
              <w:left w:val="nil"/>
              <w:bottom w:val="double" w:sz="6" w:space="0" w:color="000000"/>
              <w:right w:val="nil"/>
            </w:tcBorders>
            <w:vAlign w:val="center"/>
            <w:hideMark/>
          </w:tcPr>
          <w:p w14:paraId="78DFE083" w14:textId="77777777" w:rsidR="00133546" w:rsidRPr="00730B1E" w:rsidRDefault="00133546" w:rsidP="00133546">
            <w:pPr>
              <w:spacing w:line="240" w:lineRule="auto"/>
              <w:jc w:val="left"/>
              <w:rPr>
                <w:rFonts w:eastAsia="Times New Roman"/>
                <w:b/>
                <w:bCs/>
                <w:szCs w:val="24"/>
                <w:lang w:eastAsia="cs-CZ"/>
              </w:rPr>
            </w:pPr>
          </w:p>
        </w:tc>
        <w:tc>
          <w:tcPr>
            <w:tcW w:w="866" w:type="dxa"/>
            <w:tcBorders>
              <w:top w:val="nil"/>
              <w:left w:val="nil"/>
              <w:bottom w:val="double" w:sz="6" w:space="0" w:color="auto"/>
              <w:right w:val="nil"/>
            </w:tcBorders>
            <w:shd w:val="clear" w:color="auto" w:fill="auto"/>
            <w:noWrap/>
            <w:vAlign w:val="bottom"/>
            <w:hideMark/>
          </w:tcPr>
          <w:p w14:paraId="3FB4FF18"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VSÚ</w:t>
            </w:r>
          </w:p>
        </w:tc>
        <w:tc>
          <w:tcPr>
            <w:tcW w:w="613" w:type="dxa"/>
            <w:tcBorders>
              <w:top w:val="nil"/>
              <w:left w:val="nil"/>
              <w:bottom w:val="double" w:sz="6" w:space="0" w:color="auto"/>
              <w:right w:val="nil"/>
            </w:tcBorders>
            <w:shd w:val="clear" w:color="auto" w:fill="auto"/>
            <w:noWrap/>
            <w:vAlign w:val="bottom"/>
            <w:hideMark/>
          </w:tcPr>
          <w:p w14:paraId="1DAB1F27"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ST</w:t>
            </w:r>
          </w:p>
        </w:tc>
        <w:tc>
          <w:tcPr>
            <w:tcW w:w="643" w:type="dxa"/>
            <w:tcBorders>
              <w:top w:val="nil"/>
              <w:left w:val="nil"/>
              <w:bottom w:val="double" w:sz="6" w:space="0" w:color="auto"/>
              <w:right w:val="nil"/>
            </w:tcBorders>
            <w:shd w:val="clear" w:color="auto" w:fill="auto"/>
            <w:noWrap/>
            <w:vAlign w:val="bottom"/>
            <w:hideMark/>
          </w:tcPr>
          <w:p w14:paraId="48D6D011"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A</w:t>
            </w:r>
          </w:p>
        </w:tc>
        <w:tc>
          <w:tcPr>
            <w:tcW w:w="643" w:type="dxa"/>
            <w:tcBorders>
              <w:top w:val="nil"/>
              <w:left w:val="nil"/>
              <w:bottom w:val="double" w:sz="6" w:space="0" w:color="auto"/>
              <w:right w:val="nil"/>
            </w:tcBorders>
            <w:shd w:val="clear" w:color="auto" w:fill="auto"/>
            <w:noWrap/>
            <w:vAlign w:val="bottom"/>
            <w:hideMark/>
          </w:tcPr>
          <w:p w14:paraId="73F8FF27"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VK</w:t>
            </w:r>
          </w:p>
        </w:tc>
        <w:tc>
          <w:tcPr>
            <w:tcW w:w="643" w:type="dxa"/>
            <w:tcBorders>
              <w:top w:val="nil"/>
              <w:left w:val="nil"/>
              <w:bottom w:val="double" w:sz="6" w:space="0" w:color="auto"/>
              <w:right w:val="nil"/>
            </w:tcBorders>
            <w:shd w:val="clear" w:color="auto" w:fill="auto"/>
            <w:noWrap/>
            <w:vAlign w:val="bottom"/>
            <w:hideMark/>
          </w:tcPr>
          <w:p w14:paraId="32617959"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PÚ</w:t>
            </w:r>
          </w:p>
        </w:tc>
        <w:tc>
          <w:tcPr>
            <w:tcW w:w="643" w:type="dxa"/>
            <w:tcBorders>
              <w:top w:val="nil"/>
              <w:left w:val="nil"/>
              <w:bottom w:val="double" w:sz="6" w:space="0" w:color="auto"/>
              <w:right w:val="nil"/>
            </w:tcBorders>
            <w:shd w:val="clear" w:color="auto" w:fill="auto"/>
            <w:noWrap/>
            <w:vAlign w:val="bottom"/>
            <w:hideMark/>
          </w:tcPr>
          <w:p w14:paraId="607920AC"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Z</w:t>
            </w:r>
          </w:p>
        </w:tc>
        <w:tc>
          <w:tcPr>
            <w:tcW w:w="781" w:type="dxa"/>
            <w:tcBorders>
              <w:top w:val="nil"/>
              <w:left w:val="nil"/>
              <w:bottom w:val="double" w:sz="6" w:space="0" w:color="auto"/>
              <w:right w:val="nil"/>
            </w:tcBorders>
            <w:shd w:val="clear" w:color="auto" w:fill="auto"/>
            <w:noWrap/>
            <w:vAlign w:val="bottom"/>
            <w:hideMark/>
          </w:tcPr>
          <w:p w14:paraId="21E7626B"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RV</w:t>
            </w:r>
          </w:p>
        </w:tc>
        <w:tc>
          <w:tcPr>
            <w:tcW w:w="547" w:type="dxa"/>
            <w:tcBorders>
              <w:top w:val="nil"/>
              <w:left w:val="nil"/>
              <w:bottom w:val="double" w:sz="6" w:space="0" w:color="auto"/>
              <w:right w:val="nil"/>
            </w:tcBorders>
            <w:shd w:val="clear" w:color="auto" w:fill="auto"/>
            <w:noWrap/>
            <w:vAlign w:val="bottom"/>
            <w:hideMark/>
          </w:tcPr>
          <w:p w14:paraId="44B766FB"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SV</w:t>
            </w:r>
          </w:p>
        </w:tc>
        <w:tc>
          <w:tcPr>
            <w:tcW w:w="1416" w:type="dxa"/>
            <w:tcBorders>
              <w:top w:val="nil"/>
              <w:left w:val="nil"/>
              <w:bottom w:val="double" w:sz="6" w:space="0" w:color="auto"/>
              <w:right w:val="nil"/>
            </w:tcBorders>
            <w:shd w:val="clear" w:color="auto" w:fill="auto"/>
            <w:noWrap/>
            <w:vAlign w:val="bottom"/>
            <w:hideMark/>
          </w:tcPr>
          <w:p w14:paraId="4AF6894B" w14:textId="77777777" w:rsidR="00133546" w:rsidRPr="00730B1E" w:rsidRDefault="00133546" w:rsidP="00133546">
            <w:pPr>
              <w:spacing w:line="240" w:lineRule="auto"/>
              <w:jc w:val="center"/>
              <w:rPr>
                <w:rFonts w:eastAsia="Times New Roman"/>
                <w:b/>
                <w:bCs/>
                <w:szCs w:val="24"/>
                <w:lang w:eastAsia="cs-CZ"/>
              </w:rPr>
            </w:pPr>
            <w:r w:rsidRPr="00730B1E">
              <w:rPr>
                <w:rFonts w:eastAsia="Times New Roman"/>
                <w:b/>
                <w:bCs/>
                <w:szCs w:val="24"/>
                <w:lang w:eastAsia="cs-CZ"/>
              </w:rPr>
              <w:t>Celkem</w:t>
            </w:r>
          </w:p>
        </w:tc>
      </w:tr>
      <w:tr w:rsidR="00B64E96" w:rsidRPr="00730B1E" w14:paraId="35145C53" w14:textId="77777777" w:rsidTr="00B12AAA">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1CC0005B" w14:textId="77777777" w:rsidR="00CA369C" w:rsidRPr="00730B1E" w:rsidRDefault="00CA369C" w:rsidP="00CA369C">
            <w:pPr>
              <w:spacing w:line="240" w:lineRule="auto"/>
              <w:jc w:val="left"/>
              <w:rPr>
                <w:rFonts w:eastAsia="Times New Roman"/>
                <w:szCs w:val="24"/>
                <w:lang w:eastAsia="cs-CZ"/>
              </w:rPr>
            </w:pPr>
            <w:r w:rsidRPr="00730B1E">
              <w:rPr>
                <w:rFonts w:eastAsia="Times New Roman"/>
                <w:szCs w:val="24"/>
                <w:lang w:eastAsia="cs-CZ"/>
              </w:rPr>
              <w:t>MS Praha</w:t>
            </w:r>
          </w:p>
        </w:tc>
        <w:tc>
          <w:tcPr>
            <w:tcW w:w="866" w:type="dxa"/>
            <w:tcBorders>
              <w:top w:val="single" w:sz="4" w:space="0" w:color="auto"/>
              <w:left w:val="nil"/>
              <w:bottom w:val="single" w:sz="4" w:space="0" w:color="auto"/>
              <w:right w:val="nil"/>
            </w:tcBorders>
            <w:shd w:val="clear" w:color="auto" w:fill="auto"/>
            <w:noWrap/>
            <w:vAlign w:val="bottom"/>
            <w:hideMark/>
          </w:tcPr>
          <w:p w14:paraId="0CDA606E"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114</w:t>
            </w:r>
          </w:p>
        </w:tc>
        <w:tc>
          <w:tcPr>
            <w:tcW w:w="613" w:type="dxa"/>
            <w:tcBorders>
              <w:top w:val="single" w:sz="4" w:space="0" w:color="auto"/>
              <w:left w:val="nil"/>
              <w:bottom w:val="single" w:sz="4" w:space="0" w:color="auto"/>
              <w:right w:val="nil"/>
            </w:tcBorders>
            <w:shd w:val="clear" w:color="auto" w:fill="auto"/>
            <w:noWrap/>
            <w:vAlign w:val="bottom"/>
            <w:hideMark/>
          </w:tcPr>
          <w:p w14:paraId="30B2065F"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36</w:t>
            </w:r>
          </w:p>
        </w:tc>
        <w:tc>
          <w:tcPr>
            <w:tcW w:w="643" w:type="dxa"/>
            <w:tcBorders>
              <w:top w:val="single" w:sz="4" w:space="0" w:color="auto"/>
              <w:left w:val="nil"/>
              <w:bottom w:val="single" w:sz="4" w:space="0" w:color="auto"/>
              <w:right w:val="nil"/>
            </w:tcBorders>
            <w:shd w:val="clear" w:color="auto" w:fill="auto"/>
            <w:noWrap/>
            <w:vAlign w:val="bottom"/>
            <w:hideMark/>
          </w:tcPr>
          <w:p w14:paraId="38AB3D02"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139</w:t>
            </w:r>
          </w:p>
        </w:tc>
        <w:tc>
          <w:tcPr>
            <w:tcW w:w="643" w:type="dxa"/>
            <w:tcBorders>
              <w:top w:val="single" w:sz="4" w:space="0" w:color="auto"/>
              <w:left w:val="nil"/>
              <w:bottom w:val="single" w:sz="4" w:space="0" w:color="auto"/>
              <w:right w:val="nil"/>
            </w:tcBorders>
            <w:shd w:val="clear" w:color="auto" w:fill="auto"/>
            <w:noWrap/>
            <w:vAlign w:val="bottom"/>
            <w:hideMark/>
          </w:tcPr>
          <w:p w14:paraId="1C504F0B"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97</w:t>
            </w:r>
          </w:p>
        </w:tc>
        <w:tc>
          <w:tcPr>
            <w:tcW w:w="643" w:type="dxa"/>
            <w:tcBorders>
              <w:top w:val="single" w:sz="4" w:space="0" w:color="auto"/>
              <w:left w:val="nil"/>
              <w:bottom w:val="single" w:sz="4" w:space="0" w:color="auto"/>
              <w:right w:val="nil"/>
            </w:tcBorders>
            <w:shd w:val="clear" w:color="auto" w:fill="auto"/>
            <w:noWrap/>
            <w:vAlign w:val="bottom"/>
            <w:hideMark/>
          </w:tcPr>
          <w:p w14:paraId="4FF52041"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52</w:t>
            </w:r>
          </w:p>
        </w:tc>
        <w:tc>
          <w:tcPr>
            <w:tcW w:w="643" w:type="dxa"/>
            <w:tcBorders>
              <w:top w:val="single" w:sz="4" w:space="0" w:color="auto"/>
              <w:left w:val="nil"/>
              <w:bottom w:val="single" w:sz="4" w:space="0" w:color="auto"/>
              <w:right w:val="nil"/>
            </w:tcBorders>
            <w:shd w:val="clear" w:color="auto" w:fill="auto"/>
            <w:noWrap/>
            <w:vAlign w:val="bottom"/>
            <w:hideMark/>
          </w:tcPr>
          <w:p w14:paraId="09E32D7E"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114</w:t>
            </w:r>
          </w:p>
        </w:tc>
        <w:tc>
          <w:tcPr>
            <w:tcW w:w="781" w:type="dxa"/>
            <w:tcBorders>
              <w:top w:val="single" w:sz="4" w:space="0" w:color="auto"/>
              <w:left w:val="nil"/>
              <w:bottom w:val="single" w:sz="4" w:space="0" w:color="auto"/>
              <w:right w:val="nil"/>
            </w:tcBorders>
            <w:shd w:val="clear" w:color="auto" w:fill="auto"/>
            <w:noWrap/>
            <w:vAlign w:val="center"/>
            <w:hideMark/>
          </w:tcPr>
          <w:p w14:paraId="6B54E003" w14:textId="758A850E" w:rsidR="00CA369C" w:rsidRPr="00730B1E" w:rsidRDefault="00CA369C" w:rsidP="00CA369C">
            <w:pPr>
              <w:spacing w:line="240" w:lineRule="auto"/>
              <w:jc w:val="center"/>
              <w:rPr>
                <w:rFonts w:eastAsia="Times New Roman"/>
                <w:szCs w:val="24"/>
                <w:lang w:eastAsia="cs-CZ"/>
              </w:rPr>
            </w:pPr>
            <w:r w:rsidRPr="00730B1E">
              <w:rPr>
                <w:rFonts w:cs="Calibri"/>
              </w:rPr>
              <w:t>145</w:t>
            </w:r>
          </w:p>
        </w:tc>
        <w:tc>
          <w:tcPr>
            <w:tcW w:w="547" w:type="dxa"/>
            <w:tcBorders>
              <w:top w:val="single" w:sz="4" w:space="0" w:color="auto"/>
              <w:left w:val="nil"/>
              <w:bottom w:val="single" w:sz="4" w:space="0" w:color="auto"/>
              <w:right w:val="nil"/>
            </w:tcBorders>
            <w:shd w:val="clear" w:color="auto" w:fill="auto"/>
            <w:noWrap/>
            <w:vAlign w:val="bottom"/>
            <w:hideMark/>
          </w:tcPr>
          <w:p w14:paraId="3222B77F"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12</w:t>
            </w:r>
          </w:p>
        </w:tc>
        <w:tc>
          <w:tcPr>
            <w:tcW w:w="1416" w:type="dxa"/>
            <w:tcBorders>
              <w:top w:val="single" w:sz="4" w:space="0" w:color="auto"/>
              <w:left w:val="nil"/>
              <w:bottom w:val="single" w:sz="4" w:space="0" w:color="auto"/>
              <w:right w:val="nil"/>
            </w:tcBorders>
            <w:shd w:val="clear" w:color="auto" w:fill="auto"/>
            <w:noWrap/>
            <w:vAlign w:val="center"/>
            <w:hideMark/>
          </w:tcPr>
          <w:p w14:paraId="78E645E5" w14:textId="5E1F4F8A" w:rsidR="00CA369C" w:rsidRPr="00730B1E" w:rsidRDefault="00CA369C" w:rsidP="00CA369C">
            <w:pPr>
              <w:spacing w:line="240" w:lineRule="auto"/>
              <w:jc w:val="center"/>
              <w:rPr>
                <w:rFonts w:eastAsia="Times New Roman"/>
                <w:b/>
                <w:bCs/>
                <w:szCs w:val="24"/>
                <w:lang w:eastAsia="cs-CZ"/>
              </w:rPr>
            </w:pPr>
            <w:r w:rsidRPr="00730B1E">
              <w:rPr>
                <w:rFonts w:cs="Calibri"/>
                <w:b/>
                <w:bCs/>
              </w:rPr>
              <w:t>709</w:t>
            </w:r>
          </w:p>
        </w:tc>
      </w:tr>
      <w:tr w:rsidR="00B64E96" w:rsidRPr="00730B1E" w14:paraId="7D19F242" w14:textId="77777777" w:rsidTr="00B12AAA">
        <w:trPr>
          <w:trHeight w:val="315"/>
        </w:trPr>
        <w:tc>
          <w:tcPr>
            <w:tcW w:w="2080" w:type="dxa"/>
            <w:tcBorders>
              <w:top w:val="nil"/>
              <w:left w:val="nil"/>
              <w:bottom w:val="single" w:sz="4" w:space="0" w:color="auto"/>
              <w:right w:val="nil"/>
            </w:tcBorders>
            <w:shd w:val="clear" w:color="auto" w:fill="auto"/>
            <w:noWrap/>
            <w:vAlign w:val="bottom"/>
            <w:hideMark/>
          </w:tcPr>
          <w:p w14:paraId="6926B8FC" w14:textId="77777777" w:rsidR="00CA369C" w:rsidRPr="00730B1E" w:rsidRDefault="00CA369C" w:rsidP="00CA369C">
            <w:pPr>
              <w:spacing w:line="240" w:lineRule="auto"/>
              <w:jc w:val="left"/>
              <w:rPr>
                <w:rFonts w:eastAsia="Times New Roman"/>
                <w:szCs w:val="24"/>
                <w:lang w:eastAsia="cs-CZ"/>
              </w:rPr>
            </w:pPr>
            <w:r w:rsidRPr="00730B1E">
              <w:rPr>
                <w:rFonts w:eastAsia="Times New Roman"/>
                <w:szCs w:val="24"/>
                <w:lang w:eastAsia="cs-CZ"/>
              </w:rPr>
              <w:t>KS Praha</w:t>
            </w:r>
          </w:p>
        </w:tc>
        <w:tc>
          <w:tcPr>
            <w:tcW w:w="866" w:type="dxa"/>
            <w:tcBorders>
              <w:top w:val="nil"/>
              <w:left w:val="nil"/>
              <w:bottom w:val="single" w:sz="4" w:space="0" w:color="auto"/>
              <w:right w:val="nil"/>
            </w:tcBorders>
            <w:shd w:val="clear" w:color="auto" w:fill="auto"/>
            <w:noWrap/>
            <w:vAlign w:val="bottom"/>
            <w:hideMark/>
          </w:tcPr>
          <w:p w14:paraId="0D939DC7"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117</w:t>
            </w:r>
          </w:p>
        </w:tc>
        <w:tc>
          <w:tcPr>
            <w:tcW w:w="613" w:type="dxa"/>
            <w:tcBorders>
              <w:top w:val="nil"/>
              <w:left w:val="nil"/>
              <w:bottom w:val="single" w:sz="4" w:space="0" w:color="auto"/>
              <w:right w:val="nil"/>
            </w:tcBorders>
            <w:shd w:val="clear" w:color="auto" w:fill="auto"/>
            <w:noWrap/>
            <w:vAlign w:val="bottom"/>
            <w:hideMark/>
          </w:tcPr>
          <w:p w14:paraId="731882ED"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15</w:t>
            </w:r>
          </w:p>
        </w:tc>
        <w:tc>
          <w:tcPr>
            <w:tcW w:w="643" w:type="dxa"/>
            <w:tcBorders>
              <w:top w:val="nil"/>
              <w:left w:val="nil"/>
              <w:bottom w:val="single" w:sz="4" w:space="0" w:color="auto"/>
              <w:right w:val="nil"/>
            </w:tcBorders>
            <w:shd w:val="clear" w:color="auto" w:fill="auto"/>
            <w:noWrap/>
            <w:vAlign w:val="bottom"/>
            <w:hideMark/>
          </w:tcPr>
          <w:p w14:paraId="0E63C1AD"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68</w:t>
            </w:r>
          </w:p>
        </w:tc>
        <w:tc>
          <w:tcPr>
            <w:tcW w:w="643" w:type="dxa"/>
            <w:tcBorders>
              <w:top w:val="nil"/>
              <w:left w:val="nil"/>
              <w:bottom w:val="single" w:sz="4" w:space="0" w:color="auto"/>
              <w:right w:val="nil"/>
            </w:tcBorders>
            <w:shd w:val="clear" w:color="auto" w:fill="auto"/>
            <w:noWrap/>
            <w:vAlign w:val="bottom"/>
            <w:hideMark/>
          </w:tcPr>
          <w:p w14:paraId="2409BBD4"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39</w:t>
            </w:r>
          </w:p>
        </w:tc>
        <w:tc>
          <w:tcPr>
            <w:tcW w:w="643" w:type="dxa"/>
            <w:tcBorders>
              <w:top w:val="nil"/>
              <w:left w:val="nil"/>
              <w:bottom w:val="single" w:sz="4" w:space="0" w:color="auto"/>
              <w:right w:val="nil"/>
            </w:tcBorders>
            <w:shd w:val="clear" w:color="auto" w:fill="auto"/>
            <w:noWrap/>
            <w:vAlign w:val="bottom"/>
            <w:hideMark/>
          </w:tcPr>
          <w:p w14:paraId="24776D6A"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51</w:t>
            </w:r>
          </w:p>
        </w:tc>
        <w:tc>
          <w:tcPr>
            <w:tcW w:w="643" w:type="dxa"/>
            <w:tcBorders>
              <w:top w:val="nil"/>
              <w:left w:val="nil"/>
              <w:bottom w:val="single" w:sz="4" w:space="0" w:color="auto"/>
              <w:right w:val="nil"/>
            </w:tcBorders>
            <w:shd w:val="clear" w:color="auto" w:fill="auto"/>
            <w:noWrap/>
            <w:vAlign w:val="bottom"/>
            <w:hideMark/>
          </w:tcPr>
          <w:p w14:paraId="14AD343B"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90</w:t>
            </w:r>
          </w:p>
        </w:tc>
        <w:tc>
          <w:tcPr>
            <w:tcW w:w="781" w:type="dxa"/>
            <w:tcBorders>
              <w:top w:val="nil"/>
              <w:left w:val="nil"/>
              <w:bottom w:val="nil"/>
              <w:right w:val="nil"/>
            </w:tcBorders>
            <w:shd w:val="clear" w:color="auto" w:fill="auto"/>
            <w:noWrap/>
            <w:vAlign w:val="center"/>
            <w:hideMark/>
          </w:tcPr>
          <w:p w14:paraId="53B9822A" w14:textId="723B38DF" w:rsidR="00CA369C" w:rsidRPr="00730B1E" w:rsidRDefault="00CA369C" w:rsidP="00CA369C">
            <w:pPr>
              <w:spacing w:line="240" w:lineRule="auto"/>
              <w:jc w:val="center"/>
              <w:rPr>
                <w:rFonts w:eastAsia="Times New Roman"/>
                <w:szCs w:val="24"/>
                <w:lang w:eastAsia="cs-CZ"/>
              </w:rPr>
            </w:pPr>
            <w:r w:rsidRPr="00730B1E">
              <w:rPr>
                <w:rFonts w:cs="Calibri"/>
              </w:rPr>
              <w:t>78</w:t>
            </w:r>
          </w:p>
        </w:tc>
        <w:tc>
          <w:tcPr>
            <w:tcW w:w="547" w:type="dxa"/>
            <w:tcBorders>
              <w:top w:val="nil"/>
              <w:left w:val="nil"/>
              <w:bottom w:val="single" w:sz="4" w:space="0" w:color="auto"/>
              <w:right w:val="nil"/>
            </w:tcBorders>
            <w:shd w:val="clear" w:color="auto" w:fill="auto"/>
            <w:noWrap/>
            <w:vAlign w:val="bottom"/>
            <w:hideMark/>
          </w:tcPr>
          <w:p w14:paraId="0EC37115"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11</w:t>
            </w:r>
          </w:p>
        </w:tc>
        <w:tc>
          <w:tcPr>
            <w:tcW w:w="1416" w:type="dxa"/>
            <w:tcBorders>
              <w:top w:val="nil"/>
              <w:left w:val="nil"/>
              <w:bottom w:val="single" w:sz="4" w:space="0" w:color="auto"/>
              <w:right w:val="nil"/>
            </w:tcBorders>
            <w:shd w:val="clear" w:color="auto" w:fill="auto"/>
            <w:noWrap/>
            <w:vAlign w:val="center"/>
            <w:hideMark/>
          </w:tcPr>
          <w:p w14:paraId="7AD5F4B6" w14:textId="6501B7C0" w:rsidR="00CA369C" w:rsidRPr="00730B1E" w:rsidRDefault="00CA369C" w:rsidP="00CA369C">
            <w:pPr>
              <w:spacing w:line="240" w:lineRule="auto"/>
              <w:jc w:val="center"/>
              <w:rPr>
                <w:rFonts w:eastAsia="Times New Roman"/>
                <w:b/>
                <w:bCs/>
                <w:szCs w:val="24"/>
                <w:lang w:eastAsia="cs-CZ"/>
              </w:rPr>
            </w:pPr>
            <w:r w:rsidRPr="00730B1E">
              <w:rPr>
                <w:rFonts w:cs="Calibri"/>
                <w:b/>
                <w:bCs/>
              </w:rPr>
              <w:t>469</w:t>
            </w:r>
          </w:p>
        </w:tc>
      </w:tr>
      <w:tr w:rsidR="00B64E96" w:rsidRPr="00730B1E" w14:paraId="2CAC3E99" w14:textId="77777777" w:rsidTr="00B12AAA">
        <w:trPr>
          <w:trHeight w:val="315"/>
        </w:trPr>
        <w:tc>
          <w:tcPr>
            <w:tcW w:w="2080" w:type="dxa"/>
            <w:tcBorders>
              <w:top w:val="nil"/>
              <w:left w:val="nil"/>
              <w:bottom w:val="single" w:sz="4" w:space="0" w:color="auto"/>
              <w:right w:val="nil"/>
            </w:tcBorders>
            <w:shd w:val="clear" w:color="auto" w:fill="auto"/>
            <w:noWrap/>
            <w:vAlign w:val="bottom"/>
            <w:hideMark/>
          </w:tcPr>
          <w:p w14:paraId="676FCFD3" w14:textId="77777777" w:rsidR="00CA369C" w:rsidRPr="00730B1E" w:rsidRDefault="00CA369C" w:rsidP="00CA369C">
            <w:pPr>
              <w:spacing w:line="240" w:lineRule="auto"/>
              <w:jc w:val="left"/>
              <w:rPr>
                <w:rFonts w:eastAsia="Times New Roman"/>
                <w:szCs w:val="24"/>
                <w:lang w:eastAsia="cs-CZ"/>
              </w:rPr>
            </w:pPr>
            <w:r w:rsidRPr="00730B1E">
              <w:rPr>
                <w:rFonts w:eastAsia="Times New Roman"/>
                <w:szCs w:val="24"/>
                <w:lang w:eastAsia="cs-CZ"/>
              </w:rPr>
              <w:t>KS Č. Budějovice</w:t>
            </w:r>
          </w:p>
        </w:tc>
        <w:tc>
          <w:tcPr>
            <w:tcW w:w="866" w:type="dxa"/>
            <w:tcBorders>
              <w:top w:val="nil"/>
              <w:left w:val="nil"/>
              <w:bottom w:val="single" w:sz="4" w:space="0" w:color="auto"/>
              <w:right w:val="nil"/>
            </w:tcBorders>
            <w:shd w:val="clear" w:color="auto" w:fill="auto"/>
            <w:noWrap/>
            <w:vAlign w:val="bottom"/>
            <w:hideMark/>
          </w:tcPr>
          <w:p w14:paraId="4784C99D"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58</w:t>
            </w:r>
          </w:p>
        </w:tc>
        <w:tc>
          <w:tcPr>
            <w:tcW w:w="613" w:type="dxa"/>
            <w:tcBorders>
              <w:top w:val="nil"/>
              <w:left w:val="nil"/>
              <w:bottom w:val="single" w:sz="4" w:space="0" w:color="auto"/>
              <w:right w:val="nil"/>
            </w:tcBorders>
            <w:shd w:val="clear" w:color="auto" w:fill="auto"/>
            <w:noWrap/>
            <w:vAlign w:val="bottom"/>
            <w:hideMark/>
          </w:tcPr>
          <w:p w14:paraId="4C375E75"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17</w:t>
            </w:r>
          </w:p>
        </w:tc>
        <w:tc>
          <w:tcPr>
            <w:tcW w:w="643" w:type="dxa"/>
            <w:tcBorders>
              <w:top w:val="nil"/>
              <w:left w:val="nil"/>
              <w:bottom w:val="single" w:sz="4" w:space="0" w:color="auto"/>
              <w:right w:val="nil"/>
            </w:tcBorders>
            <w:shd w:val="clear" w:color="auto" w:fill="auto"/>
            <w:noWrap/>
            <w:vAlign w:val="bottom"/>
            <w:hideMark/>
          </w:tcPr>
          <w:p w14:paraId="032F80DB"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29</w:t>
            </w:r>
          </w:p>
        </w:tc>
        <w:tc>
          <w:tcPr>
            <w:tcW w:w="643" w:type="dxa"/>
            <w:tcBorders>
              <w:top w:val="nil"/>
              <w:left w:val="nil"/>
              <w:bottom w:val="single" w:sz="4" w:space="0" w:color="auto"/>
              <w:right w:val="nil"/>
            </w:tcBorders>
            <w:shd w:val="clear" w:color="auto" w:fill="auto"/>
            <w:noWrap/>
            <w:vAlign w:val="bottom"/>
            <w:hideMark/>
          </w:tcPr>
          <w:p w14:paraId="506EF693"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36</w:t>
            </w:r>
          </w:p>
        </w:tc>
        <w:tc>
          <w:tcPr>
            <w:tcW w:w="643" w:type="dxa"/>
            <w:tcBorders>
              <w:top w:val="nil"/>
              <w:left w:val="nil"/>
              <w:bottom w:val="single" w:sz="4" w:space="0" w:color="auto"/>
              <w:right w:val="nil"/>
            </w:tcBorders>
            <w:shd w:val="clear" w:color="auto" w:fill="auto"/>
            <w:noWrap/>
            <w:vAlign w:val="bottom"/>
            <w:hideMark/>
          </w:tcPr>
          <w:p w14:paraId="4BF634E7"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33</w:t>
            </w:r>
          </w:p>
        </w:tc>
        <w:tc>
          <w:tcPr>
            <w:tcW w:w="643" w:type="dxa"/>
            <w:tcBorders>
              <w:top w:val="nil"/>
              <w:left w:val="nil"/>
              <w:bottom w:val="single" w:sz="4" w:space="0" w:color="auto"/>
              <w:right w:val="nil"/>
            </w:tcBorders>
            <w:shd w:val="clear" w:color="auto" w:fill="auto"/>
            <w:noWrap/>
            <w:vAlign w:val="bottom"/>
            <w:hideMark/>
          </w:tcPr>
          <w:p w14:paraId="3F58680C"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54</w:t>
            </w:r>
          </w:p>
        </w:tc>
        <w:tc>
          <w:tcPr>
            <w:tcW w:w="781" w:type="dxa"/>
            <w:tcBorders>
              <w:top w:val="single" w:sz="4" w:space="0" w:color="auto"/>
              <w:left w:val="nil"/>
              <w:bottom w:val="single" w:sz="4" w:space="0" w:color="auto"/>
              <w:right w:val="nil"/>
            </w:tcBorders>
            <w:shd w:val="clear" w:color="auto" w:fill="auto"/>
            <w:noWrap/>
            <w:vAlign w:val="center"/>
            <w:hideMark/>
          </w:tcPr>
          <w:p w14:paraId="3D9C5DF0" w14:textId="0DF31A98" w:rsidR="00CA369C" w:rsidRPr="00730B1E" w:rsidRDefault="00CA369C" w:rsidP="00CA369C">
            <w:pPr>
              <w:spacing w:line="240" w:lineRule="auto"/>
              <w:jc w:val="center"/>
              <w:rPr>
                <w:rFonts w:eastAsia="Times New Roman"/>
                <w:szCs w:val="24"/>
                <w:lang w:eastAsia="cs-CZ"/>
              </w:rPr>
            </w:pPr>
            <w:r w:rsidRPr="00730B1E">
              <w:rPr>
                <w:rFonts w:cs="Calibri"/>
              </w:rPr>
              <w:t>35</w:t>
            </w:r>
          </w:p>
        </w:tc>
        <w:tc>
          <w:tcPr>
            <w:tcW w:w="547" w:type="dxa"/>
            <w:tcBorders>
              <w:top w:val="nil"/>
              <w:left w:val="nil"/>
              <w:bottom w:val="single" w:sz="4" w:space="0" w:color="auto"/>
              <w:right w:val="nil"/>
            </w:tcBorders>
            <w:shd w:val="clear" w:color="auto" w:fill="auto"/>
            <w:noWrap/>
            <w:vAlign w:val="bottom"/>
            <w:hideMark/>
          </w:tcPr>
          <w:p w14:paraId="32CCA844"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7</w:t>
            </w:r>
          </w:p>
        </w:tc>
        <w:tc>
          <w:tcPr>
            <w:tcW w:w="1416" w:type="dxa"/>
            <w:tcBorders>
              <w:top w:val="nil"/>
              <w:left w:val="nil"/>
              <w:bottom w:val="single" w:sz="4" w:space="0" w:color="auto"/>
              <w:right w:val="nil"/>
            </w:tcBorders>
            <w:shd w:val="clear" w:color="auto" w:fill="auto"/>
            <w:noWrap/>
            <w:vAlign w:val="center"/>
            <w:hideMark/>
          </w:tcPr>
          <w:p w14:paraId="705FF7A4" w14:textId="424FE487" w:rsidR="00CA369C" w:rsidRPr="00730B1E" w:rsidRDefault="00CA369C" w:rsidP="00CA369C">
            <w:pPr>
              <w:spacing w:line="240" w:lineRule="auto"/>
              <w:jc w:val="center"/>
              <w:rPr>
                <w:rFonts w:eastAsia="Times New Roman"/>
                <w:b/>
                <w:bCs/>
                <w:szCs w:val="24"/>
                <w:lang w:eastAsia="cs-CZ"/>
              </w:rPr>
            </w:pPr>
            <w:r w:rsidRPr="00730B1E">
              <w:rPr>
                <w:rFonts w:cs="Calibri"/>
                <w:b/>
                <w:bCs/>
              </w:rPr>
              <w:t>269</w:t>
            </w:r>
          </w:p>
        </w:tc>
      </w:tr>
      <w:tr w:rsidR="00B64E96" w:rsidRPr="00730B1E" w14:paraId="3C9F4ABC" w14:textId="77777777" w:rsidTr="00B12AAA">
        <w:trPr>
          <w:trHeight w:val="315"/>
        </w:trPr>
        <w:tc>
          <w:tcPr>
            <w:tcW w:w="2080" w:type="dxa"/>
            <w:tcBorders>
              <w:top w:val="nil"/>
              <w:left w:val="nil"/>
              <w:bottom w:val="single" w:sz="4" w:space="0" w:color="auto"/>
              <w:right w:val="nil"/>
            </w:tcBorders>
            <w:shd w:val="clear" w:color="auto" w:fill="auto"/>
            <w:noWrap/>
            <w:vAlign w:val="bottom"/>
            <w:hideMark/>
          </w:tcPr>
          <w:p w14:paraId="66EA3C56" w14:textId="77777777" w:rsidR="00CA369C" w:rsidRPr="00730B1E" w:rsidRDefault="00CA369C" w:rsidP="00CA369C">
            <w:pPr>
              <w:spacing w:line="240" w:lineRule="auto"/>
              <w:jc w:val="left"/>
              <w:rPr>
                <w:rFonts w:eastAsia="Times New Roman"/>
                <w:szCs w:val="24"/>
                <w:lang w:eastAsia="cs-CZ"/>
              </w:rPr>
            </w:pPr>
            <w:r w:rsidRPr="00730B1E">
              <w:rPr>
                <w:rFonts w:eastAsia="Times New Roman"/>
                <w:szCs w:val="24"/>
                <w:lang w:eastAsia="cs-CZ"/>
              </w:rPr>
              <w:t>KS Plzeň</w:t>
            </w:r>
          </w:p>
        </w:tc>
        <w:tc>
          <w:tcPr>
            <w:tcW w:w="866" w:type="dxa"/>
            <w:tcBorders>
              <w:top w:val="nil"/>
              <w:left w:val="nil"/>
              <w:bottom w:val="single" w:sz="4" w:space="0" w:color="auto"/>
              <w:right w:val="nil"/>
            </w:tcBorders>
            <w:shd w:val="clear" w:color="auto" w:fill="auto"/>
            <w:noWrap/>
            <w:vAlign w:val="bottom"/>
            <w:hideMark/>
          </w:tcPr>
          <w:p w14:paraId="43199765"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98</w:t>
            </w:r>
          </w:p>
        </w:tc>
        <w:tc>
          <w:tcPr>
            <w:tcW w:w="613" w:type="dxa"/>
            <w:tcBorders>
              <w:top w:val="nil"/>
              <w:left w:val="nil"/>
              <w:bottom w:val="single" w:sz="4" w:space="0" w:color="auto"/>
              <w:right w:val="nil"/>
            </w:tcBorders>
            <w:shd w:val="clear" w:color="auto" w:fill="auto"/>
            <w:noWrap/>
            <w:vAlign w:val="bottom"/>
            <w:hideMark/>
          </w:tcPr>
          <w:p w14:paraId="47D1C399"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10</w:t>
            </w:r>
          </w:p>
        </w:tc>
        <w:tc>
          <w:tcPr>
            <w:tcW w:w="643" w:type="dxa"/>
            <w:tcBorders>
              <w:top w:val="nil"/>
              <w:left w:val="nil"/>
              <w:bottom w:val="single" w:sz="4" w:space="0" w:color="auto"/>
              <w:right w:val="nil"/>
            </w:tcBorders>
            <w:shd w:val="clear" w:color="auto" w:fill="auto"/>
            <w:noWrap/>
            <w:vAlign w:val="bottom"/>
            <w:hideMark/>
          </w:tcPr>
          <w:p w14:paraId="5549B07A"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28</w:t>
            </w:r>
          </w:p>
        </w:tc>
        <w:tc>
          <w:tcPr>
            <w:tcW w:w="643" w:type="dxa"/>
            <w:tcBorders>
              <w:top w:val="nil"/>
              <w:left w:val="nil"/>
              <w:bottom w:val="single" w:sz="4" w:space="0" w:color="auto"/>
              <w:right w:val="nil"/>
            </w:tcBorders>
            <w:shd w:val="clear" w:color="auto" w:fill="auto"/>
            <w:noWrap/>
            <w:vAlign w:val="bottom"/>
            <w:hideMark/>
          </w:tcPr>
          <w:p w14:paraId="070427BE"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55</w:t>
            </w:r>
          </w:p>
        </w:tc>
        <w:tc>
          <w:tcPr>
            <w:tcW w:w="643" w:type="dxa"/>
            <w:tcBorders>
              <w:top w:val="nil"/>
              <w:left w:val="nil"/>
              <w:bottom w:val="single" w:sz="4" w:space="0" w:color="auto"/>
              <w:right w:val="nil"/>
            </w:tcBorders>
            <w:shd w:val="clear" w:color="auto" w:fill="auto"/>
            <w:noWrap/>
            <w:vAlign w:val="bottom"/>
            <w:hideMark/>
          </w:tcPr>
          <w:p w14:paraId="45755B52"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39</w:t>
            </w:r>
          </w:p>
        </w:tc>
        <w:tc>
          <w:tcPr>
            <w:tcW w:w="643" w:type="dxa"/>
            <w:tcBorders>
              <w:top w:val="nil"/>
              <w:left w:val="nil"/>
              <w:bottom w:val="single" w:sz="4" w:space="0" w:color="auto"/>
              <w:right w:val="nil"/>
            </w:tcBorders>
            <w:shd w:val="clear" w:color="auto" w:fill="auto"/>
            <w:noWrap/>
            <w:vAlign w:val="bottom"/>
            <w:hideMark/>
          </w:tcPr>
          <w:p w14:paraId="423D3494"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69</w:t>
            </w:r>
          </w:p>
        </w:tc>
        <w:tc>
          <w:tcPr>
            <w:tcW w:w="781" w:type="dxa"/>
            <w:tcBorders>
              <w:top w:val="nil"/>
              <w:left w:val="nil"/>
              <w:bottom w:val="single" w:sz="4" w:space="0" w:color="auto"/>
              <w:right w:val="nil"/>
            </w:tcBorders>
            <w:shd w:val="clear" w:color="auto" w:fill="auto"/>
            <w:noWrap/>
            <w:vAlign w:val="center"/>
            <w:hideMark/>
          </w:tcPr>
          <w:p w14:paraId="4116D8CC" w14:textId="0DFEE870" w:rsidR="00CA369C" w:rsidRPr="00730B1E" w:rsidRDefault="00CA369C" w:rsidP="00CA369C">
            <w:pPr>
              <w:spacing w:line="240" w:lineRule="auto"/>
              <w:jc w:val="center"/>
              <w:rPr>
                <w:rFonts w:eastAsia="Times New Roman"/>
                <w:szCs w:val="24"/>
                <w:lang w:eastAsia="cs-CZ"/>
              </w:rPr>
            </w:pPr>
            <w:r w:rsidRPr="00730B1E">
              <w:rPr>
                <w:rFonts w:cs="Calibri"/>
              </w:rPr>
              <w:t>80</w:t>
            </w:r>
          </w:p>
        </w:tc>
        <w:tc>
          <w:tcPr>
            <w:tcW w:w="547" w:type="dxa"/>
            <w:tcBorders>
              <w:top w:val="nil"/>
              <w:left w:val="nil"/>
              <w:bottom w:val="single" w:sz="4" w:space="0" w:color="auto"/>
              <w:right w:val="nil"/>
            </w:tcBorders>
            <w:shd w:val="clear" w:color="auto" w:fill="auto"/>
            <w:noWrap/>
            <w:vAlign w:val="bottom"/>
            <w:hideMark/>
          </w:tcPr>
          <w:p w14:paraId="2487EB71"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4</w:t>
            </w:r>
          </w:p>
        </w:tc>
        <w:tc>
          <w:tcPr>
            <w:tcW w:w="1416" w:type="dxa"/>
            <w:tcBorders>
              <w:top w:val="nil"/>
              <w:left w:val="nil"/>
              <w:bottom w:val="single" w:sz="4" w:space="0" w:color="auto"/>
              <w:right w:val="nil"/>
            </w:tcBorders>
            <w:shd w:val="clear" w:color="auto" w:fill="auto"/>
            <w:noWrap/>
            <w:vAlign w:val="center"/>
            <w:hideMark/>
          </w:tcPr>
          <w:p w14:paraId="0D602605" w14:textId="0727B88E" w:rsidR="00CA369C" w:rsidRPr="00730B1E" w:rsidRDefault="00CA369C" w:rsidP="00CA369C">
            <w:pPr>
              <w:spacing w:line="240" w:lineRule="auto"/>
              <w:jc w:val="center"/>
              <w:rPr>
                <w:rFonts w:eastAsia="Times New Roman"/>
                <w:b/>
                <w:bCs/>
                <w:szCs w:val="24"/>
                <w:lang w:eastAsia="cs-CZ"/>
              </w:rPr>
            </w:pPr>
            <w:r w:rsidRPr="00730B1E">
              <w:rPr>
                <w:rFonts w:cs="Calibri"/>
                <w:b/>
                <w:bCs/>
              </w:rPr>
              <w:t>383</w:t>
            </w:r>
          </w:p>
        </w:tc>
      </w:tr>
      <w:tr w:rsidR="00B64E96" w:rsidRPr="00730B1E" w14:paraId="3A36DB88" w14:textId="77777777" w:rsidTr="00B12AAA">
        <w:trPr>
          <w:trHeight w:val="315"/>
        </w:trPr>
        <w:tc>
          <w:tcPr>
            <w:tcW w:w="2080" w:type="dxa"/>
            <w:tcBorders>
              <w:top w:val="nil"/>
              <w:left w:val="nil"/>
              <w:bottom w:val="single" w:sz="4" w:space="0" w:color="auto"/>
              <w:right w:val="nil"/>
            </w:tcBorders>
            <w:shd w:val="clear" w:color="auto" w:fill="auto"/>
            <w:noWrap/>
            <w:vAlign w:val="bottom"/>
            <w:hideMark/>
          </w:tcPr>
          <w:p w14:paraId="4602DB9F" w14:textId="77777777" w:rsidR="00CA369C" w:rsidRPr="00730B1E" w:rsidRDefault="00CA369C" w:rsidP="00CA369C">
            <w:pPr>
              <w:spacing w:line="240" w:lineRule="auto"/>
              <w:jc w:val="left"/>
              <w:rPr>
                <w:rFonts w:eastAsia="Times New Roman"/>
                <w:szCs w:val="24"/>
                <w:lang w:eastAsia="cs-CZ"/>
              </w:rPr>
            </w:pPr>
            <w:r w:rsidRPr="00730B1E">
              <w:rPr>
                <w:rFonts w:eastAsia="Times New Roman"/>
                <w:szCs w:val="24"/>
                <w:lang w:eastAsia="cs-CZ"/>
              </w:rPr>
              <w:t>KS Ústí n. Labem</w:t>
            </w:r>
          </w:p>
        </w:tc>
        <w:tc>
          <w:tcPr>
            <w:tcW w:w="866" w:type="dxa"/>
            <w:tcBorders>
              <w:top w:val="nil"/>
              <w:left w:val="nil"/>
              <w:bottom w:val="single" w:sz="4" w:space="0" w:color="auto"/>
              <w:right w:val="nil"/>
            </w:tcBorders>
            <w:shd w:val="clear" w:color="auto" w:fill="auto"/>
            <w:noWrap/>
            <w:vAlign w:val="bottom"/>
            <w:hideMark/>
          </w:tcPr>
          <w:p w14:paraId="76B04DFB"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153</w:t>
            </w:r>
          </w:p>
        </w:tc>
        <w:tc>
          <w:tcPr>
            <w:tcW w:w="613" w:type="dxa"/>
            <w:tcBorders>
              <w:top w:val="nil"/>
              <w:left w:val="nil"/>
              <w:bottom w:val="single" w:sz="4" w:space="0" w:color="auto"/>
              <w:right w:val="nil"/>
            </w:tcBorders>
            <w:shd w:val="clear" w:color="auto" w:fill="auto"/>
            <w:noWrap/>
            <w:vAlign w:val="bottom"/>
            <w:hideMark/>
          </w:tcPr>
          <w:p w14:paraId="64AC939D"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18</w:t>
            </w:r>
          </w:p>
        </w:tc>
        <w:tc>
          <w:tcPr>
            <w:tcW w:w="643" w:type="dxa"/>
            <w:tcBorders>
              <w:top w:val="nil"/>
              <w:left w:val="nil"/>
              <w:bottom w:val="single" w:sz="4" w:space="0" w:color="auto"/>
              <w:right w:val="nil"/>
            </w:tcBorders>
            <w:shd w:val="clear" w:color="auto" w:fill="auto"/>
            <w:noWrap/>
            <w:vAlign w:val="bottom"/>
            <w:hideMark/>
          </w:tcPr>
          <w:p w14:paraId="4BA7CA92"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59</w:t>
            </w:r>
          </w:p>
        </w:tc>
        <w:tc>
          <w:tcPr>
            <w:tcW w:w="643" w:type="dxa"/>
            <w:tcBorders>
              <w:top w:val="nil"/>
              <w:left w:val="nil"/>
              <w:bottom w:val="single" w:sz="4" w:space="0" w:color="auto"/>
              <w:right w:val="nil"/>
            </w:tcBorders>
            <w:shd w:val="clear" w:color="auto" w:fill="auto"/>
            <w:noWrap/>
            <w:vAlign w:val="bottom"/>
            <w:hideMark/>
          </w:tcPr>
          <w:p w14:paraId="7F132963"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65</w:t>
            </w:r>
          </w:p>
        </w:tc>
        <w:tc>
          <w:tcPr>
            <w:tcW w:w="643" w:type="dxa"/>
            <w:tcBorders>
              <w:top w:val="nil"/>
              <w:left w:val="nil"/>
              <w:bottom w:val="single" w:sz="4" w:space="0" w:color="auto"/>
              <w:right w:val="nil"/>
            </w:tcBorders>
            <w:shd w:val="clear" w:color="auto" w:fill="auto"/>
            <w:noWrap/>
            <w:vAlign w:val="bottom"/>
            <w:hideMark/>
          </w:tcPr>
          <w:p w14:paraId="1D27BFD1"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65</w:t>
            </w:r>
          </w:p>
        </w:tc>
        <w:tc>
          <w:tcPr>
            <w:tcW w:w="643" w:type="dxa"/>
            <w:tcBorders>
              <w:top w:val="nil"/>
              <w:left w:val="nil"/>
              <w:bottom w:val="single" w:sz="4" w:space="0" w:color="auto"/>
              <w:right w:val="nil"/>
            </w:tcBorders>
            <w:shd w:val="clear" w:color="auto" w:fill="auto"/>
            <w:noWrap/>
            <w:vAlign w:val="bottom"/>
            <w:hideMark/>
          </w:tcPr>
          <w:p w14:paraId="18F66A5A"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90</w:t>
            </w:r>
          </w:p>
        </w:tc>
        <w:tc>
          <w:tcPr>
            <w:tcW w:w="781" w:type="dxa"/>
            <w:tcBorders>
              <w:top w:val="nil"/>
              <w:left w:val="nil"/>
              <w:bottom w:val="single" w:sz="4" w:space="0" w:color="auto"/>
              <w:right w:val="nil"/>
            </w:tcBorders>
            <w:shd w:val="clear" w:color="auto" w:fill="auto"/>
            <w:noWrap/>
            <w:vAlign w:val="center"/>
            <w:hideMark/>
          </w:tcPr>
          <w:p w14:paraId="405AC5BA" w14:textId="19DFC4FA" w:rsidR="00CA369C" w:rsidRPr="00730B1E" w:rsidRDefault="00CA369C" w:rsidP="00CA369C">
            <w:pPr>
              <w:spacing w:line="240" w:lineRule="auto"/>
              <w:jc w:val="center"/>
              <w:rPr>
                <w:rFonts w:eastAsia="Times New Roman"/>
                <w:szCs w:val="24"/>
                <w:lang w:eastAsia="cs-CZ"/>
              </w:rPr>
            </w:pPr>
            <w:r w:rsidRPr="00730B1E">
              <w:rPr>
                <w:rFonts w:cs="Calibri"/>
              </w:rPr>
              <w:t>162</w:t>
            </w:r>
          </w:p>
        </w:tc>
        <w:tc>
          <w:tcPr>
            <w:tcW w:w="547" w:type="dxa"/>
            <w:tcBorders>
              <w:top w:val="nil"/>
              <w:left w:val="nil"/>
              <w:bottom w:val="single" w:sz="4" w:space="0" w:color="auto"/>
              <w:right w:val="nil"/>
            </w:tcBorders>
            <w:shd w:val="clear" w:color="auto" w:fill="auto"/>
            <w:noWrap/>
            <w:vAlign w:val="bottom"/>
            <w:hideMark/>
          </w:tcPr>
          <w:p w14:paraId="756051E6"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12</w:t>
            </w:r>
          </w:p>
        </w:tc>
        <w:tc>
          <w:tcPr>
            <w:tcW w:w="1416" w:type="dxa"/>
            <w:tcBorders>
              <w:top w:val="nil"/>
              <w:left w:val="nil"/>
              <w:bottom w:val="single" w:sz="4" w:space="0" w:color="auto"/>
              <w:right w:val="nil"/>
            </w:tcBorders>
            <w:shd w:val="clear" w:color="auto" w:fill="auto"/>
            <w:noWrap/>
            <w:vAlign w:val="center"/>
            <w:hideMark/>
          </w:tcPr>
          <w:p w14:paraId="0B32E2E3" w14:textId="389476CC" w:rsidR="00CA369C" w:rsidRPr="00730B1E" w:rsidRDefault="00CA369C" w:rsidP="00CA369C">
            <w:pPr>
              <w:spacing w:line="240" w:lineRule="auto"/>
              <w:jc w:val="center"/>
              <w:rPr>
                <w:rFonts w:eastAsia="Times New Roman"/>
                <w:b/>
                <w:bCs/>
                <w:szCs w:val="24"/>
                <w:lang w:eastAsia="cs-CZ"/>
              </w:rPr>
            </w:pPr>
            <w:r w:rsidRPr="00730B1E">
              <w:rPr>
                <w:rFonts w:cs="Calibri"/>
                <w:b/>
                <w:bCs/>
              </w:rPr>
              <w:t>624</w:t>
            </w:r>
          </w:p>
        </w:tc>
      </w:tr>
      <w:tr w:rsidR="00B64E96" w:rsidRPr="00730B1E" w14:paraId="7C37A6CA" w14:textId="77777777" w:rsidTr="00B12AAA">
        <w:trPr>
          <w:trHeight w:val="315"/>
        </w:trPr>
        <w:tc>
          <w:tcPr>
            <w:tcW w:w="2080" w:type="dxa"/>
            <w:tcBorders>
              <w:top w:val="nil"/>
              <w:left w:val="nil"/>
              <w:bottom w:val="single" w:sz="4" w:space="0" w:color="auto"/>
              <w:right w:val="nil"/>
            </w:tcBorders>
            <w:shd w:val="clear" w:color="auto" w:fill="auto"/>
            <w:noWrap/>
            <w:vAlign w:val="bottom"/>
            <w:hideMark/>
          </w:tcPr>
          <w:p w14:paraId="6590CBAB" w14:textId="77777777" w:rsidR="00CA369C" w:rsidRPr="00730B1E" w:rsidRDefault="00CA369C" w:rsidP="00CA369C">
            <w:pPr>
              <w:spacing w:line="240" w:lineRule="auto"/>
              <w:jc w:val="left"/>
              <w:rPr>
                <w:rFonts w:eastAsia="Times New Roman"/>
                <w:szCs w:val="24"/>
                <w:lang w:eastAsia="cs-CZ"/>
              </w:rPr>
            </w:pPr>
            <w:r w:rsidRPr="00730B1E">
              <w:rPr>
                <w:rFonts w:eastAsia="Times New Roman"/>
                <w:szCs w:val="24"/>
                <w:lang w:eastAsia="cs-CZ"/>
              </w:rPr>
              <w:t>KS Hr. Králové</w:t>
            </w:r>
          </w:p>
        </w:tc>
        <w:tc>
          <w:tcPr>
            <w:tcW w:w="866" w:type="dxa"/>
            <w:tcBorders>
              <w:top w:val="nil"/>
              <w:left w:val="nil"/>
              <w:bottom w:val="single" w:sz="4" w:space="0" w:color="auto"/>
              <w:right w:val="nil"/>
            </w:tcBorders>
            <w:shd w:val="clear" w:color="auto" w:fill="auto"/>
            <w:noWrap/>
            <w:vAlign w:val="bottom"/>
            <w:hideMark/>
          </w:tcPr>
          <w:p w14:paraId="7EE24219"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104</w:t>
            </w:r>
          </w:p>
        </w:tc>
        <w:tc>
          <w:tcPr>
            <w:tcW w:w="613" w:type="dxa"/>
            <w:tcBorders>
              <w:top w:val="nil"/>
              <w:left w:val="nil"/>
              <w:bottom w:val="single" w:sz="4" w:space="0" w:color="auto"/>
              <w:right w:val="nil"/>
            </w:tcBorders>
            <w:shd w:val="clear" w:color="auto" w:fill="auto"/>
            <w:noWrap/>
            <w:vAlign w:val="bottom"/>
            <w:hideMark/>
          </w:tcPr>
          <w:p w14:paraId="490EB743"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17</w:t>
            </w:r>
          </w:p>
        </w:tc>
        <w:tc>
          <w:tcPr>
            <w:tcW w:w="643" w:type="dxa"/>
            <w:tcBorders>
              <w:top w:val="nil"/>
              <w:left w:val="nil"/>
              <w:bottom w:val="single" w:sz="4" w:space="0" w:color="auto"/>
              <w:right w:val="nil"/>
            </w:tcBorders>
            <w:shd w:val="clear" w:color="auto" w:fill="auto"/>
            <w:noWrap/>
            <w:vAlign w:val="bottom"/>
            <w:hideMark/>
          </w:tcPr>
          <w:p w14:paraId="54995AAF"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14</w:t>
            </w:r>
          </w:p>
        </w:tc>
        <w:tc>
          <w:tcPr>
            <w:tcW w:w="643" w:type="dxa"/>
            <w:tcBorders>
              <w:top w:val="nil"/>
              <w:left w:val="nil"/>
              <w:bottom w:val="single" w:sz="4" w:space="0" w:color="auto"/>
              <w:right w:val="nil"/>
            </w:tcBorders>
            <w:shd w:val="clear" w:color="auto" w:fill="auto"/>
            <w:noWrap/>
            <w:vAlign w:val="bottom"/>
            <w:hideMark/>
          </w:tcPr>
          <w:p w14:paraId="1A38C125"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73</w:t>
            </w:r>
          </w:p>
        </w:tc>
        <w:tc>
          <w:tcPr>
            <w:tcW w:w="643" w:type="dxa"/>
            <w:tcBorders>
              <w:top w:val="nil"/>
              <w:left w:val="nil"/>
              <w:bottom w:val="single" w:sz="4" w:space="0" w:color="auto"/>
              <w:right w:val="nil"/>
            </w:tcBorders>
            <w:shd w:val="clear" w:color="auto" w:fill="auto"/>
            <w:noWrap/>
            <w:vAlign w:val="bottom"/>
            <w:hideMark/>
          </w:tcPr>
          <w:p w14:paraId="0E566C8E"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39</w:t>
            </w:r>
          </w:p>
        </w:tc>
        <w:tc>
          <w:tcPr>
            <w:tcW w:w="643" w:type="dxa"/>
            <w:tcBorders>
              <w:top w:val="nil"/>
              <w:left w:val="nil"/>
              <w:bottom w:val="single" w:sz="4" w:space="0" w:color="auto"/>
              <w:right w:val="nil"/>
            </w:tcBorders>
            <w:shd w:val="clear" w:color="auto" w:fill="auto"/>
            <w:noWrap/>
            <w:vAlign w:val="bottom"/>
            <w:hideMark/>
          </w:tcPr>
          <w:p w14:paraId="248F3B56"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116</w:t>
            </w:r>
          </w:p>
        </w:tc>
        <w:tc>
          <w:tcPr>
            <w:tcW w:w="781" w:type="dxa"/>
            <w:tcBorders>
              <w:top w:val="nil"/>
              <w:left w:val="nil"/>
              <w:bottom w:val="single" w:sz="4" w:space="0" w:color="auto"/>
              <w:right w:val="nil"/>
            </w:tcBorders>
            <w:shd w:val="clear" w:color="auto" w:fill="auto"/>
            <w:noWrap/>
            <w:vAlign w:val="center"/>
            <w:hideMark/>
          </w:tcPr>
          <w:p w14:paraId="25E40B1D" w14:textId="329E50FE" w:rsidR="00CA369C" w:rsidRPr="00730B1E" w:rsidRDefault="00CA369C" w:rsidP="00CA369C">
            <w:pPr>
              <w:spacing w:line="240" w:lineRule="auto"/>
              <w:jc w:val="center"/>
              <w:rPr>
                <w:rFonts w:eastAsia="Times New Roman"/>
                <w:szCs w:val="24"/>
                <w:lang w:eastAsia="cs-CZ"/>
              </w:rPr>
            </w:pPr>
            <w:r w:rsidRPr="00730B1E">
              <w:rPr>
                <w:rFonts w:cs="Calibri"/>
              </w:rPr>
              <w:t>30</w:t>
            </w:r>
          </w:p>
        </w:tc>
        <w:tc>
          <w:tcPr>
            <w:tcW w:w="547" w:type="dxa"/>
            <w:tcBorders>
              <w:top w:val="nil"/>
              <w:left w:val="nil"/>
              <w:bottom w:val="single" w:sz="4" w:space="0" w:color="auto"/>
              <w:right w:val="nil"/>
            </w:tcBorders>
            <w:shd w:val="clear" w:color="auto" w:fill="auto"/>
            <w:noWrap/>
            <w:vAlign w:val="bottom"/>
            <w:hideMark/>
          </w:tcPr>
          <w:p w14:paraId="388B2C34"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10</w:t>
            </w:r>
          </w:p>
        </w:tc>
        <w:tc>
          <w:tcPr>
            <w:tcW w:w="1416" w:type="dxa"/>
            <w:tcBorders>
              <w:top w:val="nil"/>
              <w:left w:val="nil"/>
              <w:bottom w:val="single" w:sz="4" w:space="0" w:color="auto"/>
              <w:right w:val="nil"/>
            </w:tcBorders>
            <w:shd w:val="clear" w:color="auto" w:fill="auto"/>
            <w:noWrap/>
            <w:vAlign w:val="center"/>
            <w:hideMark/>
          </w:tcPr>
          <w:p w14:paraId="4E2BAA78" w14:textId="7E95F4CA" w:rsidR="00CA369C" w:rsidRPr="00730B1E" w:rsidRDefault="00CA369C" w:rsidP="00CA369C">
            <w:pPr>
              <w:spacing w:line="240" w:lineRule="auto"/>
              <w:jc w:val="center"/>
              <w:rPr>
                <w:rFonts w:eastAsia="Times New Roman"/>
                <w:b/>
                <w:bCs/>
                <w:szCs w:val="24"/>
                <w:lang w:eastAsia="cs-CZ"/>
              </w:rPr>
            </w:pPr>
            <w:r w:rsidRPr="00730B1E">
              <w:rPr>
                <w:rFonts w:cs="Calibri"/>
                <w:b/>
                <w:bCs/>
              </w:rPr>
              <w:t>403</w:t>
            </w:r>
          </w:p>
        </w:tc>
      </w:tr>
      <w:tr w:rsidR="00B64E96" w:rsidRPr="00730B1E" w14:paraId="391E13B5" w14:textId="77777777" w:rsidTr="00B12AAA">
        <w:trPr>
          <w:trHeight w:val="315"/>
        </w:trPr>
        <w:tc>
          <w:tcPr>
            <w:tcW w:w="2080" w:type="dxa"/>
            <w:tcBorders>
              <w:top w:val="nil"/>
              <w:left w:val="nil"/>
              <w:bottom w:val="single" w:sz="4" w:space="0" w:color="auto"/>
              <w:right w:val="nil"/>
            </w:tcBorders>
            <w:shd w:val="clear" w:color="auto" w:fill="auto"/>
            <w:noWrap/>
            <w:vAlign w:val="bottom"/>
            <w:hideMark/>
          </w:tcPr>
          <w:p w14:paraId="7E06947B" w14:textId="77777777" w:rsidR="00CA369C" w:rsidRPr="00730B1E" w:rsidRDefault="00CA369C" w:rsidP="00CA369C">
            <w:pPr>
              <w:spacing w:line="240" w:lineRule="auto"/>
              <w:jc w:val="left"/>
              <w:rPr>
                <w:rFonts w:eastAsia="Times New Roman"/>
                <w:szCs w:val="24"/>
                <w:lang w:eastAsia="cs-CZ"/>
              </w:rPr>
            </w:pPr>
            <w:r w:rsidRPr="00730B1E">
              <w:rPr>
                <w:rFonts w:eastAsia="Times New Roman"/>
                <w:szCs w:val="24"/>
                <w:lang w:eastAsia="cs-CZ"/>
              </w:rPr>
              <w:t>KS Brno</w:t>
            </w:r>
          </w:p>
        </w:tc>
        <w:tc>
          <w:tcPr>
            <w:tcW w:w="866" w:type="dxa"/>
            <w:tcBorders>
              <w:top w:val="nil"/>
              <w:left w:val="nil"/>
              <w:bottom w:val="single" w:sz="4" w:space="0" w:color="auto"/>
              <w:right w:val="nil"/>
            </w:tcBorders>
            <w:shd w:val="clear" w:color="auto" w:fill="auto"/>
            <w:noWrap/>
            <w:vAlign w:val="bottom"/>
            <w:hideMark/>
          </w:tcPr>
          <w:p w14:paraId="5D7B31B0"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166</w:t>
            </w:r>
          </w:p>
        </w:tc>
        <w:tc>
          <w:tcPr>
            <w:tcW w:w="613" w:type="dxa"/>
            <w:tcBorders>
              <w:top w:val="nil"/>
              <w:left w:val="nil"/>
              <w:bottom w:val="single" w:sz="4" w:space="0" w:color="auto"/>
              <w:right w:val="nil"/>
            </w:tcBorders>
            <w:shd w:val="clear" w:color="auto" w:fill="auto"/>
            <w:noWrap/>
            <w:vAlign w:val="bottom"/>
            <w:hideMark/>
          </w:tcPr>
          <w:p w14:paraId="5A2E0248"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8</w:t>
            </w:r>
          </w:p>
        </w:tc>
        <w:tc>
          <w:tcPr>
            <w:tcW w:w="643" w:type="dxa"/>
            <w:tcBorders>
              <w:top w:val="nil"/>
              <w:left w:val="nil"/>
              <w:bottom w:val="single" w:sz="4" w:space="0" w:color="auto"/>
              <w:right w:val="nil"/>
            </w:tcBorders>
            <w:shd w:val="clear" w:color="auto" w:fill="auto"/>
            <w:noWrap/>
            <w:vAlign w:val="bottom"/>
            <w:hideMark/>
          </w:tcPr>
          <w:p w14:paraId="321A59BA"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75</w:t>
            </w:r>
          </w:p>
        </w:tc>
        <w:tc>
          <w:tcPr>
            <w:tcW w:w="643" w:type="dxa"/>
            <w:tcBorders>
              <w:top w:val="nil"/>
              <w:left w:val="nil"/>
              <w:bottom w:val="single" w:sz="4" w:space="0" w:color="auto"/>
              <w:right w:val="nil"/>
            </w:tcBorders>
            <w:shd w:val="clear" w:color="auto" w:fill="auto"/>
            <w:noWrap/>
            <w:vAlign w:val="bottom"/>
            <w:hideMark/>
          </w:tcPr>
          <w:p w14:paraId="37F0F8AE"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73</w:t>
            </w:r>
          </w:p>
        </w:tc>
        <w:tc>
          <w:tcPr>
            <w:tcW w:w="643" w:type="dxa"/>
            <w:tcBorders>
              <w:top w:val="nil"/>
              <w:left w:val="nil"/>
              <w:bottom w:val="single" w:sz="4" w:space="0" w:color="auto"/>
              <w:right w:val="nil"/>
            </w:tcBorders>
            <w:shd w:val="clear" w:color="auto" w:fill="auto"/>
            <w:noWrap/>
            <w:vAlign w:val="bottom"/>
            <w:hideMark/>
          </w:tcPr>
          <w:p w14:paraId="32810952"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65</w:t>
            </w:r>
          </w:p>
        </w:tc>
        <w:tc>
          <w:tcPr>
            <w:tcW w:w="643" w:type="dxa"/>
            <w:tcBorders>
              <w:top w:val="nil"/>
              <w:left w:val="nil"/>
              <w:bottom w:val="single" w:sz="4" w:space="0" w:color="auto"/>
              <w:right w:val="nil"/>
            </w:tcBorders>
            <w:shd w:val="clear" w:color="auto" w:fill="auto"/>
            <w:noWrap/>
            <w:vAlign w:val="bottom"/>
            <w:hideMark/>
          </w:tcPr>
          <w:p w14:paraId="1B4F6E07"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152</w:t>
            </w:r>
          </w:p>
        </w:tc>
        <w:tc>
          <w:tcPr>
            <w:tcW w:w="781" w:type="dxa"/>
            <w:tcBorders>
              <w:top w:val="nil"/>
              <w:left w:val="nil"/>
              <w:bottom w:val="single" w:sz="4" w:space="0" w:color="auto"/>
              <w:right w:val="nil"/>
            </w:tcBorders>
            <w:shd w:val="clear" w:color="auto" w:fill="auto"/>
            <w:noWrap/>
            <w:vAlign w:val="center"/>
            <w:hideMark/>
          </w:tcPr>
          <w:p w14:paraId="513CB0D9" w14:textId="59DCE563" w:rsidR="00CA369C" w:rsidRPr="00730B1E" w:rsidRDefault="00CA369C" w:rsidP="00CA369C">
            <w:pPr>
              <w:spacing w:line="240" w:lineRule="auto"/>
              <w:jc w:val="center"/>
              <w:rPr>
                <w:rFonts w:eastAsia="Times New Roman"/>
                <w:szCs w:val="24"/>
                <w:lang w:eastAsia="cs-CZ"/>
              </w:rPr>
            </w:pPr>
            <w:r w:rsidRPr="00730B1E">
              <w:rPr>
                <w:rFonts w:cs="Calibri"/>
              </w:rPr>
              <w:t>140</w:t>
            </w:r>
          </w:p>
        </w:tc>
        <w:tc>
          <w:tcPr>
            <w:tcW w:w="547" w:type="dxa"/>
            <w:tcBorders>
              <w:top w:val="nil"/>
              <w:left w:val="nil"/>
              <w:bottom w:val="single" w:sz="4" w:space="0" w:color="auto"/>
              <w:right w:val="nil"/>
            </w:tcBorders>
            <w:shd w:val="clear" w:color="auto" w:fill="auto"/>
            <w:noWrap/>
            <w:vAlign w:val="bottom"/>
            <w:hideMark/>
          </w:tcPr>
          <w:p w14:paraId="2059586A"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13</w:t>
            </w:r>
          </w:p>
        </w:tc>
        <w:tc>
          <w:tcPr>
            <w:tcW w:w="1416" w:type="dxa"/>
            <w:tcBorders>
              <w:top w:val="nil"/>
              <w:left w:val="nil"/>
              <w:bottom w:val="single" w:sz="4" w:space="0" w:color="auto"/>
              <w:right w:val="nil"/>
            </w:tcBorders>
            <w:shd w:val="clear" w:color="auto" w:fill="auto"/>
            <w:noWrap/>
            <w:vAlign w:val="center"/>
            <w:hideMark/>
          </w:tcPr>
          <w:p w14:paraId="1EA19D59" w14:textId="0A58F87C" w:rsidR="00CA369C" w:rsidRPr="00730B1E" w:rsidRDefault="00CA369C" w:rsidP="00CA369C">
            <w:pPr>
              <w:spacing w:line="240" w:lineRule="auto"/>
              <w:jc w:val="center"/>
              <w:rPr>
                <w:rFonts w:eastAsia="Times New Roman"/>
                <w:b/>
                <w:bCs/>
                <w:szCs w:val="24"/>
                <w:lang w:eastAsia="cs-CZ"/>
              </w:rPr>
            </w:pPr>
            <w:r w:rsidRPr="00730B1E">
              <w:rPr>
                <w:rFonts w:cs="Calibri"/>
                <w:b/>
                <w:bCs/>
              </w:rPr>
              <w:t>692</w:t>
            </w:r>
          </w:p>
        </w:tc>
      </w:tr>
      <w:tr w:rsidR="00B64E96" w:rsidRPr="00730B1E" w14:paraId="036287D2" w14:textId="77777777" w:rsidTr="00B12AAA">
        <w:trPr>
          <w:trHeight w:val="330"/>
        </w:trPr>
        <w:tc>
          <w:tcPr>
            <w:tcW w:w="2080" w:type="dxa"/>
            <w:tcBorders>
              <w:top w:val="nil"/>
              <w:left w:val="nil"/>
              <w:bottom w:val="double" w:sz="6" w:space="0" w:color="auto"/>
              <w:right w:val="nil"/>
            </w:tcBorders>
            <w:shd w:val="clear" w:color="auto" w:fill="auto"/>
            <w:noWrap/>
            <w:vAlign w:val="bottom"/>
            <w:hideMark/>
          </w:tcPr>
          <w:p w14:paraId="51E6DF52" w14:textId="77777777" w:rsidR="00CA369C" w:rsidRPr="00730B1E" w:rsidRDefault="00CA369C" w:rsidP="00CA369C">
            <w:pPr>
              <w:spacing w:line="240" w:lineRule="auto"/>
              <w:jc w:val="left"/>
              <w:rPr>
                <w:rFonts w:eastAsia="Times New Roman"/>
                <w:szCs w:val="24"/>
                <w:lang w:eastAsia="cs-CZ"/>
              </w:rPr>
            </w:pPr>
            <w:r w:rsidRPr="00730B1E">
              <w:rPr>
                <w:rFonts w:eastAsia="Times New Roman"/>
                <w:szCs w:val="24"/>
                <w:lang w:eastAsia="cs-CZ"/>
              </w:rPr>
              <w:t>KS Ostrava</w:t>
            </w:r>
          </w:p>
        </w:tc>
        <w:tc>
          <w:tcPr>
            <w:tcW w:w="866" w:type="dxa"/>
            <w:tcBorders>
              <w:top w:val="nil"/>
              <w:left w:val="nil"/>
              <w:bottom w:val="double" w:sz="6" w:space="0" w:color="auto"/>
              <w:right w:val="nil"/>
            </w:tcBorders>
            <w:shd w:val="clear" w:color="auto" w:fill="auto"/>
            <w:noWrap/>
            <w:vAlign w:val="bottom"/>
            <w:hideMark/>
          </w:tcPr>
          <w:p w14:paraId="21121B17"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193</w:t>
            </w:r>
          </w:p>
        </w:tc>
        <w:tc>
          <w:tcPr>
            <w:tcW w:w="613" w:type="dxa"/>
            <w:tcBorders>
              <w:top w:val="nil"/>
              <w:left w:val="nil"/>
              <w:bottom w:val="double" w:sz="6" w:space="0" w:color="auto"/>
              <w:right w:val="nil"/>
            </w:tcBorders>
            <w:shd w:val="clear" w:color="auto" w:fill="auto"/>
            <w:noWrap/>
            <w:vAlign w:val="bottom"/>
            <w:hideMark/>
          </w:tcPr>
          <w:p w14:paraId="4EA61413"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23</w:t>
            </w:r>
          </w:p>
        </w:tc>
        <w:tc>
          <w:tcPr>
            <w:tcW w:w="643" w:type="dxa"/>
            <w:tcBorders>
              <w:top w:val="nil"/>
              <w:left w:val="nil"/>
              <w:bottom w:val="double" w:sz="6" w:space="0" w:color="auto"/>
              <w:right w:val="nil"/>
            </w:tcBorders>
            <w:shd w:val="clear" w:color="auto" w:fill="auto"/>
            <w:noWrap/>
            <w:vAlign w:val="bottom"/>
            <w:hideMark/>
          </w:tcPr>
          <w:p w14:paraId="545D0B1F"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37</w:t>
            </w:r>
          </w:p>
        </w:tc>
        <w:tc>
          <w:tcPr>
            <w:tcW w:w="643" w:type="dxa"/>
            <w:tcBorders>
              <w:top w:val="nil"/>
              <w:left w:val="nil"/>
              <w:bottom w:val="double" w:sz="6" w:space="0" w:color="auto"/>
              <w:right w:val="nil"/>
            </w:tcBorders>
            <w:shd w:val="clear" w:color="auto" w:fill="auto"/>
            <w:noWrap/>
            <w:vAlign w:val="bottom"/>
            <w:hideMark/>
          </w:tcPr>
          <w:p w14:paraId="10808586"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98</w:t>
            </w:r>
          </w:p>
        </w:tc>
        <w:tc>
          <w:tcPr>
            <w:tcW w:w="643" w:type="dxa"/>
            <w:tcBorders>
              <w:top w:val="nil"/>
              <w:left w:val="nil"/>
              <w:bottom w:val="double" w:sz="6" w:space="0" w:color="auto"/>
              <w:right w:val="nil"/>
            </w:tcBorders>
            <w:shd w:val="clear" w:color="auto" w:fill="auto"/>
            <w:noWrap/>
            <w:vAlign w:val="bottom"/>
            <w:hideMark/>
          </w:tcPr>
          <w:p w14:paraId="2D8F1051"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78</w:t>
            </w:r>
          </w:p>
        </w:tc>
        <w:tc>
          <w:tcPr>
            <w:tcW w:w="643" w:type="dxa"/>
            <w:tcBorders>
              <w:top w:val="nil"/>
              <w:left w:val="nil"/>
              <w:bottom w:val="double" w:sz="6" w:space="0" w:color="auto"/>
              <w:right w:val="nil"/>
            </w:tcBorders>
            <w:shd w:val="clear" w:color="auto" w:fill="auto"/>
            <w:noWrap/>
            <w:vAlign w:val="bottom"/>
            <w:hideMark/>
          </w:tcPr>
          <w:p w14:paraId="6471B476"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186</w:t>
            </w:r>
          </w:p>
        </w:tc>
        <w:tc>
          <w:tcPr>
            <w:tcW w:w="781" w:type="dxa"/>
            <w:tcBorders>
              <w:top w:val="nil"/>
              <w:left w:val="nil"/>
              <w:bottom w:val="double" w:sz="6" w:space="0" w:color="auto"/>
              <w:right w:val="nil"/>
            </w:tcBorders>
            <w:shd w:val="clear" w:color="auto" w:fill="auto"/>
            <w:noWrap/>
            <w:vAlign w:val="center"/>
            <w:hideMark/>
          </w:tcPr>
          <w:p w14:paraId="7925062E" w14:textId="124167A5" w:rsidR="00CA369C" w:rsidRPr="00730B1E" w:rsidRDefault="00CA369C" w:rsidP="00CA369C">
            <w:pPr>
              <w:spacing w:line="240" w:lineRule="auto"/>
              <w:jc w:val="center"/>
              <w:rPr>
                <w:rFonts w:eastAsia="Times New Roman"/>
                <w:szCs w:val="24"/>
                <w:lang w:eastAsia="cs-CZ"/>
              </w:rPr>
            </w:pPr>
            <w:r w:rsidRPr="00730B1E">
              <w:rPr>
                <w:rFonts w:cs="Calibri"/>
              </w:rPr>
              <w:t>121</w:t>
            </w:r>
          </w:p>
        </w:tc>
        <w:tc>
          <w:tcPr>
            <w:tcW w:w="547" w:type="dxa"/>
            <w:tcBorders>
              <w:top w:val="nil"/>
              <w:left w:val="nil"/>
              <w:bottom w:val="double" w:sz="6" w:space="0" w:color="auto"/>
              <w:right w:val="nil"/>
            </w:tcBorders>
            <w:shd w:val="clear" w:color="auto" w:fill="auto"/>
            <w:noWrap/>
            <w:vAlign w:val="bottom"/>
            <w:hideMark/>
          </w:tcPr>
          <w:p w14:paraId="1C6B0175" w14:textId="77777777" w:rsidR="00CA369C" w:rsidRPr="00730B1E" w:rsidRDefault="00CA369C" w:rsidP="00CA369C">
            <w:pPr>
              <w:spacing w:line="240" w:lineRule="auto"/>
              <w:jc w:val="center"/>
              <w:rPr>
                <w:rFonts w:eastAsia="Times New Roman"/>
                <w:szCs w:val="24"/>
                <w:lang w:eastAsia="cs-CZ"/>
              </w:rPr>
            </w:pPr>
            <w:r w:rsidRPr="00730B1E">
              <w:rPr>
                <w:rFonts w:eastAsia="Times New Roman"/>
                <w:szCs w:val="24"/>
                <w:lang w:eastAsia="cs-CZ"/>
              </w:rPr>
              <w:t>14</w:t>
            </w:r>
          </w:p>
        </w:tc>
        <w:tc>
          <w:tcPr>
            <w:tcW w:w="1416" w:type="dxa"/>
            <w:tcBorders>
              <w:top w:val="nil"/>
              <w:left w:val="nil"/>
              <w:bottom w:val="single" w:sz="4" w:space="0" w:color="auto"/>
              <w:right w:val="nil"/>
            </w:tcBorders>
            <w:shd w:val="clear" w:color="auto" w:fill="auto"/>
            <w:noWrap/>
            <w:vAlign w:val="center"/>
            <w:hideMark/>
          </w:tcPr>
          <w:p w14:paraId="5023AAF6" w14:textId="7231DA10" w:rsidR="00CA369C" w:rsidRPr="00730B1E" w:rsidRDefault="00CA369C" w:rsidP="00CA369C">
            <w:pPr>
              <w:spacing w:line="240" w:lineRule="auto"/>
              <w:jc w:val="center"/>
              <w:rPr>
                <w:rFonts w:eastAsia="Times New Roman"/>
                <w:b/>
                <w:bCs/>
                <w:szCs w:val="24"/>
                <w:lang w:eastAsia="cs-CZ"/>
              </w:rPr>
            </w:pPr>
            <w:r w:rsidRPr="00730B1E">
              <w:rPr>
                <w:rFonts w:cs="Calibri"/>
                <w:b/>
                <w:bCs/>
              </w:rPr>
              <w:t>750</w:t>
            </w:r>
          </w:p>
        </w:tc>
      </w:tr>
      <w:tr w:rsidR="00B64E96" w:rsidRPr="00730B1E" w14:paraId="490DF815" w14:textId="77777777" w:rsidTr="00B12AAA">
        <w:trPr>
          <w:trHeight w:val="345"/>
        </w:trPr>
        <w:tc>
          <w:tcPr>
            <w:tcW w:w="2080" w:type="dxa"/>
            <w:tcBorders>
              <w:top w:val="nil"/>
              <w:left w:val="nil"/>
              <w:bottom w:val="double" w:sz="6" w:space="0" w:color="auto"/>
              <w:right w:val="nil"/>
            </w:tcBorders>
            <w:shd w:val="clear" w:color="auto" w:fill="auto"/>
            <w:noWrap/>
            <w:vAlign w:val="bottom"/>
            <w:hideMark/>
          </w:tcPr>
          <w:p w14:paraId="76013EB4" w14:textId="77777777" w:rsidR="00CA369C" w:rsidRPr="00730B1E" w:rsidRDefault="00CA369C" w:rsidP="00CA369C">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866" w:type="dxa"/>
            <w:tcBorders>
              <w:top w:val="nil"/>
              <w:left w:val="nil"/>
              <w:bottom w:val="double" w:sz="6" w:space="0" w:color="auto"/>
              <w:right w:val="nil"/>
            </w:tcBorders>
            <w:shd w:val="clear" w:color="auto" w:fill="auto"/>
            <w:noWrap/>
            <w:vAlign w:val="bottom"/>
            <w:hideMark/>
          </w:tcPr>
          <w:p w14:paraId="28CF812B" w14:textId="2EA43A5A" w:rsidR="00CA369C" w:rsidRPr="00730B1E" w:rsidRDefault="00CA369C" w:rsidP="00CA369C">
            <w:pPr>
              <w:spacing w:line="240" w:lineRule="auto"/>
              <w:jc w:val="center"/>
              <w:rPr>
                <w:rFonts w:eastAsia="Times New Roman"/>
                <w:b/>
                <w:bCs/>
                <w:szCs w:val="24"/>
                <w:lang w:eastAsia="cs-CZ"/>
              </w:rPr>
            </w:pPr>
            <w:r w:rsidRPr="00730B1E">
              <w:rPr>
                <w:rFonts w:eastAsia="Times New Roman"/>
                <w:b/>
                <w:bCs/>
                <w:szCs w:val="24"/>
                <w:lang w:eastAsia="cs-CZ"/>
              </w:rPr>
              <w:t>1 003</w:t>
            </w:r>
          </w:p>
        </w:tc>
        <w:tc>
          <w:tcPr>
            <w:tcW w:w="613" w:type="dxa"/>
            <w:tcBorders>
              <w:top w:val="nil"/>
              <w:left w:val="nil"/>
              <w:bottom w:val="double" w:sz="6" w:space="0" w:color="auto"/>
              <w:right w:val="nil"/>
            </w:tcBorders>
            <w:shd w:val="clear" w:color="auto" w:fill="auto"/>
            <w:noWrap/>
            <w:vAlign w:val="bottom"/>
            <w:hideMark/>
          </w:tcPr>
          <w:p w14:paraId="3B9B192D" w14:textId="77777777" w:rsidR="00CA369C" w:rsidRPr="00730B1E" w:rsidRDefault="00CA369C" w:rsidP="00CA369C">
            <w:pPr>
              <w:spacing w:line="240" w:lineRule="auto"/>
              <w:jc w:val="center"/>
              <w:rPr>
                <w:rFonts w:eastAsia="Times New Roman"/>
                <w:b/>
                <w:bCs/>
                <w:szCs w:val="24"/>
                <w:lang w:eastAsia="cs-CZ"/>
              </w:rPr>
            </w:pPr>
            <w:r w:rsidRPr="00730B1E">
              <w:rPr>
                <w:rFonts w:eastAsia="Times New Roman"/>
                <w:b/>
                <w:bCs/>
                <w:szCs w:val="24"/>
                <w:lang w:eastAsia="cs-CZ"/>
              </w:rPr>
              <w:t>144</w:t>
            </w:r>
          </w:p>
        </w:tc>
        <w:tc>
          <w:tcPr>
            <w:tcW w:w="643" w:type="dxa"/>
            <w:tcBorders>
              <w:top w:val="nil"/>
              <w:left w:val="nil"/>
              <w:bottom w:val="double" w:sz="6" w:space="0" w:color="auto"/>
              <w:right w:val="nil"/>
            </w:tcBorders>
            <w:shd w:val="clear" w:color="auto" w:fill="auto"/>
            <w:noWrap/>
            <w:vAlign w:val="bottom"/>
            <w:hideMark/>
          </w:tcPr>
          <w:p w14:paraId="4821A2EC" w14:textId="77777777" w:rsidR="00CA369C" w:rsidRPr="00730B1E" w:rsidRDefault="00CA369C" w:rsidP="00CA369C">
            <w:pPr>
              <w:spacing w:line="240" w:lineRule="auto"/>
              <w:jc w:val="center"/>
              <w:rPr>
                <w:rFonts w:eastAsia="Times New Roman"/>
                <w:b/>
                <w:bCs/>
                <w:szCs w:val="24"/>
                <w:lang w:eastAsia="cs-CZ"/>
              </w:rPr>
            </w:pPr>
            <w:r w:rsidRPr="00730B1E">
              <w:rPr>
                <w:rFonts w:eastAsia="Times New Roman"/>
                <w:b/>
                <w:bCs/>
                <w:szCs w:val="24"/>
                <w:lang w:eastAsia="cs-CZ"/>
              </w:rPr>
              <w:t>449</w:t>
            </w:r>
          </w:p>
        </w:tc>
        <w:tc>
          <w:tcPr>
            <w:tcW w:w="643" w:type="dxa"/>
            <w:tcBorders>
              <w:top w:val="nil"/>
              <w:left w:val="nil"/>
              <w:bottom w:val="double" w:sz="6" w:space="0" w:color="auto"/>
              <w:right w:val="nil"/>
            </w:tcBorders>
            <w:shd w:val="clear" w:color="auto" w:fill="auto"/>
            <w:noWrap/>
            <w:vAlign w:val="bottom"/>
            <w:hideMark/>
          </w:tcPr>
          <w:p w14:paraId="4D740DD4" w14:textId="77777777" w:rsidR="00CA369C" w:rsidRPr="00730B1E" w:rsidRDefault="00CA369C" w:rsidP="00CA369C">
            <w:pPr>
              <w:spacing w:line="240" w:lineRule="auto"/>
              <w:jc w:val="center"/>
              <w:rPr>
                <w:rFonts w:eastAsia="Times New Roman"/>
                <w:b/>
                <w:bCs/>
                <w:szCs w:val="24"/>
                <w:lang w:eastAsia="cs-CZ"/>
              </w:rPr>
            </w:pPr>
            <w:r w:rsidRPr="00730B1E">
              <w:rPr>
                <w:rFonts w:eastAsia="Times New Roman"/>
                <w:b/>
                <w:bCs/>
                <w:szCs w:val="24"/>
                <w:lang w:eastAsia="cs-CZ"/>
              </w:rPr>
              <w:t>536</w:t>
            </w:r>
          </w:p>
        </w:tc>
        <w:tc>
          <w:tcPr>
            <w:tcW w:w="643" w:type="dxa"/>
            <w:tcBorders>
              <w:top w:val="nil"/>
              <w:left w:val="nil"/>
              <w:bottom w:val="double" w:sz="6" w:space="0" w:color="auto"/>
              <w:right w:val="nil"/>
            </w:tcBorders>
            <w:shd w:val="clear" w:color="auto" w:fill="auto"/>
            <w:noWrap/>
            <w:vAlign w:val="bottom"/>
            <w:hideMark/>
          </w:tcPr>
          <w:p w14:paraId="78434C8A" w14:textId="77777777" w:rsidR="00CA369C" w:rsidRPr="00730B1E" w:rsidRDefault="00CA369C" w:rsidP="00CA369C">
            <w:pPr>
              <w:spacing w:line="240" w:lineRule="auto"/>
              <w:jc w:val="center"/>
              <w:rPr>
                <w:rFonts w:eastAsia="Times New Roman"/>
                <w:b/>
                <w:bCs/>
                <w:szCs w:val="24"/>
                <w:lang w:eastAsia="cs-CZ"/>
              </w:rPr>
            </w:pPr>
            <w:r w:rsidRPr="00730B1E">
              <w:rPr>
                <w:rFonts w:eastAsia="Times New Roman"/>
                <w:b/>
                <w:bCs/>
                <w:szCs w:val="24"/>
                <w:lang w:eastAsia="cs-CZ"/>
              </w:rPr>
              <w:t>422</w:t>
            </w:r>
          </w:p>
        </w:tc>
        <w:tc>
          <w:tcPr>
            <w:tcW w:w="643" w:type="dxa"/>
            <w:tcBorders>
              <w:top w:val="nil"/>
              <w:left w:val="nil"/>
              <w:bottom w:val="double" w:sz="6" w:space="0" w:color="auto"/>
              <w:right w:val="nil"/>
            </w:tcBorders>
            <w:shd w:val="clear" w:color="auto" w:fill="auto"/>
            <w:noWrap/>
            <w:vAlign w:val="bottom"/>
            <w:hideMark/>
          </w:tcPr>
          <w:p w14:paraId="48DC31C2" w14:textId="77777777" w:rsidR="00CA369C" w:rsidRPr="00730B1E" w:rsidRDefault="00CA369C" w:rsidP="00CA369C">
            <w:pPr>
              <w:spacing w:line="240" w:lineRule="auto"/>
              <w:jc w:val="center"/>
              <w:rPr>
                <w:rFonts w:eastAsia="Times New Roman"/>
                <w:b/>
                <w:bCs/>
                <w:szCs w:val="24"/>
                <w:lang w:eastAsia="cs-CZ"/>
              </w:rPr>
            </w:pPr>
            <w:r w:rsidRPr="00730B1E">
              <w:rPr>
                <w:rFonts w:eastAsia="Times New Roman"/>
                <w:b/>
                <w:bCs/>
                <w:szCs w:val="24"/>
                <w:lang w:eastAsia="cs-CZ"/>
              </w:rPr>
              <w:t>871</w:t>
            </w:r>
          </w:p>
        </w:tc>
        <w:tc>
          <w:tcPr>
            <w:tcW w:w="781" w:type="dxa"/>
            <w:tcBorders>
              <w:top w:val="nil"/>
              <w:left w:val="nil"/>
              <w:bottom w:val="double" w:sz="6" w:space="0" w:color="auto"/>
              <w:right w:val="nil"/>
            </w:tcBorders>
            <w:shd w:val="clear" w:color="auto" w:fill="auto"/>
            <w:noWrap/>
            <w:vAlign w:val="center"/>
            <w:hideMark/>
          </w:tcPr>
          <w:p w14:paraId="426DC168" w14:textId="7D878FB2" w:rsidR="00CA369C" w:rsidRPr="00730B1E" w:rsidRDefault="00CA369C" w:rsidP="00CA369C">
            <w:pPr>
              <w:spacing w:line="240" w:lineRule="auto"/>
              <w:jc w:val="center"/>
              <w:rPr>
                <w:rFonts w:eastAsia="Times New Roman"/>
                <w:b/>
                <w:bCs/>
                <w:szCs w:val="24"/>
                <w:lang w:eastAsia="cs-CZ"/>
              </w:rPr>
            </w:pPr>
            <w:r w:rsidRPr="00730B1E">
              <w:rPr>
                <w:rFonts w:cs="Calibri"/>
                <w:b/>
                <w:bCs/>
              </w:rPr>
              <w:t>791</w:t>
            </w:r>
          </w:p>
        </w:tc>
        <w:tc>
          <w:tcPr>
            <w:tcW w:w="547" w:type="dxa"/>
            <w:tcBorders>
              <w:top w:val="nil"/>
              <w:left w:val="nil"/>
              <w:bottom w:val="double" w:sz="6" w:space="0" w:color="auto"/>
              <w:right w:val="nil"/>
            </w:tcBorders>
            <w:shd w:val="clear" w:color="auto" w:fill="auto"/>
            <w:noWrap/>
            <w:vAlign w:val="bottom"/>
            <w:hideMark/>
          </w:tcPr>
          <w:p w14:paraId="07A19C22" w14:textId="77777777" w:rsidR="00CA369C" w:rsidRPr="00730B1E" w:rsidRDefault="00CA369C" w:rsidP="00CA369C">
            <w:pPr>
              <w:spacing w:line="240" w:lineRule="auto"/>
              <w:jc w:val="center"/>
              <w:rPr>
                <w:rFonts w:eastAsia="Times New Roman"/>
                <w:b/>
                <w:bCs/>
                <w:szCs w:val="24"/>
                <w:lang w:eastAsia="cs-CZ"/>
              </w:rPr>
            </w:pPr>
            <w:r w:rsidRPr="00730B1E">
              <w:rPr>
                <w:rFonts w:eastAsia="Times New Roman"/>
                <w:b/>
                <w:bCs/>
                <w:szCs w:val="24"/>
                <w:lang w:eastAsia="cs-CZ"/>
              </w:rPr>
              <w:t>83</w:t>
            </w:r>
          </w:p>
        </w:tc>
        <w:tc>
          <w:tcPr>
            <w:tcW w:w="1416" w:type="dxa"/>
            <w:tcBorders>
              <w:top w:val="double" w:sz="6" w:space="0" w:color="auto"/>
              <w:left w:val="nil"/>
              <w:bottom w:val="double" w:sz="6" w:space="0" w:color="auto"/>
              <w:right w:val="nil"/>
            </w:tcBorders>
            <w:shd w:val="clear" w:color="auto" w:fill="auto"/>
            <w:noWrap/>
            <w:vAlign w:val="center"/>
            <w:hideMark/>
          </w:tcPr>
          <w:p w14:paraId="5DEF86A9" w14:textId="54A0917B" w:rsidR="00CA369C" w:rsidRPr="00730B1E" w:rsidRDefault="00CA369C" w:rsidP="00CA369C">
            <w:pPr>
              <w:spacing w:line="240" w:lineRule="auto"/>
              <w:jc w:val="center"/>
              <w:rPr>
                <w:rFonts w:eastAsia="Times New Roman"/>
                <w:b/>
                <w:bCs/>
                <w:szCs w:val="24"/>
                <w:lang w:eastAsia="cs-CZ"/>
              </w:rPr>
            </w:pPr>
            <w:r w:rsidRPr="00730B1E">
              <w:rPr>
                <w:rFonts w:cs="Calibri"/>
                <w:b/>
                <w:bCs/>
              </w:rPr>
              <w:t>4 299</w:t>
            </w:r>
          </w:p>
        </w:tc>
      </w:tr>
      <w:tr w:rsidR="00B64E96" w:rsidRPr="00730B1E" w14:paraId="51F22CCB" w14:textId="77777777" w:rsidTr="00CA369C">
        <w:trPr>
          <w:trHeight w:val="330"/>
        </w:trPr>
        <w:tc>
          <w:tcPr>
            <w:tcW w:w="2080" w:type="dxa"/>
            <w:tcBorders>
              <w:top w:val="nil"/>
              <w:left w:val="nil"/>
              <w:bottom w:val="nil"/>
              <w:right w:val="nil"/>
            </w:tcBorders>
            <w:shd w:val="clear" w:color="auto" w:fill="auto"/>
            <w:noWrap/>
            <w:vAlign w:val="bottom"/>
            <w:hideMark/>
          </w:tcPr>
          <w:p w14:paraId="37F30CAE" w14:textId="77777777" w:rsidR="00133546" w:rsidRPr="00730B1E" w:rsidRDefault="00133546" w:rsidP="00133546">
            <w:pPr>
              <w:spacing w:line="240" w:lineRule="auto"/>
              <w:jc w:val="center"/>
              <w:rPr>
                <w:rFonts w:eastAsia="Times New Roman"/>
                <w:b/>
                <w:bCs/>
                <w:szCs w:val="24"/>
                <w:lang w:eastAsia="cs-CZ"/>
              </w:rPr>
            </w:pPr>
          </w:p>
        </w:tc>
        <w:tc>
          <w:tcPr>
            <w:tcW w:w="866" w:type="dxa"/>
            <w:tcBorders>
              <w:top w:val="nil"/>
              <w:left w:val="nil"/>
              <w:bottom w:val="nil"/>
              <w:right w:val="nil"/>
            </w:tcBorders>
            <w:shd w:val="clear" w:color="auto" w:fill="auto"/>
            <w:noWrap/>
            <w:vAlign w:val="bottom"/>
            <w:hideMark/>
          </w:tcPr>
          <w:p w14:paraId="023A3AE5" w14:textId="77777777" w:rsidR="00133546" w:rsidRPr="00DF07F3" w:rsidRDefault="00133546" w:rsidP="00133546">
            <w:pPr>
              <w:spacing w:line="240" w:lineRule="auto"/>
              <w:jc w:val="left"/>
              <w:rPr>
                <w:sz w:val="20"/>
              </w:rPr>
            </w:pPr>
          </w:p>
        </w:tc>
        <w:tc>
          <w:tcPr>
            <w:tcW w:w="613" w:type="dxa"/>
            <w:tcBorders>
              <w:top w:val="nil"/>
              <w:left w:val="nil"/>
              <w:bottom w:val="nil"/>
              <w:right w:val="nil"/>
            </w:tcBorders>
            <w:shd w:val="clear" w:color="auto" w:fill="auto"/>
            <w:noWrap/>
            <w:vAlign w:val="bottom"/>
            <w:hideMark/>
          </w:tcPr>
          <w:p w14:paraId="0EF201D7" w14:textId="77777777" w:rsidR="00133546" w:rsidRPr="00DF07F3" w:rsidRDefault="00133546" w:rsidP="00133546">
            <w:pPr>
              <w:spacing w:line="240" w:lineRule="auto"/>
              <w:jc w:val="left"/>
              <w:rPr>
                <w:sz w:val="20"/>
              </w:rPr>
            </w:pPr>
          </w:p>
        </w:tc>
        <w:tc>
          <w:tcPr>
            <w:tcW w:w="643" w:type="dxa"/>
            <w:tcBorders>
              <w:top w:val="nil"/>
              <w:left w:val="nil"/>
              <w:bottom w:val="nil"/>
              <w:right w:val="nil"/>
            </w:tcBorders>
            <w:shd w:val="clear" w:color="auto" w:fill="auto"/>
            <w:noWrap/>
            <w:vAlign w:val="bottom"/>
            <w:hideMark/>
          </w:tcPr>
          <w:p w14:paraId="753D53BF" w14:textId="77777777" w:rsidR="00133546" w:rsidRPr="00DF07F3" w:rsidRDefault="00133546" w:rsidP="00133546">
            <w:pPr>
              <w:spacing w:line="240" w:lineRule="auto"/>
              <w:jc w:val="left"/>
              <w:rPr>
                <w:sz w:val="20"/>
              </w:rPr>
            </w:pPr>
          </w:p>
        </w:tc>
        <w:tc>
          <w:tcPr>
            <w:tcW w:w="643" w:type="dxa"/>
            <w:tcBorders>
              <w:top w:val="nil"/>
              <w:left w:val="nil"/>
              <w:bottom w:val="nil"/>
              <w:right w:val="nil"/>
            </w:tcBorders>
            <w:shd w:val="clear" w:color="auto" w:fill="auto"/>
            <w:noWrap/>
            <w:vAlign w:val="bottom"/>
            <w:hideMark/>
          </w:tcPr>
          <w:p w14:paraId="4CC2B189" w14:textId="77777777" w:rsidR="00133546" w:rsidRPr="00DF07F3" w:rsidRDefault="00133546" w:rsidP="00133546">
            <w:pPr>
              <w:spacing w:line="240" w:lineRule="auto"/>
              <w:jc w:val="left"/>
              <w:rPr>
                <w:sz w:val="20"/>
              </w:rPr>
            </w:pPr>
          </w:p>
        </w:tc>
        <w:tc>
          <w:tcPr>
            <w:tcW w:w="643" w:type="dxa"/>
            <w:tcBorders>
              <w:top w:val="nil"/>
              <w:left w:val="nil"/>
              <w:bottom w:val="nil"/>
              <w:right w:val="nil"/>
            </w:tcBorders>
            <w:shd w:val="clear" w:color="auto" w:fill="auto"/>
            <w:noWrap/>
            <w:vAlign w:val="bottom"/>
            <w:hideMark/>
          </w:tcPr>
          <w:p w14:paraId="6421A504" w14:textId="77777777" w:rsidR="00133546" w:rsidRPr="00DF07F3" w:rsidRDefault="00133546" w:rsidP="00133546">
            <w:pPr>
              <w:spacing w:line="240" w:lineRule="auto"/>
              <w:jc w:val="left"/>
              <w:rPr>
                <w:sz w:val="20"/>
              </w:rPr>
            </w:pPr>
          </w:p>
        </w:tc>
        <w:tc>
          <w:tcPr>
            <w:tcW w:w="643" w:type="dxa"/>
            <w:tcBorders>
              <w:top w:val="nil"/>
              <w:left w:val="nil"/>
              <w:bottom w:val="nil"/>
              <w:right w:val="nil"/>
            </w:tcBorders>
            <w:shd w:val="clear" w:color="auto" w:fill="auto"/>
            <w:noWrap/>
            <w:vAlign w:val="bottom"/>
            <w:hideMark/>
          </w:tcPr>
          <w:p w14:paraId="79C478E5" w14:textId="77777777" w:rsidR="00133546" w:rsidRPr="00DF07F3" w:rsidRDefault="00133546" w:rsidP="00133546">
            <w:pPr>
              <w:spacing w:line="240" w:lineRule="auto"/>
              <w:jc w:val="left"/>
              <w:rPr>
                <w:sz w:val="20"/>
              </w:rPr>
            </w:pPr>
          </w:p>
        </w:tc>
        <w:tc>
          <w:tcPr>
            <w:tcW w:w="781" w:type="dxa"/>
            <w:tcBorders>
              <w:top w:val="nil"/>
              <w:left w:val="nil"/>
              <w:bottom w:val="nil"/>
              <w:right w:val="nil"/>
            </w:tcBorders>
            <w:shd w:val="clear" w:color="auto" w:fill="auto"/>
            <w:noWrap/>
            <w:vAlign w:val="bottom"/>
            <w:hideMark/>
          </w:tcPr>
          <w:p w14:paraId="015EDF5C" w14:textId="77777777" w:rsidR="00133546" w:rsidRPr="00DF07F3" w:rsidRDefault="00133546" w:rsidP="00133546">
            <w:pPr>
              <w:spacing w:line="240" w:lineRule="auto"/>
              <w:jc w:val="left"/>
              <w:rPr>
                <w:sz w:val="20"/>
              </w:rPr>
            </w:pPr>
          </w:p>
        </w:tc>
        <w:tc>
          <w:tcPr>
            <w:tcW w:w="547" w:type="dxa"/>
            <w:tcBorders>
              <w:top w:val="nil"/>
              <w:left w:val="nil"/>
              <w:bottom w:val="nil"/>
              <w:right w:val="nil"/>
            </w:tcBorders>
            <w:shd w:val="clear" w:color="auto" w:fill="auto"/>
            <w:noWrap/>
            <w:vAlign w:val="bottom"/>
            <w:hideMark/>
          </w:tcPr>
          <w:p w14:paraId="2FAB6AC5" w14:textId="77777777" w:rsidR="00133546" w:rsidRPr="00DF07F3" w:rsidRDefault="00133546" w:rsidP="00133546">
            <w:pPr>
              <w:spacing w:line="240" w:lineRule="auto"/>
              <w:jc w:val="left"/>
              <w:rPr>
                <w:sz w:val="20"/>
              </w:rPr>
            </w:pPr>
          </w:p>
        </w:tc>
        <w:tc>
          <w:tcPr>
            <w:tcW w:w="1416" w:type="dxa"/>
            <w:tcBorders>
              <w:top w:val="nil"/>
              <w:left w:val="nil"/>
              <w:bottom w:val="nil"/>
              <w:right w:val="nil"/>
            </w:tcBorders>
            <w:shd w:val="clear" w:color="auto" w:fill="auto"/>
            <w:noWrap/>
            <w:vAlign w:val="bottom"/>
            <w:hideMark/>
          </w:tcPr>
          <w:p w14:paraId="5E2BD0B2" w14:textId="77777777" w:rsidR="00133546" w:rsidRPr="00DF07F3" w:rsidRDefault="00133546" w:rsidP="00133546">
            <w:pPr>
              <w:spacing w:line="240" w:lineRule="auto"/>
              <w:jc w:val="left"/>
              <w:rPr>
                <w:sz w:val="20"/>
              </w:rPr>
            </w:pPr>
          </w:p>
        </w:tc>
      </w:tr>
    </w:tbl>
    <w:p w14:paraId="5E89A805" w14:textId="77777777" w:rsidR="00133546" w:rsidRPr="00730B1E" w:rsidRDefault="00133546" w:rsidP="00133546">
      <w:pPr>
        <w:pStyle w:val="OdstavecASR"/>
      </w:pPr>
      <w:r w:rsidRPr="00730B1E">
        <w:t>Plánovaný počet zaměstnanců ve výkonu se stejně jako plánovaný počet soudců odvíjí od systemizace. Evidenční počet zaměstnanců se odvíjí od plánovaného počtu zaměstnanců ve výkonu, ale závisí také na situaci na trhu práce a personální politice jednotlivých soudů. Z toho ve výsledku plyne skutečnost, že poměr počtu soudců k počtu zaměstnanců ve výkonu je sice u všech soudů podobný, ale zdaleka ne totožný.</w:t>
      </w:r>
    </w:p>
    <w:p w14:paraId="61FFA759" w14:textId="0DD03E7D" w:rsidR="00133546" w:rsidRPr="00730B1E" w:rsidRDefault="00133546" w:rsidP="00133546">
      <w:pPr>
        <w:pStyle w:val="OdstavecASR"/>
      </w:pPr>
      <w:r w:rsidRPr="00730B1E">
        <w:t xml:space="preserve">K 1. 1. 2023 pracovalo u okresních soudů celkem </w:t>
      </w:r>
      <w:r w:rsidR="00CA369C" w:rsidRPr="00730B1E">
        <w:t>4 299</w:t>
      </w:r>
      <w:r w:rsidRPr="00730B1E">
        <w:t xml:space="preserve"> zaměstnanců ve výkonu. </w:t>
      </w:r>
      <w:r w:rsidR="00B12AAA" w:rsidRPr="00730B1E">
        <w:t xml:space="preserve">Celkový </w:t>
      </w:r>
      <w:r w:rsidR="00CA369C" w:rsidRPr="00730B1E">
        <w:t>počet se skoro nezměnil</w:t>
      </w:r>
      <w:r w:rsidR="00B12AAA" w:rsidRPr="00730B1E">
        <w:t xml:space="preserve">. </w:t>
      </w:r>
      <w:r w:rsidR="00E01598" w:rsidRPr="00730B1E">
        <w:t xml:space="preserve">K posunům nicméně dochází mezi jednotlivými </w:t>
      </w:r>
      <w:r w:rsidR="00A44A45" w:rsidRPr="00730B1E">
        <w:t>kategori</w:t>
      </w:r>
      <w:r w:rsidR="00E01598" w:rsidRPr="00730B1E">
        <w:t>emi</w:t>
      </w:r>
      <w:r w:rsidR="00A44A45" w:rsidRPr="00730B1E">
        <w:t xml:space="preserve"> zaměstnanc</w:t>
      </w:r>
      <w:r w:rsidR="00BF73F0" w:rsidRPr="00730B1E">
        <w:t>ů</w:t>
      </w:r>
      <w:r w:rsidR="00A44A45" w:rsidRPr="00730B1E">
        <w:t xml:space="preserve">. Například </w:t>
      </w:r>
      <w:r w:rsidR="00E01598" w:rsidRPr="00730B1E">
        <w:t xml:space="preserve">se </w:t>
      </w:r>
      <w:r w:rsidR="00A44A45" w:rsidRPr="00730B1E">
        <w:t xml:space="preserve">významně zvýšil počet rejstříkových vedoucí a naopak </w:t>
      </w:r>
      <w:r w:rsidR="00423F68" w:rsidRPr="00730B1E">
        <w:t xml:space="preserve">úměrně tomu </w:t>
      </w:r>
      <w:r w:rsidR="00A44A45" w:rsidRPr="00730B1E">
        <w:t>klesl počet zapisovatelek</w:t>
      </w:r>
      <w:r w:rsidR="00423F68" w:rsidRPr="00730B1E">
        <w:t xml:space="preserve"> a vedoucích kanceláří</w:t>
      </w:r>
      <w:r w:rsidR="00A44A45" w:rsidRPr="00730B1E">
        <w:t>.</w:t>
      </w:r>
      <w:r w:rsidR="00423F68" w:rsidRPr="00730B1E">
        <w:t xml:space="preserve"> </w:t>
      </w:r>
      <w:r w:rsidR="00E01598" w:rsidRPr="00730B1E">
        <w:t xml:space="preserve">Důvodem jsou pravděpodobně změny organizace práce u soudů a </w:t>
      </w:r>
      <w:r w:rsidR="00EF4786" w:rsidRPr="00730B1E">
        <w:t xml:space="preserve">snaha </w:t>
      </w:r>
      <w:r w:rsidR="004D5B39" w:rsidRPr="00730B1E">
        <w:t xml:space="preserve">poskytnout </w:t>
      </w:r>
      <w:r w:rsidR="00423F68" w:rsidRPr="00730B1E">
        <w:t>lepší finanční ohodnocení zkušen</w:t>
      </w:r>
      <w:r w:rsidR="00BF73F0" w:rsidRPr="00730B1E">
        <w:t>ým</w:t>
      </w:r>
      <w:r w:rsidR="00423F68" w:rsidRPr="00730B1E">
        <w:t xml:space="preserve"> </w:t>
      </w:r>
      <w:r w:rsidR="00BF73F0" w:rsidRPr="00730B1E">
        <w:t xml:space="preserve">zapisovatelkám (zapisovatelům) zařazením na pozici rejstříkové vedoucí. </w:t>
      </w:r>
      <w:r w:rsidR="00A44A45" w:rsidRPr="00730B1E">
        <w:t xml:space="preserve">U ostatních kategorií došlo jen </w:t>
      </w:r>
      <w:r w:rsidR="00EF4786" w:rsidRPr="00730B1E">
        <w:t xml:space="preserve">k </w:t>
      </w:r>
      <w:r w:rsidR="00A44A45" w:rsidRPr="00730B1E">
        <w:t>mírným změnám</w:t>
      </w:r>
      <w:r w:rsidR="00423F68" w:rsidRPr="00730B1E">
        <w:t xml:space="preserve"> v řádu několik</w:t>
      </w:r>
      <w:r w:rsidR="00E01598" w:rsidRPr="00730B1E">
        <w:t>a</w:t>
      </w:r>
      <w:r w:rsidR="00B12AAA" w:rsidRPr="00730B1E">
        <w:t xml:space="preserve"> </w:t>
      </w:r>
      <w:r w:rsidR="00423F68" w:rsidRPr="00730B1E">
        <w:t xml:space="preserve">jednotek. </w:t>
      </w:r>
    </w:p>
    <w:p w14:paraId="7F10B5AE" w14:textId="77777777" w:rsidR="00133546" w:rsidRPr="00730B1E" w:rsidRDefault="00133546" w:rsidP="00133546">
      <w:pPr>
        <w:pStyle w:val="OdstavecASR"/>
      </w:pPr>
      <w:r w:rsidRPr="00730B1E">
        <w:t>Pro úplnost následuje krátké shrnutí pravomocí a pracovní náplně jednotlivých pracovníků soudu:</w:t>
      </w:r>
    </w:p>
    <w:p w14:paraId="3F16CD38" w14:textId="77777777" w:rsidR="00133546" w:rsidRPr="00730B1E" w:rsidRDefault="00133546" w:rsidP="00A94F8F">
      <w:pPr>
        <w:pStyle w:val="Odstavecseseznamem"/>
        <w:numPr>
          <w:ilvl w:val="0"/>
          <w:numId w:val="16"/>
        </w:numPr>
      </w:pPr>
      <w:r w:rsidRPr="00730B1E">
        <w:rPr>
          <w:b/>
        </w:rPr>
        <w:t xml:space="preserve">Vyšší soudní úředník (VSÚ) </w:t>
      </w:r>
      <w:r w:rsidRPr="00730B1E">
        <w:t>– rozsah činnosti vyššího soudního úředníka je vymezen v Hlavě II. z. č. 121/2008 Sb., o vyšších soudních úřednících a vyšších úřednících státního zastupitelství a o změně souvisejících zákonů, ve znění pozdějších předpisů. Může provádět, nestanoví-li zvláštní zákon jinak, v občanském soudním řízení, v soudním řízení správním a v trestním řízení veškeré úkony soudu prvního stupně, s výjimkou úkonů uvedených v ust. § 11 a 12 citovaného zákona jako je například vedení jednání ve věci samé, rozhodování ve věci samé formou rozsudku, rozhodování o předběžném opatření, rozhodování a provádění úkonů při jednání soudu v hlavním líčení, veřejném zasedání a neveřejném zasedání,</w:t>
      </w:r>
      <w:r w:rsidRPr="00730B1E">
        <w:rPr>
          <w:rFonts w:eastAsiaTheme="minorEastAsia" w:cs="Arial"/>
          <w:sz w:val="16"/>
          <w:szCs w:val="16"/>
          <w:lang w:eastAsia="cs-CZ"/>
        </w:rPr>
        <w:t xml:space="preserve"> </w:t>
      </w:r>
      <w:r w:rsidRPr="00730B1E">
        <w:t>vydání trestního příkazu, příkazu k zatčení atd. Může jím být pouze absolvent studia na Justiční akademii v Kroměříži nebo absolvent vysokoškolského bakalářského nebo magisterského studijního programu v oblasti práva.</w:t>
      </w:r>
    </w:p>
    <w:p w14:paraId="68CBC4AB" w14:textId="77777777" w:rsidR="00133546" w:rsidRPr="00730B1E" w:rsidRDefault="00133546" w:rsidP="00A94F8F">
      <w:pPr>
        <w:pStyle w:val="Odstavecseseznamem"/>
        <w:numPr>
          <w:ilvl w:val="0"/>
          <w:numId w:val="16"/>
        </w:numPr>
        <w:rPr>
          <w:b/>
        </w:rPr>
      </w:pPr>
      <w:r w:rsidRPr="00730B1E">
        <w:rPr>
          <w:b/>
        </w:rPr>
        <w:t xml:space="preserve">Soudní tajemník (ST) </w:t>
      </w:r>
      <w:r w:rsidRPr="00730B1E">
        <w:t xml:space="preserve">– může jím být pouze osoba s úspěšně složenou maturitní zkouškou. Může provádět jednoduché úkony, ke kterým je pověřen předsedou soudu. Jedná se například o dožádání v jednoduchých věcech, sepisování podání, včetně návrhů apod. – úkony soudních tajemníků jsou vymezeny v ust. § 6 vyhlášky Ministerstva </w:t>
      </w:r>
      <w:r w:rsidRPr="00730B1E">
        <w:lastRenderedPageBreak/>
        <w:t>spravedlnosti č. 37/1992 Sb. ze dne 23. 12. 1991 o jednacím řádu pro okresní a krajské soudy, ve znění pozdějších předpisů.</w:t>
      </w:r>
    </w:p>
    <w:p w14:paraId="6C44C077" w14:textId="77777777" w:rsidR="00133546" w:rsidRPr="00730B1E" w:rsidRDefault="00133546" w:rsidP="00A94F8F">
      <w:pPr>
        <w:pStyle w:val="Odstavecseseznamem"/>
        <w:numPr>
          <w:ilvl w:val="0"/>
          <w:numId w:val="16"/>
        </w:numPr>
      </w:pPr>
      <w:r w:rsidRPr="00730B1E">
        <w:rPr>
          <w:b/>
        </w:rPr>
        <w:t xml:space="preserve">Asistent soudce (A) </w:t>
      </w:r>
      <w:r w:rsidRPr="00730B1E">
        <w:t>– samostatně vykonává jednotlivé úkony v soudním řízení z pověření soudce, jehož je asistentem, například zpracovává koncepty rozhodnutí. Podílí se na rozhodovací činnosti soudu v rozsahu stanoveném zvláštním právním předpisem pro vyšší soudní úředníky. Je jmenován předsedou soudu k návrhu příslušného soudce. Může jím být pouze absolvent vysokoškolského magisterského studijního programu v oblasti práva.</w:t>
      </w:r>
    </w:p>
    <w:p w14:paraId="24988819" w14:textId="6FB21121" w:rsidR="00133546" w:rsidRPr="00730B1E" w:rsidRDefault="00133546" w:rsidP="00A94F8F">
      <w:pPr>
        <w:pStyle w:val="Odstavecseseznamem"/>
        <w:numPr>
          <w:ilvl w:val="0"/>
          <w:numId w:val="16"/>
        </w:numPr>
        <w:rPr>
          <w:b/>
        </w:rPr>
      </w:pPr>
      <w:r w:rsidRPr="00730B1E">
        <w:rPr>
          <w:b/>
        </w:rPr>
        <w:t xml:space="preserve">Vedoucí kanceláře (VK) </w:t>
      </w:r>
      <w:r w:rsidRPr="00730B1E">
        <w:t>– vede rejstříky, řídí práci zapisovatelek většinou ve více soudních odděleních, vykonáv</w:t>
      </w:r>
      <w:r w:rsidR="00952A2C" w:rsidRPr="00730B1E">
        <w:t>á</w:t>
      </w:r>
      <w:r w:rsidRPr="00730B1E">
        <w:t xml:space="preserve"> i </w:t>
      </w:r>
      <w:r w:rsidR="00952A2C" w:rsidRPr="00730B1E">
        <w:t xml:space="preserve">některé </w:t>
      </w:r>
      <w:r w:rsidRPr="00730B1E">
        <w:t>administrativní práce dle pokynů soudce, vyššího soudního úředníka apod. Někdy bývá označována i jako rejstříková vedoucí či referentka soudní kanceláře.</w:t>
      </w:r>
    </w:p>
    <w:p w14:paraId="0AA9EC18" w14:textId="77777777" w:rsidR="00133546" w:rsidRPr="00730B1E" w:rsidRDefault="00133546" w:rsidP="00A94F8F">
      <w:pPr>
        <w:pStyle w:val="Odstavecseseznamem"/>
        <w:numPr>
          <w:ilvl w:val="0"/>
          <w:numId w:val="16"/>
        </w:numPr>
        <w:rPr>
          <w:b/>
        </w:rPr>
      </w:pPr>
      <w:r w:rsidRPr="00730B1E">
        <w:rPr>
          <w:b/>
        </w:rPr>
        <w:t xml:space="preserve">Protokolující úředník (PÚ) </w:t>
      </w:r>
      <w:r w:rsidRPr="00730B1E">
        <w:t>– pořizuje zvukový záznam o průběhu hlavního líčení a na jeho podkladě vypracuje protokol.</w:t>
      </w:r>
    </w:p>
    <w:p w14:paraId="33D3135C" w14:textId="4599F92E" w:rsidR="00133546" w:rsidRPr="00730B1E" w:rsidRDefault="00133546" w:rsidP="00A94F8F">
      <w:pPr>
        <w:pStyle w:val="Odstavecseseznamem"/>
        <w:numPr>
          <w:ilvl w:val="0"/>
          <w:numId w:val="16"/>
        </w:numPr>
      </w:pPr>
      <w:r w:rsidRPr="00730B1E">
        <w:rPr>
          <w:b/>
        </w:rPr>
        <w:t xml:space="preserve">Rejstříková vedoucí (RV) </w:t>
      </w:r>
      <w:r w:rsidRPr="00730B1E">
        <w:t>– většinou vede rejstřík</w:t>
      </w:r>
      <w:r w:rsidR="00974B01" w:rsidRPr="00730B1E">
        <w:t xml:space="preserve"> pro jedno soudní oddělení</w:t>
      </w:r>
      <w:r w:rsidR="00E01598" w:rsidRPr="00730B1E">
        <w:t>,</w:t>
      </w:r>
      <w:r w:rsidR="00974B01" w:rsidRPr="00730B1E">
        <w:t xml:space="preserve"> </w:t>
      </w:r>
      <w:r w:rsidRPr="00730B1E">
        <w:t>munduje (zpracovává) spisy a sepisuje protokol o jednání v jednací síni dle diktátu soudce, popř. přepisu zvukového nebo zvukově-obrazového záznamu o průběhu jednání. Tato pozice je zaměnitelná s pozicí vedoucí kanceláře.</w:t>
      </w:r>
    </w:p>
    <w:p w14:paraId="439A8491" w14:textId="77777777" w:rsidR="00133546" w:rsidRPr="00730B1E" w:rsidRDefault="00133546" w:rsidP="00A94F8F">
      <w:pPr>
        <w:pStyle w:val="Odstavecseseznamem"/>
        <w:numPr>
          <w:ilvl w:val="0"/>
          <w:numId w:val="16"/>
        </w:numPr>
        <w:rPr>
          <w:b/>
        </w:rPr>
      </w:pPr>
      <w:r w:rsidRPr="00730B1E">
        <w:rPr>
          <w:b/>
        </w:rPr>
        <w:t xml:space="preserve">Zapisovatelka (Z) </w:t>
      </w:r>
      <w:r w:rsidRPr="00730B1E">
        <w:t>– munduje (zpracovává) spisy a sepisuje protokol o jednání v jednací síni dle diktátu soudce, popř. přepisu zvukového nebo zvukově-obrazového záznamu o průběhu jednání.</w:t>
      </w:r>
    </w:p>
    <w:p w14:paraId="19DC87D8" w14:textId="77777777" w:rsidR="00133546" w:rsidRPr="00730B1E" w:rsidRDefault="00133546" w:rsidP="00A94F8F">
      <w:pPr>
        <w:pStyle w:val="Odstavecseseznamem"/>
        <w:numPr>
          <w:ilvl w:val="0"/>
          <w:numId w:val="16"/>
        </w:numPr>
      </w:pPr>
      <w:r w:rsidRPr="00730B1E">
        <w:rPr>
          <w:b/>
        </w:rPr>
        <w:t xml:space="preserve">Soudní vykonavatel (SV) </w:t>
      </w:r>
      <w:r w:rsidRPr="00730B1E">
        <w:t>– vymáhá splnění povinnosti na povinné osobě, které byla tato povinnost uložena vykonatelným exekučním titulem. Také je oprávněn provádět úkony spojené s odebráním dítěte v řízení péče o nezletilé.</w:t>
      </w:r>
    </w:p>
    <w:p w14:paraId="3C5422CA" w14:textId="777C22C5" w:rsidR="00133546" w:rsidRPr="00730B1E" w:rsidRDefault="00133546" w:rsidP="00133546">
      <w:pPr>
        <w:pStyle w:val="OdstavecASR"/>
      </w:pPr>
      <w:r w:rsidRPr="00730B1E">
        <w:t xml:space="preserve">Dalšími zaměstnanci soudů jsou tzv. zaměstnanci ve správě. Zatímco zaměstnanci ve výkonu se bezprostředně podílejí na vyřizování soudní agendy a výkonu soudnictví, zaměstnanci ve správě zajišťují provoz soudu, který zahrnuje širokou škálu funkcí. Celou správu soudu řídí ředitel správy. Dalšími zaměstnanci ve správě jsou například pracovníci sekretariátu, dozorčí úředníci, účetní, ekonomové, informatici nebo řidiči. Celkem je rozlišováno </w:t>
      </w:r>
      <w:r w:rsidR="00974B01" w:rsidRPr="00730B1E">
        <w:t xml:space="preserve">až </w:t>
      </w:r>
      <w:r w:rsidRPr="00730B1E">
        <w:t>40 kategorií zaměstnanců ve správě. K 1. 1. 202</w:t>
      </w:r>
      <w:r w:rsidR="00B51F38" w:rsidRPr="00730B1E">
        <w:t>3</w:t>
      </w:r>
      <w:r w:rsidRPr="00730B1E">
        <w:t xml:space="preserve"> pracovalo ve správě u okresních soudů celkem 1 </w:t>
      </w:r>
      <w:r w:rsidR="00B51F38" w:rsidRPr="00730B1E">
        <w:t>496</w:t>
      </w:r>
      <w:r w:rsidRPr="00730B1E">
        <w:t xml:space="preserve"> osob</w:t>
      </w:r>
      <w:r w:rsidR="00B51F38" w:rsidRPr="00730B1E">
        <w:t>.</w:t>
      </w:r>
    </w:p>
    <w:p w14:paraId="7C62A51E" w14:textId="77777777" w:rsidR="00764D53" w:rsidRPr="00730B1E" w:rsidRDefault="00764D53" w:rsidP="00764D53">
      <w:pPr>
        <w:pStyle w:val="Nadpis3"/>
        <w:numPr>
          <w:ilvl w:val="2"/>
          <w:numId w:val="1"/>
        </w:numPr>
        <w:rPr>
          <w:color w:val="auto"/>
        </w:rPr>
      </w:pPr>
      <w:bookmarkStart w:id="116" w:name="_Toc106092716"/>
      <w:bookmarkStart w:id="117" w:name="_Toc169250800"/>
      <w:bookmarkStart w:id="118" w:name="_Toc174080836"/>
      <w:r w:rsidRPr="00730B1E">
        <w:rPr>
          <w:color w:val="auto"/>
        </w:rPr>
        <w:t>Přísedící soudu</w:t>
      </w:r>
      <w:bookmarkEnd w:id="116"/>
      <w:bookmarkEnd w:id="117"/>
      <w:bookmarkEnd w:id="118"/>
    </w:p>
    <w:p w14:paraId="5BC1B235" w14:textId="25CB1581" w:rsidR="003F7E49" w:rsidRPr="00730B1E" w:rsidRDefault="003F7E49" w:rsidP="003F7E49">
      <w:r w:rsidRPr="00730B1E">
        <w:t>Kromě soudců a zaměstnanců ve výkonu se na rozhodovací činnosti podílí také tzv. přísedící. Přísedícím se může stát každý</w:t>
      </w:r>
      <w:r w:rsidR="00E64E55" w:rsidRPr="00730B1E">
        <w:t xml:space="preserve"> plně</w:t>
      </w:r>
      <w:r w:rsidRPr="00730B1E">
        <w:t xml:space="preserve"> svéprávný a bezúhonný občan České republiky, kterému je nejméně 30 let. </w:t>
      </w:r>
      <w:r w:rsidR="00952A2C" w:rsidRPr="00730B1E">
        <w:t>V roce 2023 působili v</w:t>
      </w:r>
      <w:r w:rsidRPr="00730B1E">
        <w:t xml:space="preserve"> trestním řízení přísedící v prvním stupni ve věcech, kde zákon stanoví trest odnětí svobody, jehož dolní hranice je minimálně pět let. Jde tedy o řízení u okresních soudů nebo prvostupňové řízení u soudu krajských. V civilním řízení </w:t>
      </w:r>
      <w:r w:rsidR="00952A2C" w:rsidRPr="00730B1E">
        <w:t xml:space="preserve">rozhodovali </w:t>
      </w:r>
      <w:r w:rsidRPr="00730B1E">
        <w:t>přísedící v pracovněprávních sporech u okresních soudů.</w:t>
      </w:r>
      <w:r w:rsidR="00952A2C" w:rsidRPr="00730B1E">
        <w:rPr>
          <w:rStyle w:val="Znakapoznpodarou"/>
        </w:rPr>
        <w:footnoteReference w:id="5"/>
      </w:r>
    </w:p>
    <w:p w14:paraId="637DD186" w14:textId="4A36A628" w:rsidR="00F0597F" w:rsidRPr="00730B1E" w:rsidRDefault="003F7E49" w:rsidP="003F7E49">
      <w:r w:rsidRPr="00730B1E">
        <w:t xml:space="preserve">Od roku 2019 jsou k dispozici počty přísedících dle krajů, pohlaví a věku, což umožňuje jejich bližší prozkoumání. </w:t>
      </w:r>
      <w:r w:rsidR="004D07BD" w:rsidRPr="00730B1E">
        <w:t>Tabulka 6 uvádí</w:t>
      </w:r>
      <w:r w:rsidRPr="00730B1E">
        <w:t> data k 1. 1. 2023.</w:t>
      </w:r>
      <w:r w:rsidR="008B1B35" w:rsidRPr="00730B1E">
        <w:t xml:space="preserve"> </w:t>
      </w:r>
      <w:r w:rsidRPr="00730B1E">
        <w:t xml:space="preserve">Počet přísedících do určité míry odpovídá </w:t>
      </w:r>
      <w:r w:rsidRPr="00730B1E">
        <w:lastRenderedPageBreak/>
        <w:t>velikosti jednotlivých soudních krajů. Hrají zde roli ale i jiné faktory, v první řadě samozřejmě složení agendy.</w:t>
      </w:r>
    </w:p>
    <w:p w14:paraId="682DAEC4" w14:textId="0F9F9C44" w:rsidR="00F0597F" w:rsidRPr="00730B1E" w:rsidRDefault="00F0597F" w:rsidP="00F0597F">
      <w:pPr>
        <w:pStyle w:val="Podnadpis"/>
        <w:rPr>
          <w:color w:val="auto"/>
        </w:rPr>
      </w:pPr>
      <w:bookmarkStart w:id="119" w:name="_Toc43931180"/>
      <w:bookmarkStart w:id="120" w:name="_Toc75952310"/>
      <w:bookmarkStart w:id="121" w:name="_Toc106106769"/>
      <w:bookmarkStart w:id="122" w:name="_Toc144104246"/>
      <w:bookmarkStart w:id="123" w:name="_Toc169251063"/>
      <w:bookmarkStart w:id="124" w:name="_Toc174080749"/>
      <w:r w:rsidRPr="00730B1E">
        <w:rPr>
          <w:color w:val="auto"/>
        </w:rPr>
        <w:t xml:space="preserve">Tabulka </w:t>
      </w:r>
      <w:r w:rsidRPr="00730B1E">
        <w:rPr>
          <w:color w:val="auto"/>
        </w:rPr>
        <w:fldChar w:fldCharType="begin"/>
      </w:r>
      <w:r w:rsidRPr="00730B1E">
        <w:rPr>
          <w:noProof/>
          <w:color w:val="auto"/>
        </w:rPr>
        <w:instrText xml:space="preserve"> SEQ Tabulka \* ARABIC </w:instrText>
      </w:r>
      <w:r w:rsidRPr="00730B1E">
        <w:rPr>
          <w:color w:val="auto"/>
        </w:rPr>
        <w:fldChar w:fldCharType="separate"/>
      </w:r>
      <w:r w:rsidR="00056825">
        <w:rPr>
          <w:noProof/>
          <w:color w:val="auto"/>
        </w:rPr>
        <w:t>6</w:t>
      </w:r>
      <w:r w:rsidRPr="00730B1E">
        <w:rPr>
          <w:color w:val="auto"/>
        </w:rPr>
        <w:fldChar w:fldCharType="end"/>
      </w:r>
      <w:r w:rsidRPr="00730B1E">
        <w:rPr>
          <w:color w:val="auto"/>
        </w:rPr>
        <w:t>: OS – počet přísedících dle krajů a pohlaví</w:t>
      </w:r>
      <w:bookmarkEnd w:id="119"/>
      <w:bookmarkEnd w:id="120"/>
      <w:bookmarkEnd w:id="121"/>
      <w:bookmarkEnd w:id="122"/>
      <w:r w:rsidR="00B12AAA" w:rsidRPr="00730B1E">
        <w:rPr>
          <w:color w:val="auto"/>
        </w:rPr>
        <w:t>, 2023</w:t>
      </w:r>
      <w:bookmarkEnd w:id="123"/>
      <w:bookmarkEnd w:id="124"/>
    </w:p>
    <w:tbl>
      <w:tblPr>
        <w:tblW w:w="7655" w:type="dxa"/>
        <w:tblLayout w:type="fixed"/>
        <w:tblCellMar>
          <w:left w:w="70" w:type="dxa"/>
          <w:right w:w="70" w:type="dxa"/>
        </w:tblCellMar>
        <w:tblLook w:val="04A0" w:firstRow="1" w:lastRow="0" w:firstColumn="1" w:lastColumn="0" w:noHBand="0" w:noVBand="1"/>
      </w:tblPr>
      <w:tblGrid>
        <w:gridCol w:w="2220"/>
        <w:gridCol w:w="1867"/>
        <w:gridCol w:w="1867"/>
        <w:gridCol w:w="1701"/>
      </w:tblGrid>
      <w:tr w:rsidR="00B64E96" w:rsidRPr="00730B1E" w14:paraId="07DCD333" w14:textId="77777777" w:rsidTr="00C77185">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32C4CF14" w14:textId="77777777" w:rsidR="00F0597F" w:rsidRPr="00730B1E" w:rsidRDefault="00F0597F" w:rsidP="00F0597F">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3734" w:type="dxa"/>
            <w:gridSpan w:val="2"/>
            <w:tcBorders>
              <w:top w:val="double" w:sz="6" w:space="0" w:color="auto"/>
              <w:left w:val="nil"/>
              <w:bottom w:val="nil"/>
              <w:right w:val="nil"/>
            </w:tcBorders>
            <w:shd w:val="clear" w:color="auto" w:fill="auto"/>
            <w:noWrap/>
            <w:vAlign w:val="bottom"/>
            <w:hideMark/>
          </w:tcPr>
          <w:p w14:paraId="434907E9" w14:textId="2B78EB6D" w:rsidR="00F0597F" w:rsidRPr="00730B1E" w:rsidRDefault="00F0597F" w:rsidP="00F0597F">
            <w:pPr>
              <w:spacing w:line="240" w:lineRule="auto"/>
              <w:jc w:val="center"/>
              <w:rPr>
                <w:rFonts w:eastAsia="Times New Roman"/>
                <w:b/>
                <w:bCs/>
                <w:szCs w:val="24"/>
                <w:lang w:eastAsia="cs-CZ"/>
              </w:rPr>
            </w:pPr>
            <w:r w:rsidRPr="00730B1E">
              <w:rPr>
                <w:rFonts w:eastAsia="Times New Roman"/>
                <w:b/>
                <w:bCs/>
                <w:szCs w:val="24"/>
                <w:lang w:eastAsia="cs-CZ"/>
              </w:rPr>
              <w:t>Počet přísedících</w:t>
            </w:r>
          </w:p>
        </w:tc>
        <w:tc>
          <w:tcPr>
            <w:tcW w:w="1701" w:type="dxa"/>
            <w:vMerge w:val="restart"/>
            <w:tcBorders>
              <w:top w:val="double" w:sz="6" w:space="0" w:color="auto"/>
              <w:left w:val="nil"/>
              <w:bottom w:val="double" w:sz="6" w:space="0" w:color="000000"/>
              <w:right w:val="nil"/>
            </w:tcBorders>
            <w:shd w:val="clear" w:color="auto" w:fill="auto"/>
            <w:vAlign w:val="center"/>
            <w:hideMark/>
          </w:tcPr>
          <w:p w14:paraId="63C140B9" w14:textId="77777777" w:rsidR="00F0597F" w:rsidRPr="00730B1E" w:rsidRDefault="00F0597F" w:rsidP="00F0597F">
            <w:pPr>
              <w:spacing w:line="240" w:lineRule="auto"/>
              <w:jc w:val="center"/>
              <w:rPr>
                <w:rFonts w:eastAsia="Times New Roman"/>
                <w:b/>
                <w:bCs/>
                <w:szCs w:val="24"/>
                <w:lang w:eastAsia="cs-CZ"/>
              </w:rPr>
            </w:pPr>
            <w:r w:rsidRPr="00730B1E">
              <w:rPr>
                <w:rFonts w:eastAsia="Times New Roman"/>
                <w:b/>
                <w:bCs/>
                <w:szCs w:val="24"/>
                <w:lang w:eastAsia="cs-CZ"/>
              </w:rPr>
              <w:t>Podíl žen v %</w:t>
            </w:r>
          </w:p>
        </w:tc>
      </w:tr>
      <w:tr w:rsidR="00B64E96" w:rsidRPr="00730B1E" w14:paraId="5EBCACED" w14:textId="77777777" w:rsidTr="00C77185">
        <w:trPr>
          <w:trHeight w:val="330"/>
        </w:trPr>
        <w:tc>
          <w:tcPr>
            <w:tcW w:w="2220" w:type="dxa"/>
            <w:vMerge/>
            <w:tcBorders>
              <w:top w:val="double" w:sz="6" w:space="0" w:color="auto"/>
              <w:left w:val="nil"/>
              <w:bottom w:val="double" w:sz="6" w:space="0" w:color="000000"/>
              <w:right w:val="nil"/>
            </w:tcBorders>
            <w:vAlign w:val="center"/>
            <w:hideMark/>
          </w:tcPr>
          <w:p w14:paraId="3D9F04C6" w14:textId="77777777" w:rsidR="00F0597F" w:rsidRPr="00730B1E" w:rsidRDefault="00F0597F" w:rsidP="00F0597F">
            <w:pPr>
              <w:spacing w:line="240" w:lineRule="auto"/>
              <w:jc w:val="left"/>
              <w:rPr>
                <w:rFonts w:eastAsia="Times New Roman"/>
                <w:b/>
                <w:bCs/>
                <w:szCs w:val="24"/>
                <w:lang w:eastAsia="cs-CZ"/>
              </w:rPr>
            </w:pPr>
          </w:p>
        </w:tc>
        <w:tc>
          <w:tcPr>
            <w:tcW w:w="1867" w:type="dxa"/>
            <w:tcBorders>
              <w:top w:val="nil"/>
              <w:left w:val="nil"/>
              <w:bottom w:val="double" w:sz="6" w:space="0" w:color="auto"/>
              <w:right w:val="nil"/>
            </w:tcBorders>
            <w:shd w:val="clear" w:color="auto" w:fill="auto"/>
            <w:noWrap/>
            <w:vAlign w:val="bottom"/>
            <w:hideMark/>
          </w:tcPr>
          <w:p w14:paraId="1886F114" w14:textId="77777777" w:rsidR="00F0597F" w:rsidRPr="00730B1E" w:rsidRDefault="00F0597F" w:rsidP="00F0597F">
            <w:pPr>
              <w:spacing w:line="240" w:lineRule="auto"/>
              <w:jc w:val="center"/>
              <w:rPr>
                <w:rFonts w:eastAsia="Times New Roman"/>
                <w:b/>
                <w:bCs/>
                <w:szCs w:val="24"/>
                <w:lang w:eastAsia="cs-CZ"/>
              </w:rPr>
            </w:pPr>
            <w:r w:rsidRPr="00730B1E">
              <w:rPr>
                <w:rFonts w:eastAsia="Times New Roman"/>
                <w:b/>
                <w:bCs/>
                <w:szCs w:val="24"/>
                <w:lang w:eastAsia="cs-CZ"/>
              </w:rPr>
              <w:t>Mužů</w:t>
            </w:r>
          </w:p>
        </w:tc>
        <w:tc>
          <w:tcPr>
            <w:tcW w:w="1867" w:type="dxa"/>
            <w:tcBorders>
              <w:top w:val="nil"/>
              <w:left w:val="nil"/>
              <w:bottom w:val="double" w:sz="6" w:space="0" w:color="auto"/>
              <w:right w:val="nil"/>
            </w:tcBorders>
            <w:shd w:val="clear" w:color="auto" w:fill="auto"/>
            <w:noWrap/>
            <w:vAlign w:val="bottom"/>
            <w:hideMark/>
          </w:tcPr>
          <w:p w14:paraId="0BDB5B3E" w14:textId="77777777" w:rsidR="00F0597F" w:rsidRPr="00730B1E" w:rsidRDefault="00F0597F" w:rsidP="00F0597F">
            <w:pPr>
              <w:spacing w:line="240" w:lineRule="auto"/>
              <w:jc w:val="center"/>
              <w:rPr>
                <w:rFonts w:eastAsia="Times New Roman"/>
                <w:b/>
                <w:bCs/>
                <w:szCs w:val="24"/>
                <w:lang w:eastAsia="cs-CZ"/>
              </w:rPr>
            </w:pPr>
            <w:r w:rsidRPr="00730B1E">
              <w:rPr>
                <w:rFonts w:eastAsia="Times New Roman"/>
                <w:b/>
                <w:bCs/>
                <w:szCs w:val="24"/>
                <w:lang w:eastAsia="cs-CZ"/>
              </w:rPr>
              <w:t>Žen</w:t>
            </w:r>
          </w:p>
        </w:tc>
        <w:tc>
          <w:tcPr>
            <w:tcW w:w="1701" w:type="dxa"/>
            <w:vMerge/>
            <w:tcBorders>
              <w:top w:val="double" w:sz="6" w:space="0" w:color="auto"/>
              <w:left w:val="nil"/>
              <w:bottom w:val="double" w:sz="6" w:space="0" w:color="000000"/>
              <w:right w:val="nil"/>
            </w:tcBorders>
            <w:vAlign w:val="center"/>
            <w:hideMark/>
          </w:tcPr>
          <w:p w14:paraId="79481E3B" w14:textId="77777777" w:rsidR="00F0597F" w:rsidRPr="00730B1E" w:rsidRDefault="00F0597F" w:rsidP="00F0597F">
            <w:pPr>
              <w:spacing w:line="240" w:lineRule="auto"/>
              <w:jc w:val="left"/>
              <w:rPr>
                <w:rFonts w:eastAsia="Times New Roman"/>
                <w:b/>
                <w:bCs/>
                <w:szCs w:val="24"/>
                <w:lang w:eastAsia="cs-CZ"/>
              </w:rPr>
            </w:pPr>
          </w:p>
        </w:tc>
      </w:tr>
      <w:tr w:rsidR="00B64E96" w:rsidRPr="00730B1E" w14:paraId="6410F0C5" w14:textId="77777777" w:rsidTr="00C77185">
        <w:trPr>
          <w:trHeight w:val="330"/>
        </w:trPr>
        <w:tc>
          <w:tcPr>
            <w:tcW w:w="2220" w:type="dxa"/>
            <w:tcBorders>
              <w:top w:val="nil"/>
              <w:left w:val="nil"/>
              <w:bottom w:val="single" w:sz="4" w:space="0" w:color="auto"/>
              <w:right w:val="nil"/>
            </w:tcBorders>
            <w:shd w:val="clear" w:color="auto" w:fill="auto"/>
            <w:noWrap/>
            <w:vAlign w:val="bottom"/>
            <w:hideMark/>
          </w:tcPr>
          <w:p w14:paraId="0742E4BB" w14:textId="77777777" w:rsidR="00F0597F" w:rsidRPr="00730B1E" w:rsidRDefault="00F0597F" w:rsidP="00F0597F">
            <w:pPr>
              <w:spacing w:line="240" w:lineRule="auto"/>
              <w:jc w:val="left"/>
              <w:rPr>
                <w:rFonts w:eastAsia="Times New Roman"/>
                <w:szCs w:val="24"/>
                <w:lang w:eastAsia="cs-CZ"/>
              </w:rPr>
            </w:pPr>
            <w:r w:rsidRPr="00730B1E">
              <w:rPr>
                <w:rFonts w:eastAsia="Times New Roman"/>
                <w:szCs w:val="24"/>
                <w:lang w:eastAsia="cs-CZ"/>
              </w:rPr>
              <w:t>MS Praha</w:t>
            </w:r>
          </w:p>
        </w:tc>
        <w:tc>
          <w:tcPr>
            <w:tcW w:w="1867" w:type="dxa"/>
            <w:tcBorders>
              <w:top w:val="nil"/>
              <w:left w:val="nil"/>
              <w:bottom w:val="single" w:sz="4" w:space="0" w:color="auto"/>
              <w:right w:val="nil"/>
            </w:tcBorders>
            <w:shd w:val="clear" w:color="auto" w:fill="auto"/>
            <w:noWrap/>
            <w:vAlign w:val="bottom"/>
            <w:hideMark/>
          </w:tcPr>
          <w:p w14:paraId="2C4D8B3D"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145</w:t>
            </w:r>
          </w:p>
        </w:tc>
        <w:tc>
          <w:tcPr>
            <w:tcW w:w="1867" w:type="dxa"/>
            <w:tcBorders>
              <w:top w:val="nil"/>
              <w:left w:val="nil"/>
              <w:bottom w:val="single" w:sz="4" w:space="0" w:color="auto"/>
              <w:right w:val="nil"/>
            </w:tcBorders>
            <w:shd w:val="clear" w:color="auto" w:fill="auto"/>
            <w:noWrap/>
            <w:vAlign w:val="bottom"/>
            <w:hideMark/>
          </w:tcPr>
          <w:p w14:paraId="35E36A91"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283</w:t>
            </w:r>
          </w:p>
        </w:tc>
        <w:tc>
          <w:tcPr>
            <w:tcW w:w="1701" w:type="dxa"/>
            <w:tcBorders>
              <w:top w:val="nil"/>
              <w:left w:val="nil"/>
              <w:bottom w:val="single" w:sz="4" w:space="0" w:color="auto"/>
              <w:right w:val="nil"/>
            </w:tcBorders>
            <w:shd w:val="clear" w:color="auto" w:fill="auto"/>
            <w:noWrap/>
            <w:vAlign w:val="bottom"/>
            <w:hideMark/>
          </w:tcPr>
          <w:p w14:paraId="707C1A7C" w14:textId="40023DE5"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66,12</w:t>
            </w:r>
          </w:p>
        </w:tc>
      </w:tr>
      <w:tr w:rsidR="00B64E96" w:rsidRPr="00730B1E" w14:paraId="3B49EE79"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78F19ACB" w14:textId="77777777" w:rsidR="00F0597F" w:rsidRPr="00730B1E" w:rsidRDefault="00F0597F" w:rsidP="00F0597F">
            <w:pPr>
              <w:spacing w:line="240" w:lineRule="auto"/>
              <w:jc w:val="left"/>
              <w:rPr>
                <w:rFonts w:eastAsia="Times New Roman"/>
                <w:szCs w:val="24"/>
                <w:lang w:eastAsia="cs-CZ"/>
              </w:rPr>
            </w:pPr>
            <w:r w:rsidRPr="00730B1E">
              <w:rPr>
                <w:rFonts w:eastAsia="Times New Roman"/>
                <w:szCs w:val="24"/>
                <w:lang w:eastAsia="cs-CZ"/>
              </w:rPr>
              <w:t>KS Praha</w:t>
            </w:r>
          </w:p>
        </w:tc>
        <w:tc>
          <w:tcPr>
            <w:tcW w:w="1867" w:type="dxa"/>
            <w:tcBorders>
              <w:top w:val="nil"/>
              <w:left w:val="nil"/>
              <w:bottom w:val="single" w:sz="4" w:space="0" w:color="auto"/>
              <w:right w:val="nil"/>
            </w:tcBorders>
            <w:shd w:val="clear" w:color="auto" w:fill="auto"/>
            <w:noWrap/>
            <w:vAlign w:val="bottom"/>
            <w:hideMark/>
          </w:tcPr>
          <w:p w14:paraId="67CC46CB"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117</w:t>
            </w:r>
          </w:p>
        </w:tc>
        <w:tc>
          <w:tcPr>
            <w:tcW w:w="1867" w:type="dxa"/>
            <w:tcBorders>
              <w:top w:val="nil"/>
              <w:left w:val="nil"/>
              <w:bottom w:val="single" w:sz="4" w:space="0" w:color="auto"/>
              <w:right w:val="nil"/>
            </w:tcBorders>
            <w:shd w:val="clear" w:color="auto" w:fill="auto"/>
            <w:noWrap/>
            <w:vAlign w:val="bottom"/>
            <w:hideMark/>
          </w:tcPr>
          <w:p w14:paraId="22C4CD10"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233</w:t>
            </w:r>
          </w:p>
        </w:tc>
        <w:tc>
          <w:tcPr>
            <w:tcW w:w="1701" w:type="dxa"/>
            <w:tcBorders>
              <w:top w:val="nil"/>
              <w:left w:val="nil"/>
              <w:bottom w:val="single" w:sz="4" w:space="0" w:color="auto"/>
              <w:right w:val="nil"/>
            </w:tcBorders>
            <w:shd w:val="clear" w:color="auto" w:fill="auto"/>
            <w:noWrap/>
            <w:vAlign w:val="bottom"/>
            <w:hideMark/>
          </w:tcPr>
          <w:p w14:paraId="72FBA731" w14:textId="6769080F"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66,57</w:t>
            </w:r>
          </w:p>
        </w:tc>
      </w:tr>
      <w:tr w:rsidR="00B64E96" w:rsidRPr="00730B1E" w14:paraId="6FF0B3EF"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1E4E728C" w14:textId="77777777" w:rsidR="00F0597F" w:rsidRPr="00730B1E" w:rsidRDefault="00F0597F" w:rsidP="00F0597F">
            <w:pPr>
              <w:spacing w:line="240" w:lineRule="auto"/>
              <w:jc w:val="left"/>
              <w:rPr>
                <w:rFonts w:eastAsia="Times New Roman"/>
                <w:szCs w:val="24"/>
                <w:lang w:eastAsia="cs-CZ"/>
              </w:rPr>
            </w:pPr>
            <w:r w:rsidRPr="00730B1E">
              <w:rPr>
                <w:rFonts w:eastAsia="Times New Roman"/>
                <w:szCs w:val="24"/>
                <w:lang w:eastAsia="cs-CZ"/>
              </w:rPr>
              <w:t>KS Č. Budějovice</w:t>
            </w:r>
          </w:p>
        </w:tc>
        <w:tc>
          <w:tcPr>
            <w:tcW w:w="1867" w:type="dxa"/>
            <w:tcBorders>
              <w:top w:val="nil"/>
              <w:left w:val="nil"/>
              <w:bottom w:val="single" w:sz="4" w:space="0" w:color="auto"/>
              <w:right w:val="nil"/>
            </w:tcBorders>
            <w:shd w:val="clear" w:color="auto" w:fill="auto"/>
            <w:noWrap/>
            <w:vAlign w:val="bottom"/>
            <w:hideMark/>
          </w:tcPr>
          <w:p w14:paraId="428D2F7D"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84</w:t>
            </w:r>
          </w:p>
        </w:tc>
        <w:tc>
          <w:tcPr>
            <w:tcW w:w="1867" w:type="dxa"/>
            <w:tcBorders>
              <w:top w:val="nil"/>
              <w:left w:val="nil"/>
              <w:bottom w:val="single" w:sz="4" w:space="0" w:color="auto"/>
              <w:right w:val="nil"/>
            </w:tcBorders>
            <w:shd w:val="clear" w:color="auto" w:fill="auto"/>
            <w:noWrap/>
            <w:vAlign w:val="bottom"/>
            <w:hideMark/>
          </w:tcPr>
          <w:p w14:paraId="3D63A4F4"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146</w:t>
            </w:r>
          </w:p>
        </w:tc>
        <w:tc>
          <w:tcPr>
            <w:tcW w:w="1701" w:type="dxa"/>
            <w:tcBorders>
              <w:top w:val="nil"/>
              <w:left w:val="nil"/>
              <w:bottom w:val="single" w:sz="4" w:space="0" w:color="auto"/>
              <w:right w:val="nil"/>
            </w:tcBorders>
            <w:shd w:val="clear" w:color="auto" w:fill="auto"/>
            <w:noWrap/>
            <w:vAlign w:val="bottom"/>
            <w:hideMark/>
          </w:tcPr>
          <w:p w14:paraId="32BBF69D" w14:textId="64DF6091"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63,48</w:t>
            </w:r>
          </w:p>
        </w:tc>
      </w:tr>
      <w:tr w:rsidR="00B64E96" w:rsidRPr="00730B1E" w14:paraId="1F7EE936"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0033BBEF" w14:textId="77777777" w:rsidR="00F0597F" w:rsidRPr="00730B1E" w:rsidRDefault="00F0597F" w:rsidP="00F0597F">
            <w:pPr>
              <w:spacing w:line="240" w:lineRule="auto"/>
              <w:jc w:val="left"/>
              <w:rPr>
                <w:rFonts w:eastAsia="Times New Roman"/>
                <w:szCs w:val="24"/>
                <w:lang w:eastAsia="cs-CZ"/>
              </w:rPr>
            </w:pPr>
            <w:r w:rsidRPr="00730B1E">
              <w:rPr>
                <w:rFonts w:eastAsia="Times New Roman"/>
                <w:szCs w:val="24"/>
                <w:lang w:eastAsia="cs-CZ"/>
              </w:rPr>
              <w:t>KS Plzeň</w:t>
            </w:r>
          </w:p>
        </w:tc>
        <w:tc>
          <w:tcPr>
            <w:tcW w:w="1867" w:type="dxa"/>
            <w:tcBorders>
              <w:top w:val="nil"/>
              <w:left w:val="nil"/>
              <w:bottom w:val="single" w:sz="4" w:space="0" w:color="auto"/>
              <w:right w:val="nil"/>
            </w:tcBorders>
            <w:shd w:val="clear" w:color="auto" w:fill="auto"/>
            <w:noWrap/>
            <w:vAlign w:val="bottom"/>
            <w:hideMark/>
          </w:tcPr>
          <w:p w14:paraId="5BBD66B6"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114</w:t>
            </w:r>
          </w:p>
        </w:tc>
        <w:tc>
          <w:tcPr>
            <w:tcW w:w="1867" w:type="dxa"/>
            <w:tcBorders>
              <w:top w:val="nil"/>
              <w:left w:val="nil"/>
              <w:bottom w:val="single" w:sz="4" w:space="0" w:color="auto"/>
              <w:right w:val="nil"/>
            </w:tcBorders>
            <w:shd w:val="clear" w:color="auto" w:fill="auto"/>
            <w:noWrap/>
            <w:vAlign w:val="bottom"/>
            <w:hideMark/>
          </w:tcPr>
          <w:p w14:paraId="0C1A3860"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242</w:t>
            </w:r>
          </w:p>
        </w:tc>
        <w:tc>
          <w:tcPr>
            <w:tcW w:w="1701" w:type="dxa"/>
            <w:tcBorders>
              <w:top w:val="nil"/>
              <w:left w:val="nil"/>
              <w:bottom w:val="single" w:sz="4" w:space="0" w:color="auto"/>
              <w:right w:val="nil"/>
            </w:tcBorders>
            <w:shd w:val="clear" w:color="auto" w:fill="auto"/>
            <w:noWrap/>
            <w:vAlign w:val="bottom"/>
            <w:hideMark/>
          </w:tcPr>
          <w:p w14:paraId="64F17E15" w14:textId="5771AC09"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67,98</w:t>
            </w:r>
          </w:p>
        </w:tc>
      </w:tr>
      <w:tr w:rsidR="00B64E96" w:rsidRPr="00730B1E" w14:paraId="34D78F79"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62C58093" w14:textId="77777777" w:rsidR="00F0597F" w:rsidRPr="00730B1E" w:rsidRDefault="00F0597F" w:rsidP="00F0597F">
            <w:pPr>
              <w:spacing w:line="240" w:lineRule="auto"/>
              <w:jc w:val="left"/>
              <w:rPr>
                <w:rFonts w:eastAsia="Times New Roman"/>
                <w:szCs w:val="24"/>
                <w:lang w:eastAsia="cs-CZ"/>
              </w:rPr>
            </w:pPr>
            <w:r w:rsidRPr="00730B1E">
              <w:rPr>
                <w:rFonts w:eastAsia="Times New Roman"/>
                <w:szCs w:val="24"/>
                <w:lang w:eastAsia="cs-CZ"/>
              </w:rPr>
              <w:t>KS Ústí n. Labem</w:t>
            </w:r>
          </w:p>
        </w:tc>
        <w:tc>
          <w:tcPr>
            <w:tcW w:w="1867" w:type="dxa"/>
            <w:tcBorders>
              <w:top w:val="nil"/>
              <w:left w:val="nil"/>
              <w:bottom w:val="single" w:sz="4" w:space="0" w:color="auto"/>
              <w:right w:val="nil"/>
            </w:tcBorders>
            <w:shd w:val="clear" w:color="auto" w:fill="auto"/>
            <w:noWrap/>
            <w:vAlign w:val="bottom"/>
            <w:hideMark/>
          </w:tcPr>
          <w:p w14:paraId="4DE27DF0"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185</w:t>
            </w:r>
          </w:p>
        </w:tc>
        <w:tc>
          <w:tcPr>
            <w:tcW w:w="1867" w:type="dxa"/>
            <w:tcBorders>
              <w:top w:val="nil"/>
              <w:left w:val="nil"/>
              <w:bottom w:val="single" w:sz="4" w:space="0" w:color="auto"/>
              <w:right w:val="nil"/>
            </w:tcBorders>
            <w:shd w:val="clear" w:color="auto" w:fill="auto"/>
            <w:noWrap/>
            <w:vAlign w:val="bottom"/>
            <w:hideMark/>
          </w:tcPr>
          <w:p w14:paraId="050647AB"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379</w:t>
            </w:r>
          </w:p>
        </w:tc>
        <w:tc>
          <w:tcPr>
            <w:tcW w:w="1701" w:type="dxa"/>
            <w:tcBorders>
              <w:top w:val="nil"/>
              <w:left w:val="nil"/>
              <w:bottom w:val="single" w:sz="4" w:space="0" w:color="auto"/>
              <w:right w:val="nil"/>
            </w:tcBorders>
            <w:shd w:val="clear" w:color="auto" w:fill="auto"/>
            <w:noWrap/>
            <w:vAlign w:val="bottom"/>
            <w:hideMark/>
          </w:tcPr>
          <w:p w14:paraId="5CF818AD" w14:textId="75353DC0"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67,20</w:t>
            </w:r>
          </w:p>
        </w:tc>
      </w:tr>
      <w:tr w:rsidR="00B64E96" w:rsidRPr="00730B1E" w14:paraId="2F0008FC"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4CA7DAA4" w14:textId="77777777" w:rsidR="00F0597F" w:rsidRPr="00730B1E" w:rsidRDefault="00F0597F" w:rsidP="00F0597F">
            <w:pPr>
              <w:spacing w:line="240" w:lineRule="auto"/>
              <w:jc w:val="left"/>
              <w:rPr>
                <w:rFonts w:eastAsia="Times New Roman"/>
                <w:szCs w:val="24"/>
                <w:lang w:eastAsia="cs-CZ"/>
              </w:rPr>
            </w:pPr>
            <w:r w:rsidRPr="00730B1E">
              <w:rPr>
                <w:rFonts w:eastAsia="Times New Roman"/>
                <w:szCs w:val="24"/>
                <w:lang w:eastAsia="cs-CZ"/>
              </w:rPr>
              <w:t>KS Hr. Králové</w:t>
            </w:r>
          </w:p>
        </w:tc>
        <w:tc>
          <w:tcPr>
            <w:tcW w:w="1867" w:type="dxa"/>
            <w:tcBorders>
              <w:top w:val="nil"/>
              <w:left w:val="nil"/>
              <w:bottom w:val="single" w:sz="4" w:space="0" w:color="auto"/>
              <w:right w:val="nil"/>
            </w:tcBorders>
            <w:shd w:val="clear" w:color="auto" w:fill="auto"/>
            <w:noWrap/>
            <w:vAlign w:val="bottom"/>
            <w:hideMark/>
          </w:tcPr>
          <w:p w14:paraId="5E7B9C91"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145</w:t>
            </w:r>
          </w:p>
        </w:tc>
        <w:tc>
          <w:tcPr>
            <w:tcW w:w="1867" w:type="dxa"/>
            <w:tcBorders>
              <w:top w:val="nil"/>
              <w:left w:val="nil"/>
              <w:bottom w:val="single" w:sz="4" w:space="0" w:color="auto"/>
              <w:right w:val="nil"/>
            </w:tcBorders>
            <w:shd w:val="clear" w:color="auto" w:fill="auto"/>
            <w:noWrap/>
            <w:vAlign w:val="bottom"/>
            <w:hideMark/>
          </w:tcPr>
          <w:p w14:paraId="47326275"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274</w:t>
            </w:r>
          </w:p>
        </w:tc>
        <w:tc>
          <w:tcPr>
            <w:tcW w:w="1701" w:type="dxa"/>
            <w:tcBorders>
              <w:top w:val="nil"/>
              <w:left w:val="nil"/>
              <w:bottom w:val="single" w:sz="4" w:space="0" w:color="auto"/>
              <w:right w:val="nil"/>
            </w:tcBorders>
            <w:shd w:val="clear" w:color="auto" w:fill="auto"/>
            <w:noWrap/>
            <w:vAlign w:val="bottom"/>
            <w:hideMark/>
          </w:tcPr>
          <w:p w14:paraId="72F7FF0A" w14:textId="054C4E90"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65,39</w:t>
            </w:r>
          </w:p>
        </w:tc>
      </w:tr>
      <w:tr w:rsidR="00B64E96" w:rsidRPr="00730B1E" w14:paraId="78F6E122"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2F658A2F" w14:textId="77777777" w:rsidR="00F0597F" w:rsidRPr="00730B1E" w:rsidRDefault="00F0597F" w:rsidP="00F0597F">
            <w:pPr>
              <w:spacing w:line="240" w:lineRule="auto"/>
              <w:jc w:val="left"/>
              <w:rPr>
                <w:rFonts w:eastAsia="Times New Roman"/>
                <w:szCs w:val="24"/>
                <w:lang w:eastAsia="cs-CZ"/>
              </w:rPr>
            </w:pPr>
            <w:r w:rsidRPr="00730B1E">
              <w:rPr>
                <w:rFonts w:eastAsia="Times New Roman"/>
                <w:szCs w:val="24"/>
                <w:lang w:eastAsia="cs-CZ"/>
              </w:rPr>
              <w:t>KS Brno</w:t>
            </w:r>
          </w:p>
        </w:tc>
        <w:tc>
          <w:tcPr>
            <w:tcW w:w="1867" w:type="dxa"/>
            <w:tcBorders>
              <w:top w:val="nil"/>
              <w:left w:val="nil"/>
              <w:bottom w:val="single" w:sz="4" w:space="0" w:color="auto"/>
              <w:right w:val="nil"/>
            </w:tcBorders>
            <w:shd w:val="clear" w:color="auto" w:fill="auto"/>
            <w:noWrap/>
            <w:vAlign w:val="bottom"/>
            <w:hideMark/>
          </w:tcPr>
          <w:p w14:paraId="6572F05C"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258</w:t>
            </w:r>
          </w:p>
        </w:tc>
        <w:tc>
          <w:tcPr>
            <w:tcW w:w="1867" w:type="dxa"/>
            <w:tcBorders>
              <w:top w:val="nil"/>
              <w:left w:val="nil"/>
              <w:bottom w:val="single" w:sz="4" w:space="0" w:color="auto"/>
              <w:right w:val="nil"/>
            </w:tcBorders>
            <w:shd w:val="clear" w:color="auto" w:fill="auto"/>
            <w:noWrap/>
            <w:vAlign w:val="bottom"/>
            <w:hideMark/>
          </w:tcPr>
          <w:p w14:paraId="057BD79C"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437</w:t>
            </w:r>
          </w:p>
        </w:tc>
        <w:tc>
          <w:tcPr>
            <w:tcW w:w="1701" w:type="dxa"/>
            <w:tcBorders>
              <w:top w:val="nil"/>
              <w:left w:val="nil"/>
              <w:bottom w:val="single" w:sz="4" w:space="0" w:color="auto"/>
              <w:right w:val="nil"/>
            </w:tcBorders>
            <w:shd w:val="clear" w:color="auto" w:fill="auto"/>
            <w:noWrap/>
            <w:vAlign w:val="bottom"/>
            <w:hideMark/>
          </w:tcPr>
          <w:p w14:paraId="7B0B3B82" w14:textId="3DB0BFAB"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62,88</w:t>
            </w:r>
          </w:p>
        </w:tc>
      </w:tr>
      <w:tr w:rsidR="00B64E96" w:rsidRPr="00730B1E" w14:paraId="6B448403" w14:textId="77777777" w:rsidTr="00C77185">
        <w:trPr>
          <w:trHeight w:val="330"/>
        </w:trPr>
        <w:tc>
          <w:tcPr>
            <w:tcW w:w="2220" w:type="dxa"/>
            <w:tcBorders>
              <w:top w:val="nil"/>
              <w:left w:val="nil"/>
              <w:bottom w:val="double" w:sz="6" w:space="0" w:color="auto"/>
              <w:right w:val="nil"/>
            </w:tcBorders>
            <w:shd w:val="clear" w:color="auto" w:fill="auto"/>
            <w:noWrap/>
            <w:vAlign w:val="bottom"/>
            <w:hideMark/>
          </w:tcPr>
          <w:p w14:paraId="3227DFBF" w14:textId="77777777" w:rsidR="00F0597F" w:rsidRPr="00730B1E" w:rsidRDefault="00F0597F" w:rsidP="00F0597F">
            <w:pPr>
              <w:spacing w:line="240" w:lineRule="auto"/>
              <w:jc w:val="left"/>
              <w:rPr>
                <w:rFonts w:eastAsia="Times New Roman"/>
                <w:szCs w:val="24"/>
                <w:lang w:eastAsia="cs-CZ"/>
              </w:rPr>
            </w:pPr>
            <w:r w:rsidRPr="00730B1E">
              <w:rPr>
                <w:rFonts w:eastAsia="Times New Roman"/>
                <w:szCs w:val="24"/>
                <w:lang w:eastAsia="cs-CZ"/>
              </w:rPr>
              <w:t>KS Ostrava</w:t>
            </w:r>
          </w:p>
        </w:tc>
        <w:tc>
          <w:tcPr>
            <w:tcW w:w="1867" w:type="dxa"/>
            <w:tcBorders>
              <w:top w:val="nil"/>
              <w:left w:val="nil"/>
              <w:bottom w:val="double" w:sz="6" w:space="0" w:color="auto"/>
              <w:right w:val="nil"/>
            </w:tcBorders>
            <w:shd w:val="clear" w:color="auto" w:fill="auto"/>
            <w:noWrap/>
            <w:vAlign w:val="bottom"/>
            <w:hideMark/>
          </w:tcPr>
          <w:p w14:paraId="3EBF68BF"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368</w:t>
            </w:r>
          </w:p>
        </w:tc>
        <w:tc>
          <w:tcPr>
            <w:tcW w:w="1867" w:type="dxa"/>
            <w:tcBorders>
              <w:top w:val="nil"/>
              <w:left w:val="nil"/>
              <w:bottom w:val="double" w:sz="6" w:space="0" w:color="auto"/>
              <w:right w:val="nil"/>
            </w:tcBorders>
            <w:shd w:val="clear" w:color="auto" w:fill="auto"/>
            <w:noWrap/>
            <w:vAlign w:val="bottom"/>
            <w:hideMark/>
          </w:tcPr>
          <w:p w14:paraId="5022305E" w14:textId="77777777"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616</w:t>
            </w:r>
          </w:p>
        </w:tc>
        <w:tc>
          <w:tcPr>
            <w:tcW w:w="1701" w:type="dxa"/>
            <w:tcBorders>
              <w:top w:val="nil"/>
              <w:left w:val="nil"/>
              <w:bottom w:val="double" w:sz="6" w:space="0" w:color="auto"/>
              <w:right w:val="nil"/>
            </w:tcBorders>
            <w:shd w:val="clear" w:color="auto" w:fill="auto"/>
            <w:noWrap/>
            <w:vAlign w:val="bottom"/>
            <w:hideMark/>
          </w:tcPr>
          <w:p w14:paraId="4AA65CD7" w14:textId="19FF1128" w:rsidR="00F0597F" w:rsidRPr="00730B1E" w:rsidRDefault="00F0597F" w:rsidP="00F0597F">
            <w:pPr>
              <w:spacing w:line="240" w:lineRule="auto"/>
              <w:jc w:val="center"/>
              <w:rPr>
                <w:rFonts w:eastAsia="Times New Roman"/>
                <w:szCs w:val="24"/>
                <w:lang w:eastAsia="cs-CZ"/>
              </w:rPr>
            </w:pPr>
            <w:r w:rsidRPr="00730B1E">
              <w:rPr>
                <w:rFonts w:eastAsia="Times New Roman"/>
                <w:szCs w:val="24"/>
                <w:lang w:eastAsia="cs-CZ"/>
              </w:rPr>
              <w:t>62,60</w:t>
            </w:r>
          </w:p>
        </w:tc>
      </w:tr>
      <w:tr w:rsidR="00B64E96" w:rsidRPr="00730B1E" w14:paraId="7065C1AA" w14:textId="77777777" w:rsidTr="00C77185">
        <w:trPr>
          <w:trHeight w:val="345"/>
        </w:trPr>
        <w:tc>
          <w:tcPr>
            <w:tcW w:w="2220" w:type="dxa"/>
            <w:tcBorders>
              <w:top w:val="nil"/>
              <w:left w:val="nil"/>
              <w:bottom w:val="double" w:sz="6" w:space="0" w:color="auto"/>
              <w:right w:val="nil"/>
            </w:tcBorders>
            <w:shd w:val="clear" w:color="auto" w:fill="auto"/>
            <w:noWrap/>
            <w:vAlign w:val="bottom"/>
            <w:hideMark/>
          </w:tcPr>
          <w:p w14:paraId="3E89541C" w14:textId="77777777" w:rsidR="00F0597F" w:rsidRPr="00730B1E" w:rsidRDefault="00F0597F" w:rsidP="00F0597F">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867" w:type="dxa"/>
            <w:tcBorders>
              <w:top w:val="nil"/>
              <w:left w:val="nil"/>
              <w:bottom w:val="double" w:sz="6" w:space="0" w:color="auto"/>
              <w:right w:val="nil"/>
            </w:tcBorders>
            <w:shd w:val="clear" w:color="auto" w:fill="auto"/>
            <w:noWrap/>
            <w:vAlign w:val="bottom"/>
            <w:hideMark/>
          </w:tcPr>
          <w:p w14:paraId="356C9B1A" w14:textId="701F5D21" w:rsidR="00F0597F" w:rsidRPr="00730B1E" w:rsidRDefault="00F0597F" w:rsidP="00F0597F">
            <w:pPr>
              <w:spacing w:line="240" w:lineRule="auto"/>
              <w:jc w:val="center"/>
              <w:rPr>
                <w:rFonts w:eastAsia="Times New Roman"/>
                <w:b/>
                <w:bCs/>
                <w:szCs w:val="24"/>
                <w:lang w:eastAsia="cs-CZ"/>
              </w:rPr>
            </w:pPr>
            <w:r w:rsidRPr="00730B1E">
              <w:rPr>
                <w:rFonts w:eastAsia="Times New Roman"/>
                <w:b/>
                <w:bCs/>
                <w:szCs w:val="24"/>
                <w:lang w:eastAsia="cs-CZ"/>
              </w:rPr>
              <w:t>1</w:t>
            </w:r>
            <w:r w:rsidR="00C67BEF" w:rsidRPr="00730B1E">
              <w:rPr>
                <w:rFonts w:eastAsia="Times New Roman"/>
                <w:b/>
                <w:bCs/>
                <w:szCs w:val="24"/>
                <w:lang w:eastAsia="cs-CZ"/>
              </w:rPr>
              <w:t xml:space="preserve"> </w:t>
            </w:r>
            <w:r w:rsidRPr="00730B1E">
              <w:rPr>
                <w:rFonts w:eastAsia="Times New Roman"/>
                <w:b/>
                <w:bCs/>
                <w:szCs w:val="24"/>
                <w:lang w:eastAsia="cs-CZ"/>
              </w:rPr>
              <w:t>416</w:t>
            </w:r>
          </w:p>
        </w:tc>
        <w:tc>
          <w:tcPr>
            <w:tcW w:w="1867" w:type="dxa"/>
            <w:tcBorders>
              <w:top w:val="nil"/>
              <w:left w:val="nil"/>
              <w:bottom w:val="double" w:sz="6" w:space="0" w:color="auto"/>
              <w:right w:val="nil"/>
            </w:tcBorders>
            <w:shd w:val="clear" w:color="auto" w:fill="auto"/>
            <w:noWrap/>
            <w:vAlign w:val="bottom"/>
            <w:hideMark/>
          </w:tcPr>
          <w:p w14:paraId="228701A0" w14:textId="7E4DD8AA" w:rsidR="00F0597F" w:rsidRPr="00730B1E" w:rsidRDefault="00F0597F" w:rsidP="00F0597F">
            <w:pPr>
              <w:spacing w:line="240" w:lineRule="auto"/>
              <w:jc w:val="center"/>
              <w:rPr>
                <w:rFonts w:eastAsia="Times New Roman"/>
                <w:b/>
                <w:bCs/>
                <w:szCs w:val="24"/>
                <w:lang w:eastAsia="cs-CZ"/>
              </w:rPr>
            </w:pPr>
            <w:r w:rsidRPr="00730B1E">
              <w:rPr>
                <w:rFonts w:eastAsia="Times New Roman"/>
                <w:b/>
                <w:bCs/>
                <w:szCs w:val="24"/>
                <w:lang w:eastAsia="cs-CZ"/>
              </w:rPr>
              <w:t>2</w:t>
            </w:r>
            <w:r w:rsidR="00C67BEF" w:rsidRPr="00730B1E">
              <w:rPr>
                <w:rFonts w:eastAsia="Times New Roman"/>
                <w:b/>
                <w:bCs/>
                <w:szCs w:val="24"/>
                <w:lang w:eastAsia="cs-CZ"/>
              </w:rPr>
              <w:t xml:space="preserve"> </w:t>
            </w:r>
            <w:r w:rsidRPr="00730B1E">
              <w:rPr>
                <w:rFonts w:eastAsia="Times New Roman"/>
                <w:b/>
                <w:bCs/>
                <w:szCs w:val="24"/>
                <w:lang w:eastAsia="cs-CZ"/>
              </w:rPr>
              <w:t>610</w:t>
            </w:r>
          </w:p>
        </w:tc>
        <w:tc>
          <w:tcPr>
            <w:tcW w:w="1701" w:type="dxa"/>
            <w:tcBorders>
              <w:top w:val="nil"/>
              <w:left w:val="nil"/>
              <w:bottom w:val="double" w:sz="6" w:space="0" w:color="auto"/>
              <w:right w:val="nil"/>
            </w:tcBorders>
            <w:shd w:val="clear" w:color="auto" w:fill="auto"/>
            <w:noWrap/>
            <w:vAlign w:val="bottom"/>
            <w:hideMark/>
          </w:tcPr>
          <w:p w14:paraId="30560E0C" w14:textId="212329BC" w:rsidR="00F0597F" w:rsidRPr="00730B1E" w:rsidRDefault="00F0597F" w:rsidP="00F0597F">
            <w:pPr>
              <w:spacing w:line="240" w:lineRule="auto"/>
              <w:jc w:val="center"/>
              <w:rPr>
                <w:rFonts w:eastAsia="Times New Roman"/>
                <w:b/>
                <w:bCs/>
                <w:szCs w:val="24"/>
                <w:lang w:eastAsia="cs-CZ"/>
              </w:rPr>
            </w:pPr>
            <w:r w:rsidRPr="00730B1E">
              <w:rPr>
                <w:rFonts w:eastAsia="Times New Roman"/>
                <w:b/>
                <w:bCs/>
                <w:szCs w:val="24"/>
                <w:lang w:eastAsia="cs-CZ"/>
              </w:rPr>
              <w:t>64,83</w:t>
            </w:r>
          </w:p>
        </w:tc>
      </w:tr>
      <w:tr w:rsidR="00B64E96" w:rsidRPr="00730B1E" w14:paraId="27E008AB" w14:textId="77777777" w:rsidTr="00C77185">
        <w:trPr>
          <w:trHeight w:val="345"/>
        </w:trPr>
        <w:tc>
          <w:tcPr>
            <w:tcW w:w="2220" w:type="dxa"/>
            <w:tcBorders>
              <w:top w:val="nil"/>
              <w:left w:val="nil"/>
              <w:bottom w:val="nil"/>
              <w:right w:val="nil"/>
            </w:tcBorders>
            <w:shd w:val="clear" w:color="auto" w:fill="auto"/>
            <w:noWrap/>
            <w:vAlign w:val="bottom"/>
            <w:hideMark/>
          </w:tcPr>
          <w:p w14:paraId="0AC398C3" w14:textId="77777777" w:rsidR="00F0597F" w:rsidRPr="00730B1E" w:rsidRDefault="00F0597F" w:rsidP="00F0597F">
            <w:pPr>
              <w:spacing w:line="240" w:lineRule="auto"/>
              <w:jc w:val="center"/>
              <w:rPr>
                <w:rFonts w:eastAsia="Times New Roman"/>
                <w:b/>
                <w:bCs/>
                <w:szCs w:val="24"/>
                <w:lang w:eastAsia="cs-CZ"/>
              </w:rPr>
            </w:pPr>
          </w:p>
        </w:tc>
        <w:tc>
          <w:tcPr>
            <w:tcW w:w="1867" w:type="dxa"/>
            <w:tcBorders>
              <w:top w:val="nil"/>
              <w:left w:val="nil"/>
              <w:bottom w:val="nil"/>
              <w:right w:val="nil"/>
            </w:tcBorders>
            <w:shd w:val="clear" w:color="auto" w:fill="auto"/>
            <w:noWrap/>
            <w:vAlign w:val="bottom"/>
            <w:hideMark/>
          </w:tcPr>
          <w:p w14:paraId="0CC82A03" w14:textId="77777777" w:rsidR="00F0597F" w:rsidRPr="00DF07F3" w:rsidRDefault="00F0597F" w:rsidP="00F0597F">
            <w:pPr>
              <w:spacing w:line="240" w:lineRule="auto"/>
              <w:jc w:val="left"/>
              <w:rPr>
                <w:sz w:val="20"/>
              </w:rPr>
            </w:pPr>
          </w:p>
        </w:tc>
        <w:tc>
          <w:tcPr>
            <w:tcW w:w="1867" w:type="dxa"/>
            <w:tcBorders>
              <w:top w:val="nil"/>
              <w:left w:val="nil"/>
              <w:bottom w:val="nil"/>
              <w:right w:val="nil"/>
            </w:tcBorders>
            <w:shd w:val="clear" w:color="auto" w:fill="auto"/>
            <w:noWrap/>
            <w:vAlign w:val="bottom"/>
            <w:hideMark/>
          </w:tcPr>
          <w:p w14:paraId="76007F44" w14:textId="77777777" w:rsidR="00F0597F" w:rsidRPr="00DF07F3" w:rsidRDefault="00F0597F" w:rsidP="00F0597F">
            <w:pPr>
              <w:spacing w:line="240" w:lineRule="auto"/>
              <w:jc w:val="left"/>
              <w:rPr>
                <w:sz w:val="20"/>
              </w:rPr>
            </w:pPr>
          </w:p>
        </w:tc>
        <w:tc>
          <w:tcPr>
            <w:tcW w:w="1701" w:type="dxa"/>
            <w:tcBorders>
              <w:top w:val="nil"/>
              <w:left w:val="nil"/>
              <w:bottom w:val="nil"/>
              <w:right w:val="nil"/>
            </w:tcBorders>
            <w:shd w:val="clear" w:color="auto" w:fill="auto"/>
            <w:noWrap/>
            <w:vAlign w:val="bottom"/>
            <w:hideMark/>
          </w:tcPr>
          <w:p w14:paraId="0C1F4D2A" w14:textId="77777777" w:rsidR="00F0597F" w:rsidRPr="00DF07F3" w:rsidRDefault="00F0597F" w:rsidP="00F0597F">
            <w:pPr>
              <w:spacing w:line="240" w:lineRule="auto"/>
              <w:jc w:val="left"/>
              <w:rPr>
                <w:sz w:val="20"/>
              </w:rPr>
            </w:pPr>
          </w:p>
        </w:tc>
      </w:tr>
    </w:tbl>
    <w:p w14:paraId="1CE37BBF" w14:textId="1E1FF837" w:rsidR="00C77185" w:rsidRPr="00730B1E" w:rsidRDefault="00F0597F" w:rsidP="00F0597F">
      <w:r w:rsidRPr="00730B1E">
        <w:t>V předchozím roce působilo jako přísedící 1 430 mužů a 2 595 žen. V součtu tedy došlo k nárůstu o jednu osobu. Mírně se zvýšil podíl žen, a to asi o 0,4 procentního bodu.</w:t>
      </w:r>
    </w:p>
    <w:p w14:paraId="58F73102" w14:textId="77777777" w:rsidR="00F0597F" w:rsidRPr="00730B1E" w:rsidRDefault="00F0597F" w:rsidP="00F0597F"/>
    <w:p w14:paraId="04EC1048" w14:textId="3DEFC097" w:rsidR="008250D3" w:rsidRPr="00730B1E" w:rsidRDefault="008250D3" w:rsidP="008250D3">
      <w:pPr>
        <w:pStyle w:val="Podnadpis"/>
        <w:rPr>
          <w:color w:val="auto"/>
        </w:rPr>
      </w:pPr>
      <w:bookmarkStart w:id="125" w:name="_Toc75952311"/>
      <w:bookmarkStart w:id="126" w:name="_Toc106106770"/>
      <w:bookmarkStart w:id="127" w:name="_Toc144104247"/>
      <w:bookmarkStart w:id="128" w:name="_Toc169251064"/>
      <w:bookmarkStart w:id="129" w:name="_Toc174080750"/>
      <w:r w:rsidRPr="00730B1E">
        <w:rPr>
          <w:color w:val="auto"/>
        </w:rPr>
        <w:t xml:space="preserve">Tabulka </w:t>
      </w:r>
      <w:r w:rsidRPr="00730B1E">
        <w:rPr>
          <w:color w:val="auto"/>
        </w:rPr>
        <w:fldChar w:fldCharType="begin"/>
      </w:r>
      <w:r w:rsidRPr="00730B1E">
        <w:rPr>
          <w:noProof/>
          <w:color w:val="auto"/>
        </w:rPr>
        <w:instrText xml:space="preserve"> SEQ Tabulka \* ARABIC </w:instrText>
      </w:r>
      <w:r w:rsidRPr="00730B1E">
        <w:rPr>
          <w:color w:val="auto"/>
        </w:rPr>
        <w:fldChar w:fldCharType="separate"/>
      </w:r>
      <w:r w:rsidR="00056825">
        <w:rPr>
          <w:noProof/>
          <w:color w:val="auto"/>
        </w:rPr>
        <w:t>7</w:t>
      </w:r>
      <w:r w:rsidRPr="00730B1E">
        <w:rPr>
          <w:color w:val="auto"/>
        </w:rPr>
        <w:fldChar w:fldCharType="end"/>
      </w:r>
      <w:r w:rsidRPr="00730B1E">
        <w:rPr>
          <w:color w:val="auto"/>
        </w:rPr>
        <w:t>: OS – podíl přísedících dle krajů a věku</w:t>
      </w:r>
      <w:bookmarkEnd w:id="125"/>
      <w:bookmarkEnd w:id="126"/>
      <w:bookmarkEnd w:id="127"/>
      <w:r w:rsidR="00C77185" w:rsidRPr="00730B1E">
        <w:rPr>
          <w:color w:val="auto"/>
        </w:rPr>
        <w:t>, 2023</w:t>
      </w:r>
      <w:bookmarkEnd w:id="128"/>
      <w:bookmarkEnd w:id="129"/>
    </w:p>
    <w:tbl>
      <w:tblPr>
        <w:tblW w:w="7620" w:type="dxa"/>
        <w:tblCellMar>
          <w:left w:w="70" w:type="dxa"/>
          <w:right w:w="70" w:type="dxa"/>
        </w:tblCellMar>
        <w:tblLook w:val="04A0" w:firstRow="1" w:lastRow="0" w:firstColumn="1" w:lastColumn="0" w:noHBand="0" w:noVBand="1"/>
      </w:tblPr>
      <w:tblGrid>
        <w:gridCol w:w="2220"/>
        <w:gridCol w:w="1136"/>
        <w:gridCol w:w="944"/>
        <w:gridCol w:w="943"/>
        <w:gridCol w:w="943"/>
        <w:gridCol w:w="1434"/>
      </w:tblGrid>
      <w:tr w:rsidR="00B64E96" w:rsidRPr="00730B1E" w14:paraId="49D7FC6D" w14:textId="77777777" w:rsidTr="00C77185">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26F242A8" w14:textId="77777777" w:rsidR="00C77185" w:rsidRPr="00730B1E" w:rsidRDefault="00C77185" w:rsidP="00C77185">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5400" w:type="dxa"/>
            <w:gridSpan w:val="5"/>
            <w:tcBorders>
              <w:top w:val="double" w:sz="6" w:space="0" w:color="auto"/>
              <w:left w:val="nil"/>
              <w:bottom w:val="nil"/>
              <w:right w:val="nil"/>
            </w:tcBorders>
            <w:shd w:val="clear" w:color="auto" w:fill="auto"/>
            <w:noWrap/>
            <w:vAlign w:val="bottom"/>
            <w:hideMark/>
          </w:tcPr>
          <w:p w14:paraId="36F40105" w14:textId="77777777" w:rsidR="00C77185" w:rsidRPr="00DF07F3" w:rsidRDefault="00C77185" w:rsidP="00C77185">
            <w:pPr>
              <w:spacing w:line="240" w:lineRule="auto"/>
              <w:jc w:val="center"/>
              <w:rPr>
                <w:b/>
                <w:bCs/>
              </w:rPr>
            </w:pPr>
            <w:r w:rsidRPr="00DF07F3">
              <w:rPr>
                <w:b/>
                <w:bCs/>
              </w:rPr>
              <w:t>Věková skupina (podíl v %)</w:t>
            </w:r>
          </w:p>
        </w:tc>
      </w:tr>
      <w:tr w:rsidR="00B64E96" w:rsidRPr="00730B1E" w14:paraId="6ABDF300" w14:textId="77777777" w:rsidTr="00C77185">
        <w:trPr>
          <w:trHeight w:val="330"/>
        </w:trPr>
        <w:tc>
          <w:tcPr>
            <w:tcW w:w="2220" w:type="dxa"/>
            <w:vMerge/>
            <w:tcBorders>
              <w:top w:val="double" w:sz="6" w:space="0" w:color="auto"/>
              <w:left w:val="nil"/>
              <w:bottom w:val="double" w:sz="6" w:space="0" w:color="000000"/>
              <w:right w:val="nil"/>
            </w:tcBorders>
            <w:vAlign w:val="center"/>
            <w:hideMark/>
          </w:tcPr>
          <w:p w14:paraId="7DFBB2BE" w14:textId="77777777" w:rsidR="00C77185" w:rsidRPr="00730B1E" w:rsidRDefault="00C77185" w:rsidP="00C77185">
            <w:pPr>
              <w:spacing w:line="240" w:lineRule="auto"/>
              <w:jc w:val="left"/>
              <w:rPr>
                <w:rFonts w:eastAsia="Times New Roman"/>
                <w:b/>
                <w:bCs/>
                <w:szCs w:val="24"/>
                <w:lang w:eastAsia="cs-CZ"/>
              </w:rPr>
            </w:pPr>
          </w:p>
        </w:tc>
        <w:tc>
          <w:tcPr>
            <w:tcW w:w="1136" w:type="dxa"/>
            <w:tcBorders>
              <w:top w:val="nil"/>
              <w:left w:val="nil"/>
              <w:bottom w:val="double" w:sz="6" w:space="0" w:color="auto"/>
              <w:right w:val="nil"/>
            </w:tcBorders>
            <w:shd w:val="clear" w:color="auto" w:fill="auto"/>
            <w:noWrap/>
            <w:vAlign w:val="bottom"/>
            <w:hideMark/>
          </w:tcPr>
          <w:p w14:paraId="3C05185D" w14:textId="2FFEE5DA" w:rsidR="00C77185" w:rsidRPr="00DF07F3" w:rsidRDefault="00C77185" w:rsidP="00C77185">
            <w:pPr>
              <w:spacing w:line="240" w:lineRule="auto"/>
              <w:jc w:val="center"/>
              <w:rPr>
                <w:b/>
                <w:bCs/>
              </w:rPr>
            </w:pPr>
            <w:r w:rsidRPr="00DF07F3">
              <w:rPr>
                <w:b/>
                <w:bCs/>
              </w:rPr>
              <w:t>30-39</w:t>
            </w:r>
          </w:p>
        </w:tc>
        <w:tc>
          <w:tcPr>
            <w:tcW w:w="944" w:type="dxa"/>
            <w:tcBorders>
              <w:top w:val="nil"/>
              <w:left w:val="nil"/>
              <w:bottom w:val="double" w:sz="6" w:space="0" w:color="auto"/>
              <w:right w:val="nil"/>
            </w:tcBorders>
            <w:shd w:val="clear" w:color="auto" w:fill="auto"/>
            <w:noWrap/>
            <w:vAlign w:val="bottom"/>
            <w:hideMark/>
          </w:tcPr>
          <w:p w14:paraId="2A846CA5" w14:textId="77777777" w:rsidR="00C77185" w:rsidRPr="00DF07F3" w:rsidRDefault="00C77185" w:rsidP="00C77185">
            <w:pPr>
              <w:spacing w:line="240" w:lineRule="auto"/>
              <w:jc w:val="center"/>
              <w:rPr>
                <w:b/>
                <w:bCs/>
              </w:rPr>
            </w:pPr>
            <w:r w:rsidRPr="00DF07F3">
              <w:rPr>
                <w:b/>
                <w:bCs/>
              </w:rPr>
              <w:t>40-49</w:t>
            </w:r>
          </w:p>
        </w:tc>
        <w:tc>
          <w:tcPr>
            <w:tcW w:w="943" w:type="dxa"/>
            <w:tcBorders>
              <w:top w:val="nil"/>
              <w:left w:val="nil"/>
              <w:bottom w:val="double" w:sz="6" w:space="0" w:color="auto"/>
              <w:right w:val="nil"/>
            </w:tcBorders>
            <w:shd w:val="clear" w:color="auto" w:fill="auto"/>
            <w:noWrap/>
            <w:vAlign w:val="bottom"/>
            <w:hideMark/>
          </w:tcPr>
          <w:p w14:paraId="3548CD02" w14:textId="77777777" w:rsidR="00C77185" w:rsidRPr="00DF07F3" w:rsidRDefault="00C77185" w:rsidP="00C77185">
            <w:pPr>
              <w:spacing w:line="240" w:lineRule="auto"/>
              <w:jc w:val="center"/>
              <w:rPr>
                <w:b/>
                <w:bCs/>
              </w:rPr>
            </w:pPr>
            <w:r w:rsidRPr="00DF07F3">
              <w:rPr>
                <w:b/>
                <w:bCs/>
              </w:rPr>
              <w:t>50-59</w:t>
            </w:r>
          </w:p>
        </w:tc>
        <w:tc>
          <w:tcPr>
            <w:tcW w:w="943" w:type="dxa"/>
            <w:tcBorders>
              <w:top w:val="nil"/>
              <w:left w:val="nil"/>
              <w:bottom w:val="double" w:sz="6" w:space="0" w:color="auto"/>
              <w:right w:val="nil"/>
            </w:tcBorders>
            <w:shd w:val="clear" w:color="auto" w:fill="auto"/>
            <w:noWrap/>
            <w:vAlign w:val="bottom"/>
            <w:hideMark/>
          </w:tcPr>
          <w:p w14:paraId="44EDA21D" w14:textId="77777777" w:rsidR="00C77185" w:rsidRPr="00DF07F3" w:rsidRDefault="00C77185" w:rsidP="00C77185">
            <w:pPr>
              <w:spacing w:line="240" w:lineRule="auto"/>
              <w:jc w:val="center"/>
              <w:rPr>
                <w:b/>
                <w:bCs/>
              </w:rPr>
            </w:pPr>
            <w:r w:rsidRPr="00DF07F3">
              <w:rPr>
                <w:b/>
                <w:bCs/>
              </w:rPr>
              <w:t>60-69</w:t>
            </w:r>
          </w:p>
        </w:tc>
        <w:tc>
          <w:tcPr>
            <w:tcW w:w="1434" w:type="dxa"/>
            <w:tcBorders>
              <w:top w:val="nil"/>
              <w:left w:val="nil"/>
              <w:bottom w:val="double" w:sz="6" w:space="0" w:color="auto"/>
              <w:right w:val="nil"/>
            </w:tcBorders>
            <w:shd w:val="clear" w:color="auto" w:fill="auto"/>
            <w:noWrap/>
            <w:vAlign w:val="bottom"/>
            <w:hideMark/>
          </w:tcPr>
          <w:p w14:paraId="6B710AF3" w14:textId="77777777" w:rsidR="00C77185" w:rsidRPr="00DF07F3" w:rsidRDefault="00C77185" w:rsidP="00C77185">
            <w:pPr>
              <w:spacing w:line="240" w:lineRule="auto"/>
              <w:jc w:val="center"/>
              <w:rPr>
                <w:b/>
                <w:bCs/>
              </w:rPr>
            </w:pPr>
            <w:r w:rsidRPr="00DF07F3">
              <w:rPr>
                <w:b/>
                <w:bCs/>
              </w:rPr>
              <w:t>70 a více</w:t>
            </w:r>
          </w:p>
        </w:tc>
      </w:tr>
      <w:tr w:rsidR="00B64E96" w:rsidRPr="00730B1E" w14:paraId="7C243ECB" w14:textId="77777777" w:rsidTr="00C77185">
        <w:trPr>
          <w:trHeight w:val="330"/>
        </w:trPr>
        <w:tc>
          <w:tcPr>
            <w:tcW w:w="2220" w:type="dxa"/>
            <w:tcBorders>
              <w:top w:val="nil"/>
              <w:left w:val="nil"/>
              <w:bottom w:val="single" w:sz="4" w:space="0" w:color="auto"/>
              <w:right w:val="nil"/>
            </w:tcBorders>
            <w:shd w:val="clear" w:color="auto" w:fill="auto"/>
            <w:noWrap/>
            <w:vAlign w:val="bottom"/>
            <w:hideMark/>
          </w:tcPr>
          <w:p w14:paraId="14204867" w14:textId="77777777" w:rsidR="00C77185" w:rsidRPr="00730B1E" w:rsidRDefault="00C77185" w:rsidP="00C77185">
            <w:pPr>
              <w:spacing w:line="240" w:lineRule="auto"/>
              <w:jc w:val="left"/>
              <w:rPr>
                <w:rFonts w:eastAsia="Times New Roman"/>
                <w:szCs w:val="24"/>
                <w:lang w:eastAsia="cs-CZ"/>
              </w:rPr>
            </w:pPr>
            <w:r w:rsidRPr="00730B1E">
              <w:rPr>
                <w:rFonts w:eastAsia="Times New Roman"/>
                <w:szCs w:val="24"/>
                <w:lang w:eastAsia="cs-CZ"/>
              </w:rPr>
              <w:t>MS Praha</w:t>
            </w:r>
          </w:p>
        </w:tc>
        <w:tc>
          <w:tcPr>
            <w:tcW w:w="1136" w:type="dxa"/>
            <w:tcBorders>
              <w:top w:val="nil"/>
              <w:left w:val="nil"/>
              <w:bottom w:val="single" w:sz="4" w:space="0" w:color="auto"/>
              <w:right w:val="nil"/>
            </w:tcBorders>
            <w:shd w:val="clear" w:color="auto" w:fill="auto"/>
            <w:noWrap/>
            <w:vAlign w:val="bottom"/>
            <w:hideMark/>
          </w:tcPr>
          <w:p w14:paraId="3586657F" w14:textId="6AFEBAC0"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7,48</w:t>
            </w:r>
          </w:p>
        </w:tc>
        <w:tc>
          <w:tcPr>
            <w:tcW w:w="944" w:type="dxa"/>
            <w:tcBorders>
              <w:top w:val="nil"/>
              <w:left w:val="nil"/>
              <w:bottom w:val="single" w:sz="4" w:space="0" w:color="auto"/>
              <w:right w:val="nil"/>
            </w:tcBorders>
            <w:shd w:val="clear" w:color="auto" w:fill="auto"/>
            <w:noWrap/>
            <w:vAlign w:val="bottom"/>
            <w:hideMark/>
          </w:tcPr>
          <w:p w14:paraId="7FF076F3" w14:textId="037542D3"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15,42</w:t>
            </w:r>
          </w:p>
        </w:tc>
        <w:tc>
          <w:tcPr>
            <w:tcW w:w="943" w:type="dxa"/>
            <w:tcBorders>
              <w:top w:val="nil"/>
              <w:left w:val="nil"/>
              <w:bottom w:val="single" w:sz="4" w:space="0" w:color="auto"/>
              <w:right w:val="nil"/>
            </w:tcBorders>
            <w:shd w:val="clear" w:color="auto" w:fill="auto"/>
            <w:noWrap/>
            <w:vAlign w:val="bottom"/>
            <w:hideMark/>
          </w:tcPr>
          <w:p w14:paraId="471042DC" w14:textId="134DD4BE"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17,99</w:t>
            </w:r>
          </w:p>
        </w:tc>
        <w:tc>
          <w:tcPr>
            <w:tcW w:w="943" w:type="dxa"/>
            <w:tcBorders>
              <w:top w:val="nil"/>
              <w:left w:val="nil"/>
              <w:bottom w:val="single" w:sz="4" w:space="0" w:color="auto"/>
              <w:right w:val="nil"/>
            </w:tcBorders>
            <w:shd w:val="clear" w:color="auto" w:fill="auto"/>
            <w:noWrap/>
            <w:vAlign w:val="bottom"/>
            <w:hideMark/>
          </w:tcPr>
          <w:p w14:paraId="55E1D20E" w14:textId="62196F31"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20,33</w:t>
            </w:r>
          </w:p>
        </w:tc>
        <w:tc>
          <w:tcPr>
            <w:tcW w:w="1434" w:type="dxa"/>
            <w:tcBorders>
              <w:top w:val="nil"/>
              <w:left w:val="nil"/>
              <w:bottom w:val="single" w:sz="4" w:space="0" w:color="auto"/>
              <w:right w:val="nil"/>
            </w:tcBorders>
            <w:shd w:val="clear" w:color="auto" w:fill="auto"/>
            <w:noWrap/>
            <w:vAlign w:val="bottom"/>
            <w:hideMark/>
          </w:tcPr>
          <w:p w14:paraId="53443EA6" w14:textId="121911CF"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38,79</w:t>
            </w:r>
          </w:p>
        </w:tc>
      </w:tr>
      <w:tr w:rsidR="00B64E96" w:rsidRPr="00730B1E" w14:paraId="5F611CB7"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1589DF72" w14:textId="77777777" w:rsidR="00C77185" w:rsidRPr="00730B1E" w:rsidRDefault="00C77185" w:rsidP="00C77185">
            <w:pPr>
              <w:spacing w:line="240" w:lineRule="auto"/>
              <w:jc w:val="left"/>
              <w:rPr>
                <w:rFonts w:eastAsia="Times New Roman"/>
                <w:szCs w:val="24"/>
                <w:lang w:eastAsia="cs-CZ"/>
              </w:rPr>
            </w:pPr>
            <w:r w:rsidRPr="00730B1E">
              <w:rPr>
                <w:rFonts w:eastAsia="Times New Roman"/>
                <w:szCs w:val="24"/>
                <w:lang w:eastAsia="cs-CZ"/>
              </w:rPr>
              <w:t>KS Praha</w:t>
            </w:r>
          </w:p>
        </w:tc>
        <w:tc>
          <w:tcPr>
            <w:tcW w:w="1136" w:type="dxa"/>
            <w:tcBorders>
              <w:top w:val="nil"/>
              <w:left w:val="nil"/>
              <w:bottom w:val="single" w:sz="4" w:space="0" w:color="auto"/>
              <w:right w:val="nil"/>
            </w:tcBorders>
            <w:shd w:val="clear" w:color="auto" w:fill="auto"/>
            <w:noWrap/>
            <w:vAlign w:val="bottom"/>
            <w:hideMark/>
          </w:tcPr>
          <w:p w14:paraId="654DC8E4" w14:textId="5EDE80A5"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4,00</w:t>
            </w:r>
          </w:p>
        </w:tc>
        <w:tc>
          <w:tcPr>
            <w:tcW w:w="944" w:type="dxa"/>
            <w:tcBorders>
              <w:top w:val="nil"/>
              <w:left w:val="nil"/>
              <w:bottom w:val="single" w:sz="4" w:space="0" w:color="auto"/>
              <w:right w:val="nil"/>
            </w:tcBorders>
            <w:shd w:val="clear" w:color="auto" w:fill="auto"/>
            <w:noWrap/>
            <w:vAlign w:val="bottom"/>
            <w:hideMark/>
          </w:tcPr>
          <w:p w14:paraId="7420C0AC" w14:textId="507BE74C"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16,86</w:t>
            </w:r>
          </w:p>
        </w:tc>
        <w:tc>
          <w:tcPr>
            <w:tcW w:w="943" w:type="dxa"/>
            <w:tcBorders>
              <w:top w:val="nil"/>
              <w:left w:val="nil"/>
              <w:bottom w:val="single" w:sz="4" w:space="0" w:color="auto"/>
              <w:right w:val="nil"/>
            </w:tcBorders>
            <w:shd w:val="clear" w:color="auto" w:fill="auto"/>
            <w:noWrap/>
            <w:vAlign w:val="bottom"/>
            <w:hideMark/>
          </w:tcPr>
          <w:p w14:paraId="278C6B44" w14:textId="103DB069"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21,14</w:t>
            </w:r>
          </w:p>
        </w:tc>
        <w:tc>
          <w:tcPr>
            <w:tcW w:w="943" w:type="dxa"/>
            <w:tcBorders>
              <w:top w:val="nil"/>
              <w:left w:val="nil"/>
              <w:bottom w:val="single" w:sz="4" w:space="0" w:color="auto"/>
              <w:right w:val="nil"/>
            </w:tcBorders>
            <w:shd w:val="clear" w:color="auto" w:fill="auto"/>
            <w:noWrap/>
            <w:vAlign w:val="bottom"/>
            <w:hideMark/>
          </w:tcPr>
          <w:p w14:paraId="50FBCF04" w14:textId="472A15C1"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23,71</w:t>
            </w:r>
          </w:p>
        </w:tc>
        <w:tc>
          <w:tcPr>
            <w:tcW w:w="1434" w:type="dxa"/>
            <w:tcBorders>
              <w:top w:val="nil"/>
              <w:left w:val="nil"/>
              <w:bottom w:val="single" w:sz="4" w:space="0" w:color="auto"/>
              <w:right w:val="nil"/>
            </w:tcBorders>
            <w:shd w:val="clear" w:color="auto" w:fill="auto"/>
            <w:noWrap/>
            <w:vAlign w:val="bottom"/>
            <w:hideMark/>
          </w:tcPr>
          <w:p w14:paraId="6741B8F2" w14:textId="49750CD2"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34,29</w:t>
            </w:r>
          </w:p>
        </w:tc>
      </w:tr>
      <w:tr w:rsidR="00B64E96" w:rsidRPr="00730B1E" w14:paraId="5A122553"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2B977B8A" w14:textId="77777777" w:rsidR="00C77185" w:rsidRPr="00730B1E" w:rsidRDefault="00C77185" w:rsidP="00C77185">
            <w:pPr>
              <w:spacing w:line="240" w:lineRule="auto"/>
              <w:jc w:val="left"/>
              <w:rPr>
                <w:rFonts w:eastAsia="Times New Roman"/>
                <w:szCs w:val="24"/>
                <w:lang w:eastAsia="cs-CZ"/>
              </w:rPr>
            </w:pPr>
            <w:r w:rsidRPr="00730B1E">
              <w:rPr>
                <w:rFonts w:eastAsia="Times New Roman"/>
                <w:szCs w:val="24"/>
                <w:lang w:eastAsia="cs-CZ"/>
              </w:rPr>
              <w:t>KS Č. Budějovice</w:t>
            </w:r>
          </w:p>
        </w:tc>
        <w:tc>
          <w:tcPr>
            <w:tcW w:w="1136" w:type="dxa"/>
            <w:tcBorders>
              <w:top w:val="nil"/>
              <w:left w:val="nil"/>
              <w:bottom w:val="single" w:sz="4" w:space="0" w:color="auto"/>
              <w:right w:val="nil"/>
            </w:tcBorders>
            <w:shd w:val="clear" w:color="auto" w:fill="auto"/>
            <w:noWrap/>
            <w:vAlign w:val="bottom"/>
            <w:hideMark/>
          </w:tcPr>
          <w:p w14:paraId="6D6B158D" w14:textId="199B53D8"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0,87</w:t>
            </w:r>
          </w:p>
        </w:tc>
        <w:tc>
          <w:tcPr>
            <w:tcW w:w="944" w:type="dxa"/>
            <w:tcBorders>
              <w:top w:val="nil"/>
              <w:left w:val="nil"/>
              <w:bottom w:val="single" w:sz="4" w:space="0" w:color="auto"/>
              <w:right w:val="nil"/>
            </w:tcBorders>
            <w:shd w:val="clear" w:color="auto" w:fill="auto"/>
            <w:noWrap/>
            <w:vAlign w:val="bottom"/>
            <w:hideMark/>
          </w:tcPr>
          <w:p w14:paraId="4026B9CF" w14:textId="6034835E"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9,57</w:t>
            </w:r>
          </w:p>
        </w:tc>
        <w:tc>
          <w:tcPr>
            <w:tcW w:w="943" w:type="dxa"/>
            <w:tcBorders>
              <w:top w:val="nil"/>
              <w:left w:val="nil"/>
              <w:bottom w:val="single" w:sz="4" w:space="0" w:color="auto"/>
              <w:right w:val="nil"/>
            </w:tcBorders>
            <w:shd w:val="clear" w:color="auto" w:fill="auto"/>
            <w:noWrap/>
            <w:vAlign w:val="bottom"/>
            <w:hideMark/>
          </w:tcPr>
          <w:p w14:paraId="28B31025" w14:textId="014D0838"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19,13</w:t>
            </w:r>
          </w:p>
        </w:tc>
        <w:tc>
          <w:tcPr>
            <w:tcW w:w="943" w:type="dxa"/>
            <w:tcBorders>
              <w:top w:val="nil"/>
              <w:left w:val="nil"/>
              <w:bottom w:val="single" w:sz="4" w:space="0" w:color="auto"/>
              <w:right w:val="nil"/>
            </w:tcBorders>
            <w:shd w:val="clear" w:color="auto" w:fill="auto"/>
            <w:noWrap/>
            <w:vAlign w:val="bottom"/>
            <w:hideMark/>
          </w:tcPr>
          <w:p w14:paraId="787F1C07" w14:textId="71355ADB"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34,78</w:t>
            </w:r>
          </w:p>
        </w:tc>
        <w:tc>
          <w:tcPr>
            <w:tcW w:w="1434" w:type="dxa"/>
            <w:tcBorders>
              <w:top w:val="nil"/>
              <w:left w:val="nil"/>
              <w:bottom w:val="single" w:sz="4" w:space="0" w:color="auto"/>
              <w:right w:val="nil"/>
            </w:tcBorders>
            <w:shd w:val="clear" w:color="auto" w:fill="auto"/>
            <w:noWrap/>
            <w:vAlign w:val="bottom"/>
            <w:hideMark/>
          </w:tcPr>
          <w:p w14:paraId="3F632869" w14:textId="2FD94C46"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35,65</w:t>
            </w:r>
          </w:p>
        </w:tc>
      </w:tr>
      <w:tr w:rsidR="00B64E96" w:rsidRPr="00730B1E" w14:paraId="714639F2"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052ED18C" w14:textId="77777777" w:rsidR="00C77185" w:rsidRPr="00730B1E" w:rsidRDefault="00C77185" w:rsidP="00C77185">
            <w:pPr>
              <w:spacing w:line="240" w:lineRule="auto"/>
              <w:jc w:val="left"/>
              <w:rPr>
                <w:rFonts w:eastAsia="Times New Roman"/>
                <w:szCs w:val="24"/>
                <w:lang w:eastAsia="cs-CZ"/>
              </w:rPr>
            </w:pPr>
            <w:r w:rsidRPr="00730B1E">
              <w:rPr>
                <w:rFonts w:eastAsia="Times New Roman"/>
                <w:szCs w:val="24"/>
                <w:lang w:eastAsia="cs-CZ"/>
              </w:rPr>
              <w:t>KS Plzeň</w:t>
            </w:r>
          </w:p>
        </w:tc>
        <w:tc>
          <w:tcPr>
            <w:tcW w:w="1136" w:type="dxa"/>
            <w:tcBorders>
              <w:top w:val="nil"/>
              <w:left w:val="nil"/>
              <w:bottom w:val="single" w:sz="4" w:space="0" w:color="auto"/>
              <w:right w:val="nil"/>
            </w:tcBorders>
            <w:shd w:val="clear" w:color="auto" w:fill="auto"/>
            <w:noWrap/>
            <w:vAlign w:val="bottom"/>
            <w:hideMark/>
          </w:tcPr>
          <w:p w14:paraId="7029AD04" w14:textId="1A03E8F6"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3,09</w:t>
            </w:r>
          </w:p>
        </w:tc>
        <w:tc>
          <w:tcPr>
            <w:tcW w:w="944" w:type="dxa"/>
            <w:tcBorders>
              <w:top w:val="nil"/>
              <w:left w:val="nil"/>
              <w:bottom w:val="single" w:sz="4" w:space="0" w:color="auto"/>
              <w:right w:val="nil"/>
            </w:tcBorders>
            <w:shd w:val="clear" w:color="auto" w:fill="auto"/>
            <w:noWrap/>
            <w:vAlign w:val="bottom"/>
            <w:hideMark/>
          </w:tcPr>
          <w:p w14:paraId="09DF6566" w14:textId="3E88CC69"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11,52</w:t>
            </w:r>
          </w:p>
        </w:tc>
        <w:tc>
          <w:tcPr>
            <w:tcW w:w="943" w:type="dxa"/>
            <w:tcBorders>
              <w:top w:val="nil"/>
              <w:left w:val="nil"/>
              <w:bottom w:val="single" w:sz="4" w:space="0" w:color="auto"/>
              <w:right w:val="nil"/>
            </w:tcBorders>
            <w:shd w:val="clear" w:color="auto" w:fill="auto"/>
            <w:noWrap/>
            <w:vAlign w:val="bottom"/>
            <w:hideMark/>
          </w:tcPr>
          <w:p w14:paraId="5A419FBE" w14:textId="7C07E120"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21,63</w:t>
            </w:r>
          </w:p>
        </w:tc>
        <w:tc>
          <w:tcPr>
            <w:tcW w:w="943" w:type="dxa"/>
            <w:tcBorders>
              <w:top w:val="nil"/>
              <w:left w:val="nil"/>
              <w:bottom w:val="single" w:sz="4" w:space="0" w:color="auto"/>
              <w:right w:val="nil"/>
            </w:tcBorders>
            <w:shd w:val="clear" w:color="auto" w:fill="auto"/>
            <w:noWrap/>
            <w:vAlign w:val="bottom"/>
            <w:hideMark/>
          </w:tcPr>
          <w:p w14:paraId="229A23E0" w14:textId="2520B536"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30,34</w:t>
            </w:r>
          </w:p>
        </w:tc>
        <w:tc>
          <w:tcPr>
            <w:tcW w:w="1434" w:type="dxa"/>
            <w:tcBorders>
              <w:top w:val="nil"/>
              <w:left w:val="nil"/>
              <w:bottom w:val="single" w:sz="4" w:space="0" w:color="auto"/>
              <w:right w:val="nil"/>
            </w:tcBorders>
            <w:shd w:val="clear" w:color="auto" w:fill="auto"/>
            <w:noWrap/>
            <w:vAlign w:val="bottom"/>
            <w:hideMark/>
          </w:tcPr>
          <w:p w14:paraId="0E5F18C7" w14:textId="64702871"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33,43</w:t>
            </w:r>
          </w:p>
        </w:tc>
      </w:tr>
      <w:tr w:rsidR="00B64E96" w:rsidRPr="00730B1E" w14:paraId="1589D966"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2E29E6D6" w14:textId="77777777" w:rsidR="00C77185" w:rsidRPr="00730B1E" w:rsidRDefault="00C77185" w:rsidP="00C77185">
            <w:pPr>
              <w:spacing w:line="240" w:lineRule="auto"/>
              <w:jc w:val="left"/>
              <w:rPr>
                <w:rFonts w:eastAsia="Times New Roman"/>
                <w:szCs w:val="24"/>
                <w:lang w:eastAsia="cs-CZ"/>
              </w:rPr>
            </w:pPr>
            <w:r w:rsidRPr="00730B1E">
              <w:rPr>
                <w:rFonts w:eastAsia="Times New Roman"/>
                <w:szCs w:val="24"/>
                <w:lang w:eastAsia="cs-CZ"/>
              </w:rPr>
              <w:t>KS Ústí n. Labem</w:t>
            </w:r>
          </w:p>
        </w:tc>
        <w:tc>
          <w:tcPr>
            <w:tcW w:w="1136" w:type="dxa"/>
            <w:tcBorders>
              <w:top w:val="nil"/>
              <w:left w:val="nil"/>
              <w:bottom w:val="single" w:sz="4" w:space="0" w:color="auto"/>
              <w:right w:val="nil"/>
            </w:tcBorders>
            <w:shd w:val="clear" w:color="auto" w:fill="auto"/>
            <w:noWrap/>
            <w:vAlign w:val="bottom"/>
            <w:hideMark/>
          </w:tcPr>
          <w:p w14:paraId="18896534" w14:textId="655BA910"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4,43</w:t>
            </w:r>
          </w:p>
        </w:tc>
        <w:tc>
          <w:tcPr>
            <w:tcW w:w="944" w:type="dxa"/>
            <w:tcBorders>
              <w:top w:val="nil"/>
              <w:left w:val="nil"/>
              <w:bottom w:val="single" w:sz="4" w:space="0" w:color="auto"/>
              <w:right w:val="nil"/>
            </w:tcBorders>
            <w:shd w:val="clear" w:color="auto" w:fill="auto"/>
            <w:noWrap/>
            <w:vAlign w:val="bottom"/>
            <w:hideMark/>
          </w:tcPr>
          <w:p w14:paraId="69FC3DFA" w14:textId="0DF6C79D"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15,07</w:t>
            </w:r>
          </w:p>
        </w:tc>
        <w:tc>
          <w:tcPr>
            <w:tcW w:w="943" w:type="dxa"/>
            <w:tcBorders>
              <w:top w:val="nil"/>
              <w:left w:val="nil"/>
              <w:bottom w:val="single" w:sz="4" w:space="0" w:color="auto"/>
              <w:right w:val="nil"/>
            </w:tcBorders>
            <w:shd w:val="clear" w:color="auto" w:fill="auto"/>
            <w:noWrap/>
            <w:vAlign w:val="bottom"/>
            <w:hideMark/>
          </w:tcPr>
          <w:p w14:paraId="0CE2819B" w14:textId="7B55E472"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21,28</w:t>
            </w:r>
          </w:p>
        </w:tc>
        <w:tc>
          <w:tcPr>
            <w:tcW w:w="943" w:type="dxa"/>
            <w:tcBorders>
              <w:top w:val="nil"/>
              <w:left w:val="nil"/>
              <w:bottom w:val="single" w:sz="4" w:space="0" w:color="auto"/>
              <w:right w:val="nil"/>
            </w:tcBorders>
            <w:shd w:val="clear" w:color="auto" w:fill="auto"/>
            <w:noWrap/>
            <w:vAlign w:val="bottom"/>
            <w:hideMark/>
          </w:tcPr>
          <w:p w14:paraId="6892CC5B" w14:textId="4570411D"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24,29</w:t>
            </w:r>
          </w:p>
        </w:tc>
        <w:tc>
          <w:tcPr>
            <w:tcW w:w="1434" w:type="dxa"/>
            <w:tcBorders>
              <w:top w:val="nil"/>
              <w:left w:val="nil"/>
              <w:bottom w:val="single" w:sz="4" w:space="0" w:color="auto"/>
              <w:right w:val="nil"/>
            </w:tcBorders>
            <w:shd w:val="clear" w:color="auto" w:fill="auto"/>
            <w:noWrap/>
            <w:vAlign w:val="bottom"/>
            <w:hideMark/>
          </w:tcPr>
          <w:p w14:paraId="62B6AFF9" w14:textId="633C7828"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34,93</w:t>
            </w:r>
          </w:p>
        </w:tc>
      </w:tr>
      <w:tr w:rsidR="00B64E96" w:rsidRPr="00730B1E" w14:paraId="659D76CD"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6465CDC8" w14:textId="77777777" w:rsidR="00C77185" w:rsidRPr="00730B1E" w:rsidRDefault="00C77185" w:rsidP="00C77185">
            <w:pPr>
              <w:spacing w:line="240" w:lineRule="auto"/>
              <w:jc w:val="left"/>
              <w:rPr>
                <w:rFonts w:eastAsia="Times New Roman"/>
                <w:szCs w:val="24"/>
                <w:lang w:eastAsia="cs-CZ"/>
              </w:rPr>
            </w:pPr>
            <w:r w:rsidRPr="00730B1E">
              <w:rPr>
                <w:rFonts w:eastAsia="Times New Roman"/>
                <w:szCs w:val="24"/>
                <w:lang w:eastAsia="cs-CZ"/>
              </w:rPr>
              <w:t>KS Hr. Králové</w:t>
            </w:r>
          </w:p>
        </w:tc>
        <w:tc>
          <w:tcPr>
            <w:tcW w:w="1136" w:type="dxa"/>
            <w:tcBorders>
              <w:top w:val="nil"/>
              <w:left w:val="nil"/>
              <w:bottom w:val="single" w:sz="4" w:space="0" w:color="auto"/>
              <w:right w:val="nil"/>
            </w:tcBorders>
            <w:shd w:val="clear" w:color="auto" w:fill="auto"/>
            <w:noWrap/>
            <w:vAlign w:val="bottom"/>
            <w:hideMark/>
          </w:tcPr>
          <w:p w14:paraId="3094668C" w14:textId="55467079"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2,63</w:t>
            </w:r>
          </w:p>
        </w:tc>
        <w:tc>
          <w:tcPr>
            <w:tcW w:w="944" w:type="dxa"/>
            <w:tcBorders>
              <w:top w:val="nil"/>
              <w:left w:val="nil"/>
              <w:bottom w:val="single" w:sz="4" w:space="0" w:color="auto"/>
              <w:right w:val="nil"/>
            </w:tcBorders>
            <w:shd w:val="clear" w:color="auto" w:fill="auto"/>
            <w:noWrap/>
            <w:vAlign w:val="bottom"/>
            <w:hideMark/>
          </w:tcPr>
          <w:p w14:paraId="482ECA1F" w14:textId="1721DAF4"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10,02</w:t>
            </w:r>
          </w:p>
        </w:tc>
        <w:tc>
          <w:tcPr>
            <w:tcW w:w="943" w:type="dxa"/>
            <w:tcBorders>
              <w:top w:val="nil"/>
              <w:left w:val="nil"/>
              <w:bottom w:val="single" w:sz="4" w:space="0" w:color="auto"/>
              <w:right w:val="nil"/>
            </w:tcBorders>
            <w:shd w:val="clear" w:color="auto" w:fill="auto"/>
            <w:noWrap/>
            <w:vAlign w:val="bottom"/>
            <w:hideMark/>
          </w:tcPr>
          <w:p w14:paraId="460CE91E" w14:textId="1905750A"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19,09</w:t>
            </w:r>
          </w:p>
        </w:tc>
        <w:tc>
          <w:tcPr>
            <w:tcW w:w="943" w:type="dxa"/>
            <w:tcBorders>
              <w:top w:val="nil"/>
              <w:left w:val="nil"/>
              <w:bottom w:val="single" w:sz="4" w:space="0" w:color="auto"/>
              <w:right w:val="nil"/>
            </w:tcBorders>
            <w:shd w:val="clear" w:color="auto" w:fill="auto"/>
            <w:noWrap/>
            <w:vAlign w:val="bottom"/>
            <w:hideMark/>
          </w:tcPr>
          <w:p w14:paraId="78580647" w14:textId="0486500D"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33,17</w:t>
            </w:r>
          </w:p>
        </w:tc>
        <w:tc>
          <w:tcPr>
            <w:tcW w:w="1434" w:type="dxa"/>
            <w:tcBorders>
              <w:top w:val="nil"/>
              <w:left w:val="nil"/>
              <w:bottom w:val="single" w:sz="4" w:space="0" w:color="auto"/>
              <w:right w:val="nil"/>
            </w:tcBorders>
            <w:shd w:val="clear" w:color="auto" w:fill="auto"/>
            <w:noWrap/>
            <w:vAlign w:val="bottom"/>
            <w:hideMark/>
          </w:tcPr>
          <w:p w14:paraId="63F5BE96" w14:textId="03D750F5"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35,08</w:t>
            </w:r>
          </w:p>
        </w:tc>
      </w:tr>
      <w:tr w:rsidR="00B64E96" w:rsidRPr="00730B1E" w14:paraId="717D803B" w14:textId="77777777" w:rsidTr="00C77185">
        <w:trPr>
          <w:trHeight w:val="315"/>
        </w:trPr>
        <w:tc>
          <w:tcPr>
            <w:tcW w:w="2220" w:type="dxa"/>
            <w:tcBorders>
              <w:top w:val="nil"/>
              <w:left w:val="nil"/>
              <w:bottom w:val="single" w:sz="4" w:space="0" w:color="auto"/>
              <w:right w:val="nil"/>
            </w:tcBorders>
            <w:shd w:val="clear" w:color="auto" w:fill="auto"/>
            <w:noWrap/>
            <w:vAlign w:val="bottom"/>
            <w:hideMark/>
          </w:tcPr>
          <w:p w14:paraId="64E38F68" w14:textId="77777777" w:rsidR="00C77185" w:rsidRPr="00730B1E" w:rsidRDefault="00C77185" w:rsidP="00C77185">
            <w:pPr>
              <w:spacing w:line="240" w:lineRule="auto"/>
              <w:jc w:val="left"/>
              <w:rPr>
                <w:rFonts w:eastAsia="Times New Roman"/>
                <w:szCs w:val="24"/>
                <w:lang w:eastAsia="cs-CZ"/>
              </w:rPr>
            </w:pPr>
            <w:r w:rsidRPr="00730B1E">
              <w:rPr>
                <w:rFonts w:eastAsia="Times New Roman"/>
                <w:szCs w:val="24"/>
                <w:lang w:eastAsia="cs-CZ"/>
              </w:rPr>
              <w:t>KS Brno</w:t>
            </w:r>
          </w:p>
        </w:tc>
        <w:tc>
          <w:tcPr>
            <w:tcW w:w="1136" w:type="dxa"/>
            <w:tcBorders>
              <w:top w:val="nil"/>
              <w:left w:val="nil"/>
              <w:bottom w:val="single" w:sz="4" w:space="0" w:color="auto"/>
              <w:right w:val="nil"/>
            </w:tcBorders>
            <w:shd w:val="clear" w:color="auto" w:fill="auto"/>
            <w:noWrap/>
            <w:vAlign w:val="bottom"/>
            <w:hideMark/>
          </w:tcPr>
          <w:p w14:paraId="09016911" w14:textId="7B7DE755"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3,60</w:t>
            </w:r>
          </w:p>
        </w:tc>
        <w:tc>
          <w:tcPr>
            <w:tcW w:w="944" w:type="dxa"/>
            <w:tcBorders>
              <w:top w:val="nil"/>
              <w:left w:val="nil"/>
              <w:bottom w:val="single" w:sz="4" w:space="0" w:color="auto"/>
              <w:right w:val="nil"/>
            </w:tcBorders>
            <w:shd w:val="clear" w:color="auto" w:fill="auto"/>
            <w:noWrap/>
            <w:vAlign w:val="bottom"/>
            <w:hideMark/>
          </w:tcPr>
          <w:p w14:paraId="16287450" w14:textId="05B51836"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16,83</w:t>
            </w:r>
          </w:p>
        </w:tc>
        <w:tc>
          <w:tcPr>
            <w:tcW w:w="943" w:type="dxa"/>
            <w:tcBorders>
              <w:top w:val="nil"/>
              <w:left w:val="nil"/>
              <w:bottom w:val="single" w:sz="4" w:space="0" w:color="auto"/>
              <w:right w:val="nil"/>
            </w:tcBorders>
            <w:shd w:val="clear" w:color="auto" w:fill="auto"/>
            <w:noWrap/>
            <w:vAlign w:val="bottom"/>
            <w:hideMark/>
          </w:tcPr>
          <w:p w14:paraId="2902F150" w14:textId="1C7A2EF9"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18,42</w:t>
            </w:r>
          </w:p>
        </w:tc>
        <w:tc>
          <w:tcPr>
            <w:tcW w:w="943" w:type="dxa"/>
            <w:tcBorders>
              <w:top w:val="nil"/>
              <w:left w:val="nil"/>
              <w:bottom w:val="single" w:sz="4" w:space="0" w:color="auto"/>
              <w:right w:val="nil"/>
            </w:tcBorders>
            <w:shd w:val="clear" w:color="auto" w:fill="auto"/>
            <w:noWrap/>
            <w:vAlign w:val="bottom"/>
            <w:hideMark/>
          </w:tcPr>
          <w:p w14:paraId="70F05224" w14:textId="4C3BA5C7"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29,50</w:t>
            </w:r>
          </w:p>
        </w:tc>
        <w:tc>
          <w:tcPr>
            <w:tcW w:w="1434" w:type="dxa"/>
            <w:tcBorders>
              <w:top w:val="nil"/>
              <w:left w:val="nil"/>
              <w:bottom w:val="single" w:sz="4" w:space="0" w:color="auto"/>
              <w:right w:val="nil"/>
            </w:tcBorders>
            <w:shd w:val="clear" w:color="auto" w:fill="auto"/>
            <w:noWrap/>
            <w:vAlign w:val="bottom"/>
            <w:hideMark/>
          </w:tcPr>
          <w:p w14:paraId="4E8C253D" w14:textId="4F4F810C"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31,65</w:t>
            </w:r>
          </w:p>
        </w:tc>
      </w:tr>
      <w:tr w:rsidR="00B64E96" w:rsidRPr="00730B1E" w14:paraId="46C43655" w14:textId="77777777" w:rsidTr="00C77185">
        <w:trPr>
          <w:trHeight w:val="330"/>
        </w:trPr>
        <w:tc>
          <w:tcPr>
            <w:tcW w:w="2220" w:type="dxa"/>
            <w:tcBorders>
              <w:top w:val="nil"/>
              <w:left w:val="nil"/>
              <w:bottom w:val="double" w:sz="6" w:space="0" w:color="auto"/>
              <w:right w:val="nil"/>
            </w:tcBorders>
            <w:shd w:val="clear" w:color="auto" w:fill="auto"/>
            <w:noWrap/>
            <w:vAlign w:val="bottom"/>
            <w:hideMark/>
          </w:tcPr>
          <w:p w14:paraId="76AD46ED" w14:textId="77777777" w:rsidR="00C77185" w:rsidRPr="00730B1E" w:rsidRDefault="00C77185" w:rsidP="00C77185">
            <w:pPr>
              <w:spacing w:line="240" w:lineRule="auto"/>
              <w:jc w:val="left"/>
              <w:rPr>
                <w:rFonts w:eastAsia="Times New Roman"/>
                <w:szCs w:val="24"/>
                <w:lang w:eastAsia="cs-CZ"/>
              </w:rPr>
            </w:pPr>
            <w:r w:rsidRPr="00730B1E">
              <w:rPr>
                <w:rFonts w:eastAsia="Times New Roman"/>
                <w:szCs w:val="24"/>
                <w:lang w:eastAsia="cs-CZ"/>
              </w:rPr>
              <w:t>KS Ostrava</w:t>
            </w:r>
          </w:p>
        </w:tc>
        <w:tc>
          <w:tcPr>
            <w:tcW w:w="1136" w:type="dxa"/>
            <w:tcBorders>
              <w:top w:val="nil"/>
              <w:left w:val="nil"/>
              <w:bottom w:val="double" w:sz="6" w:space="0" w:color="auto"/>
              <w:right w:val="nil"/>
            </w:tcBorders>
            <w:shd w:val="clear" w:color="auto" w:fill="auto"/>
            <w:noWrap/>
            <w:vAlign w:val="bottom"/>
            <w:hideMark/>
          </w:tcPr>
          <w:p w14:paraId="7086D6B9" w14:textId="53076973"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4,88</w:t>
            </w:r>
          </w:p>
        </w:tc>
        <w:tc>
          <w:tcPr>
            <w:tcW w:w="944" w:type="dxa"/>
            <w:tcBorders>
              <w:top w:val="nil"/>
              <w:left w:val="nil"/>
              <w:bottom w:val="double" w:sz="6" w:space="0" w:color="auto"/>
              <w:right w:val="nil"/>
            </w:tcBorders>
            <w:shd w:val="clear" w:color="auto" w:fill="auto"/>
            <w:noWrap/>
            <w:vAlign w:val="bottom"/>
            <w:hideMark/>
          </w:tcPr>
          <w:p w14:paraId="7FE8754F" w14:textId="6BCBB979"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15,04</w:t>
            </w:r>
          </w:p>
        </w:tc>
        <w:tc>
          <w:tcPr>
            <w:tcW w:w="943" w:type="dxa"/>
            <w:tcBorders>
              <w:top w:val="nil"/>
              <w:left w:val="nil"/>
              <w:bottom w:val="double" w:sz="6" w:space="0" w:color="auto"/>
              <w:right w:val="nil"/>
            </w:tcBorders>
            <w:shd w:val="clear" w:color="auto" w:fill="auto"/>
            <w:noWrap/>
            <w:vAlign w:val="bottom"/>
            <w:hideMark/>
          </w:tcPr>
          <w:p w14:paraId="13E94C84" w14:textId="25CC7382"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23,68</w:t>
            </w:r>
          </w:p>
        </w:tc>
        <w:tc>
          <w:tcPr>
            <w:tcW w:w="943" w:type="dxa"/>
            <w:tcBorders>
              <w:top w:val="nil"/>
              <w:left w:val="nil"/>
              <w:bottom w:val="double" w:sz="6" w:space="0" w:color="auto"/>
              <w:right w:val="nil"/>
            </w:tcBorders>
            <w:shd w:val="clear" w:color="auto" w:fill="auto"/>
            <w:noWrap/>
            <w:vAlign w:val="bottom"/>
            <w:hideMark/>
          </w:tcPr>
          <w:p w14:paraId="78291E52" w14:textId="2B8C4FDD"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28,15</w:t>
            </w:r>
          </w:p>
        </w:tc>
        <w:tc>
          <w:tcPr>
            <w:tcW w:w="1434" w:type="dxa"/>
            <w:tcBorders>
              <w:top w:val="nil"/>
              <w:left w:val="nil"/>
              <w:bottom w:val="double" w:sz="6" w:space="0" w:color="auto"/>
              <w:right w:val="nil"/>
            </w:tcBorders>
            <w:shd w:val="clear" w:color="auto" w:fill="auto"/>
            <w:noWrap/>
            <w:vAlign w:val="bottom"/>
            <w:hideMark/>
          </w:tcPr>
          <w:p w14:paraId="5C7D1CBC" w14:textId="02925496" w:rsidR="00C77185" w:rsidRPr="00730B1E" w:rsidRDefault="00C77185" w:rsidP="00C77185">
            <w:pPr>
              <w:spacing w:line="240" w:lineRule="auto"/>
              <w:jc w:val="center"/>
              <w:rPr>
                <w:rFonts w:eastAsia="Times New Roman"/>
                <w:szCs w:val="24"/>
                <w:lang w:eastAsia="cs-CZ"/>
              </w:rPr>
            </w:pPr>
            <w:r w:rsidRPr="00730B1E">
              <w:rPr>
                <w:rFonts w:eastAsia="Times New Roman"/>
                <w:szCs w:val="24"/>
                <w:lang w:eastAsia="cs-CZ"/>
              </w:rPr>
              <w:t>28,25</w:t>
            </w:r>
          </w:p>
        </w:tc>
      </w:tr>
      <w:tr w:rsidR="00B64E96" w:rsidRPr="00730B1E" w14:paraId="555C128B" w14:textId="77777777" w:rsidTr="00C77185">
        <w:trPr>
          <w:trHeight w:val="345"/>
        </w:trPr>
        <w:tc>
          <w:tcPr>
            <w:tcW w:w="2220" w:type="dxa"/>
            <w:tcBorders>
              <w:top w:val="nil"/>
              <w:left w:val="nil"/>
              <w:bottom w:val="double" w:sz="6" w:space="0" w:color="auto"/>
              <w:right w:val="nil"/>
            </w:tcBorders>
            <w:shd w:val="clear" w:color="auto" w:fill="auto"/>
            <w:noWrap/>
            <w:vAlign w:val="bottom"/>
            <w:hideMark/>
          </w:tcPr>
          <w:p w14:paraId="70653324" w14:textId="77777777" w:rsidR="00C77185" w:rsidRPr="00730B1E" w:rsidRDefault="00C77185" w:rsidP="00C77185">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136" w:type="dxa"/>
            <w:tcBorders>
              <w:top w:val="nil"/>
              <w:left w:val="nil"/>
              <w:bottom w:val="double" w:sz="6" w:space="0" w:color="auto"/>
              <w:right w:val="nil"/>
            </w:tcBorders>
            <w:shd w:val="clear" w:color="auto" w:fill="auto"/>
            <w:noWrap/>
            <w:vAlign w:val="bottom"/>
            <w:hideMark/>
          </w:tcPr>
          <w:p w14:paraId="7567EB3A" w14:textId="68476C00" w:rsidR="00C77185" w:rsidRPr="00730B1E" w:rsidRDefault="00C77185" w:rsidP="00C77185">
            <w:pPr>
              <w:spacing w:line="240" w:lineRule="auto"/>
              <w:jc w:val="center"/>
              <w:rPr>
                <w:rFonts w:eastAsia="Times New Roman"/>
                <w:b/>
                <w:bCs/>
                <w:szCs w:val="24"/>
                <w:lang w:eastAsia="cs-CZ"/>
              </w:rPr>
            </w:pPr>
            <w:r w:rsidRPr="00730B1E">
              <w:rPr>
                <w:rFonts w:eastAsia="Times New Roman"/>
                <w:b/>
                <w:bCs/>
                <w:szCs w:val="24"/>
                <w:lang w:eastAsia="cs-CZ"/>
              </w:rPr>
              <w:t>4,17</w:t>
            </w:r>
          </w:p>
        </w:tc>
        <w:tc>
          <w:tcPr>
            <w:tcW w:w="944" w:type="dxa"/>
            <w:tcBorders>
              <w:top w:val="nil"/>
              <w:left w:val="nil"/>
              <w:bottom w:val="double" w:sz="6" w:space="0" w:color="auto"/>
              <w:right w:val="nil"/>
            </w:tcBorders>
            <w:shd w:val="clear" w:color="auto" w:fill="auto"/>
            <w:noWrap/>
            <w:vAlign w:val="bottom"/>
            <w:hideMark/>
          </w:tcPr>
          <w:p w14:paraId="2EB819B7" w14:textId="077018AD" w:rsidR="00C77185" w:rsidRPr="00730B1E" w:rsidRDefault="00C77185" w:rsidP="00C77185">
            <w:pPr>
              <w:spacing w:line="240" w:lineRule="auto"/>
              <w:jc w:val="center"/>
              <w:rPr>
                <w:rFonts w:eastAsia="Times New Roman"/>
                <w:b/>
                <w:bCs/>
                <w:szCs w:val="24"/>
                <w:lang w:eastAsia="cs-CZ"/>
              </w:rPr>
            </w:pPr>
            <w:r w:rsidRPr="00730B1E">
              <w:rPr>
                <w:rFonts w:eastAsia="Times New Roman"/>
                <w:b/>
                <w:bCs/>
                <w:szCs w:val="24"/>
                <w:lang w:eastAsia="cs-CZ"/>
              </w:rPr>
              <w:t>14,41</w:t>
            </w:r>
          </w:p>
        </w:tc>
        <w:tc>
          <w:tcPr>
            <w:tcW w:w="943" w:type="dxa"/>
            <w:tcBorders>
              <w:top w:val="nil"/>
              <w:left w:val="nil"/>
              <w:bottom w:val="double" w:sz="6" w:space="0" w:color="auto"/>
              <w:right w:val="nil"/>
            </w:tcBorders>
            <w:shd w:val="clear" w:color="auto" w:fill="auto"/>
            <w:noWrap/>
            <w:vAlign w:val="bottom"/>
            <w:hideMark/>
          </w:tcPr>
          <w:p w14:paraId="67BF4EE1" w14:textId="34517D30" w:rsidR="00C77185" w:rsidRPr="00730B1E" w:rsidRDefault="00C77185" w:rsidP="00C77185">
            <w:pPr>
              <w:spacing w:line="240" w:lineRule="auto"/>
              <w:jc w:val="center"/>
              <w:rPr>
                <w:rFonts w:eastAsia="Times New Roman"/>
                <w:b/>
                <w:bCs/>
                <w:szCs w:val="24"/>
                <w:lang w:eastAsia="cs-CZ"/>
              </w:rPr>
            </w:pPr>
            <w:r w:rsidRPr="00730B1E">
              <w:rPr>
                <w:rFonts w:eastAsia="Times New Roman"/>
                <w:b/>
                <w:bCs/>
                <w:szCs w:val="24"/>
                <w:lang w:eastAsia="cs-CZ"/>
              </w:rPr>
              <w:t>20,69</w:t>
            </w:r>
          </w:p>
        </w:tc>
        <w:tc>
          <w:tcPr>
            <w:tcW w:w="943" w:type="dxa"/>
            <w:tcBorders>
              <w:top w:val="nil"/>
              <w:left w:val="nil"/>
              <w:bottom w:val="double" w:sz="6" w:space="0" w:color="auto"/>
              <w:right w:val="nil"/>
            </w:tcBorders>
            <w:shd w:val="clear" w:color="auto" w:fill="auto"/>
            <w:noWrap/>
            <w:vAlign w:val="bottom"/>
            <w:hideMark/>
          </w:tcPr>
          <w:p w14:paraId="3141FFEE" w14:textId="6A03A7F2" w:rsidR="00C77185" w:rsidRPr="00730B1E" w:rsidRDefault="00C77185" w:rsidP="00C77185">
            <w:pPr>
              <w:spacing w:line="240" w:lineRule="auto"/>
              <w:jc w:val="center"/>
              <w:rPr>
                <w:rFonts w:eastAsia="Times New Roman"/>
                <w:b/>
                <w:bCs/>
                <w:szCs w:val="24"/>
                <w:lang w:eastAsia="cs-CZ"/>
              </w:rPr>
            </w:pPr>
            <w:r w:rsidRPr="00730B1E">
              <w:rPr>
                <w:rFonts w:eastAsia="Times New Roman"/>
                <w:b/>
                <w:bCs/>
                <w:szCs w:val="24"/>
                <w:lang w:eastAsia="cs-CZ"/>
              </w:rPr>
              <w:t>27,72</w:t>
            </w:r>
          </w:p>
        </w:tc>
        <w:tc>
          <w:tcPr>
            <w:tcW w:w="1434" w:type="dxa"/>
            <w:tcBorders>
              <w:top w:val="nil"/>
              <w:left w:val="nil"/>
              <w:bottom w:val="double" w:sz="6" w:space="0" w:color="auto"/>
              <w:right w:val="nil"/>
            </w:tcBorders>
            <w:shd w:val="clear" w:color="auto" w:fill="auto"/>
            <w:noWrap/>
            <w:vAlign w:val="bottom"/>
            <w:hideMark/>
          </w:tcPr>
          <w:p w14:paraId="4C042068" w14:textId="5454E247" w:rsidR="00C77185" w:rsidRPr="00730B1E" w:rsidRDefault="00C77185" w:rsidP="00C77185">
            <w:pPr>
              <w:spacing w:line="240" w:lineRule="auto"/>
              <w:jc w:val="center"/>
              <w:rPr>
                <w:rFonts w:eastAsia="Times New Roman"/>
                <w:b/>
                <w:bCs/>
                <w:szCs w:val="24"/>
                <w:lang w:eastAsia="cs-CZ"/>
              </w:rPr>
            </w:pPr>
            <w:r w:rsidRPr="00730B1E">
              <w:rPr>
                <w:rFonts w:eastAsia="Times New Roman"/>
                <w:b/>
                <w:bCs/>
                <w:szCs w:val="24"/>
                <w:lang w:eastAsia="cs-CZ"/>
              </w:rPr>
              <w:t>33,01</w:t>
            </w:r>
          </w:p>
        </w:tc>
      </w:tr>
      <w:tr w:rsidR="00C77185" w:rsidRPr="00730B1E" w14:paraId="7932DE72" w14:textId="77777777" w:rsidTr="00C77185">
        <w:trPr>
          <w:trHeight w:val="330"/>
        </w:trPr>
        <w:tc>
          <w:tcPr>
            <w:tcW w:w="2220" w:type="dxa"/>
            <w:tcBorders>
              <w:top w:val="nil"/>
              <w:left w:val="nil"/>
              <w:bottom w:val="nil"/>
              <w:right w:val="nil"/>
            </w:tcBorders>
            <w:shd w:val="clear" w:color="auto" w:fill="auto"/>
            <w:noWrap/>
            <w:vAlign w:val="bottom"/>
            <w:hideMark/>
          </w:tcPr>
          <w:p w14:paraId="48403364" w14:textId="77777777" w:rsidR="00C77185" w:rsidRPr="00730B1E" w:rsidRDefault="00C77185" w:rsidP="00C77185">
            <w:pPr>
              <w:spacing w:line="240" w:lineRule="auto"/>
              <w:jc w:val="center"/>
              <w:rPr>
                <w:rFonts w:eastAsia="Times New Roman"/>
                <w:b/>
                <w:bCs/>
                <w:szCs w:val="24"/>
                <w:lang w:eastAsia="cs-CZ"/>
              </w:rPr>
            </w:pPr>
          </w:p>
        </w:tc>
        <w:tc>
          <w:tcPr>
            <w:tcW w:w="1136" w:type="dxa"/>
            <w:tcBorders>
              <w:top w:val="nil"/>
              <w:left w:val="nil"/>
              <w:bottom w:val="nil"/>
              <w:right w:val="nil"/>
            </w:tcBorders>
            <w:shd w:val="clear" w:color="auto" w:fill="auto"/>
            <w:noWrap/>
            <w:vAlign w:val="bottom"/>
            <w:hideMark/>
          </w:tcPr>
          <w:p w14:paraId="62005573" w14:textId="77777777" w:rsidR="00C77185" w:rsidRPr="00DF07F3" w:rsidRDefault="00C77185" w:rsidP="00C77185">
            <w:pPr>
              <w:spacing w:line="240" w:lineRule="auto"/>
              <w:jc w:val="left"/>
              <w:rPr>
                <w:sz w:val="20"/>
              </w:rPr>
            </w:pPr>
          </w:p>
        </w:tc>
        <w:tc>
          <w:tcPr>
            <w:tcW w:w="944" w:type="dxa"/>
            <w:tcBorders>
              <w:top w:val="nil"/>
              <w:left w:val="nil"/>
              <w:bottom w:val="nil"/>
              <w:right w:val="nil"/>
            </w:tcBorders>
            <w:shd w:val="clear" w:color="auto" w:fill="auto"/>
            <w:noWrap/>
            <w:vAlign w:val="bottom"/>
            <w:hideMark/>
          </w:tcPr>
          <w:p w14:paraId="41DAF99D" w14:textId="77777777" w:rsidR="00C77185" w:rsidRPr="00DF07F3" w:rsidRDefault="00C77185" w:rsidP="00C77185">
            <w:pPr>
              <w:spacing w:line="240" w:lineRule="auto"/>
              <w:jc w:val="left"/>
              <w:rPr>
                <w:sz w:val="20"/>
              </w:rPr>
            </w:pPr>
          </w:p>
        </w:tc>
        <w:tc>
          <w:tcPr>
            <w:tcW w:w="943" w:type="dxa"/>
            <w:tcBorders>
              <w:top w:val="nil"/>
              <w:left w:val="nil"/>
              <w:bottom w:val="nil"/>
              <w:right w:val="nil"/>
            </w:tcBorders>
            <w:shd w:val="clear" w:color="auto" w:fill="auto"/>
            <w:noWrap/>
            <w:vAlign w:val="bottom"/>
            <w:hideMark/>
          </w:tcPr>
          <w:p w14:paraId="08A6D7E7" w14:textId="77777777" w:rsidR="00C77185" w:rsidRPr="00DF07F3" w:rsidRDefault="00C77185" w:rsidP="00C77185">
            <w:pPr>
              <w:spacing w:line="240" w:lineRule="auto"/>
              <w:jc w:val="left"/>
              <w:rPr>
                <w:sz w:val="20"/>
              </w:rPr>
            </w:pPr>
          </w:p>
        </w:tc>
        <w:tc>
          <w:tcPr>
            <w:tcW w:w="943" w:type="dxa"/>
            <w:tcBorders>
              <w:top w:val="nil"/>
              <w:left w:val="nil"/>
              <w:bottom w:val="nil"/>
              <w:right w:val="nil"/>
            </w:tcBorders>
            <w:shd w:val="clear" w:color="auto" w:fill="auto"/>
            <w:noWrap/>
            <w:vAlign w:val="bottom"/>
            <w:hideMark/>
          </w:tcPr>
          <w:p w14:paraId="03B5608F" w14:textId="77777777" w:rsidR="00C77185" w:rsidRPr="00DF07F3" w:rsidRDefault="00C77185" w:rsidP="00C77185">
            <w:pPr>
              <w:spacing w:line="240" w:lineRule="auto"/>
              <w:jc w:val="left"/>
              <w:rPr>
                <w:sz w:val="20"/>
              </w:rPr>
            </w:pPr>
          </w:p>
        </w:tc>
        <w:tc>
          <w:tcPr>
            <w:tcW w:w="1434" w:type="dxa"/>
            <w:tcBorders>
              <w:top w:val="nil"/>
              <w:left w:val="nil"/>
              <w:bottom w:val="nil"/>
              <w:right w:val="nil"/>
            </w:tcBorders>
            <w:shd w:val="clear" w:color="auto" w:fill="auto"/>
            <w:noWrap/>
            <w:vAlign w:val="bottom"/>
            <w:hideMark/>
          </w:tcPr>
          <w:p w14:paraId="604604CC" w14:textId="77777777" w:rsidR="00C77185" w:rsidRPr="00DF07F3" w:rsidRDefault="00C77185" w:rsidP="00C77185">
            <w:pPr>
              <w:spacing w:line="240" w:lineRule="auto"/>
              <w:jc w:val="left"/>
              <w:rPr>
                <w:sz w:val="20"/>
              </w:rPr>
            </w:pPr>
          </w:p>
        </w:tc>
      </w:tr>
    </w:tbl>
    <w:p w14:paraId="130A3826" w14:textId="77777777" w:rsidR="00C77185" w:rsidRPr="00730B1E" w:rsidRDefault="00C77185" w:rsidP="00C77185"/>
    <w:p w14:paraId="397125C1" w14:textId="68126295" w:rsidR="008250D3" w:rsidRPr="00730B1E" w:rsidRDefault="00915BF7" w:rsidP="008250D3">
      <w:r w:rsidRPr="00730B1E">
        <w:t>Tabulka 7</w:t>
      </w:r>
      <w:r w:rsidR="008250D3" w:rsidRPr="00730B1E">
        <w:t xml:space="preserve"> se zabývá věkovou strukturou. Vyplývá z ní, že post přísedící/ho je mnohem populárnější u vyšších věkových skupin. Asi 60 % přísedících tvoří lidé ve věku 60 let a více, tedy ve většině případů v důchodovém věku. Naopak přísedící ve věku do 39 let tvoří pouze 4,2 %. Obvykle je tento jev přisuzován tomu, že </w:t>
      </w:r>
      <w:r w:rsidR="00952A2C" w:rsidRPr="00730B1E">
        <w:t>náhrada</w:t>
      </w:r>
      <w:r w:rsidR="008250D3" w:rsidRPr="00730B1E">
        <w:t xml:space="preserve"> za výkon funkce přísedícího</w:t>
      </w:r>
      <w:r w:rsidR="00952A2C" w:rsidRPr="00730B1E">
        <w:t>, která představuje v podstatě paušalizovanou náhradu nákladů,</w:t>
      </w:r>
      <w:r w:rsidR="008250D3" w:rsidRPr="00730B1E">
        <w:t xml:space="preserve"> je považována za nízkou. Funkce je </w:t>
      </w:r>
      <w:r w:rsidR="00952A2C" w:rsidRPr="00730B1E">
        <w:t xml:space="preserve">nicméně ve své podstatě </w:t>
      </w:r>
      <w:r w:rsidR="008250D3" w:rsidRPr="00730B1E">
        <w:t xml:space="preserve">koncipována jako funkce čestná, tj. bez nároku na odměnu. Lidé v produktivním věku pravděpodobně preferují výdělečnou činnost nebo jinak strávený čas. Seniorům se nicméně čas stráveným tímto způsobem může zdát zajímavější. Mezi jednotlivými kraji jsou určité, ale nijak závratné rozdíly. V průměru nejstarší jsou přísedící v Jihočeském kraji – pouze necelé 1 % z nich </w:t>
      </w:r>
      <w:r w:rsidR="008250D3" w:rsidRPr="00730B1E">
        <w:lastRenderedPageBreak/>
        <w:t>je ve věku do 39 let a téměř 71 % je ve věku 60 let a více. Je nicméně třeba zmínit, že Jihočeský kraj je nejmenší, a tudíž ze statistického pohledu nejvíce podléhá výchylkám. Oproti předchozímu roku se věková struktura téměř nezměnila.</w:t>
      </w:r>
    </w:p>
    <w:p w14:paraId="221A086B" w14:textId="77777777" w:rsidR="003F7E49" w:rsidRPr="00730B1E" w:rsidRDefault="003F7E49" w:rsidP="003F7E49"/>
    <w:p w14:paraId="48BF8F17" w14:textId="0AA0CA5B" w:rsidR="008430BD" w:rsidRPr="00730B1E" w:rsidRDefault="008430BD" w:rsidP="008433A9">
      <w:pPr>
        <w:pStyle w:val="Nadpis2"/>
        <w:pageBreakBefore/>
        <w:numPr>
          <w:ilvl w:val="1"/>
          <w:numId w:val="1"/>
        </w:numPr>
        <w:spacing w:before="120"/>
        <w:ind w:left="578" w:hanging="578"/>
        <w:rPr>
          <w:color w:val="auto"/>
        </w:rPr>
      </w:pPr>
      <w:bookmarkStart w:id="130" w:name="_Ref9425277"/>
      <w:bookmarkStart w:id="131" w:name="_Ref10553155"/>
      <w:bookmarkStart w:id="132" w:name="_Ref10553167"/>
      <w:bookmarkStart w:id="133" w:name="_Toc106092717"/>
      <w:bookmarkStart w:id="134" w:name="_Toc169250801"/>
      <w:bookmarkStart w:id="135" w:name="_Toc174080837"/>
      <w:r w:rsidRPr="00730B1E">
        <w:rPr>
          <w:color w:val="auto"/>
        </w:rPr>
        <w:lastRenderedPageBreak/>
        <w:t>Civilní agenda</w:t>
      </w:r>
      <w:bookmarkEnd w:id="130"/>
      <w:bookmarkEnd w:id="131"/>
      <w:bookmarkEnd w:id="132"/>
      <w:bookmarkEnd w:id="133"/>
      <w:bookmarkEnd w:id="134"/>
      <w:bookmarkEnd w:id="135"/>
    </w:p>
    <w:p w14:paraId="11588364" w14:textId="77777777" w:rsidR="008250D3" w:rsidRPr="00730B1E" w:rsidRDefault="008250D3" w:rsidP="008250D3">
      <w:r w:rsidRPr="00730B1E">
        <w:t>Soudy na civilním úseku vedou značné množství různých druhů řízení (dědické řízení, exekuční řízení, výkony soudních rozhodnutí a další). Zdaleka nejvýznamnější a nejrozsáhlejší je ale prvostupňové civilní (občanskoprávní) řízení, označené jako rejstřík (agenda) C, proto se tato část Výroční statistické zprávy zaměřuje právě na tuto agendu. Statistiky týkající se vedlejších agend jsou pak dostupné z jiných zdrojů (např. na internetových stránkách InfoData nebo ve statistických ročenkách).</w:t>
      </w:r>
    </w:p>
    <w:p w14:paraId="0BB54BAD" w14:textId="655E7E6B" w:rsidR="008250D3" w:rsidRPr="00730B1E" w:rsidRDefault="008250D3" w:rsidP="008250D3">
      <w:r w:rsidRPr="00730B1E">
        <w:t>Po úvaze byla data dále očištěna i o rozkazní řízení (zejména o agendy označené jako EPR a dříve EC), a to především proto, aby se předešlo zkreslení dat a trendů v časových řadách. V roce 2009 byl totiž zaveden elektronický platební rozkaz a po jeho zavedení došlo ke značným změnám ve vedení statistik. Počet věcí zanesených do statistických listů především v letech 2009–2013 tak prudce vzrostl právě o rozkazní věci. Rozkazní řízení je do značné míry automatizované, výrazně jednodušší (probíhá zcela nebo téměř zcela bez intervence soudce) a rychlejší na vyřízení. Z toho plynou i kratší délky řízení. V letech, kdy bylo do statistických listů zaneseno relativně více</w:t>
      </w:r>
      <w:r w:rsidR="00A35810" w:rsidRPr="00730B1E">
        <w:t xml:space="preserve"> rozkazních řízení</w:t>
      </w:r>
      <w:r w:rsidRPr="00730B1E">
        <w:t>, pak došlo k poklesu vykazované délky řízení. Rozkaznímu řízení se věnuje další kapitola.</w:t>
      </w:r>
    </w:p>
    <w:p w14:paraId="7C86F678" w14:textId="5F5C5819" w:rsidR="008250D3" w:rsidRPr="00730B1E" w:rsidRDefault="008250D3" w:rsidP="008250D3">
      <w:r w:rsidRPr="00730B1E">
        <w:t>Z výše zmíněného důvodu se zde uvedené údaje týkající se průměrné délky řízení liší od údajů</w:t>
      </w:r>
      <w:r w:rsidR="000E3BB2">
        <w:t xml:space="preserve"> </w:t>
      </w:r>
      <w:r w:rsidR="00C67BEF" w:rsidRPr="00730B1E">
        <w:t>z </w:t>
      </w:r>
      <w:r w:rsidRPr="00730B1E">
        <w:t>jiných zdrojů (internetové stránky InfoData, statistické ročenky). Údaje prezentované jak v této zprávě, tak na serveru InfoData, jsou správné, ale vycházejí z jiných dat. Zde uvedené délky řízení jsou přirozeně vyšší, protože v nich není zahrnuto rozkazní řízení.</w:t>
      </w:r>
    </w:p>
    <w:p w14:paraId="2AC7DD1C" w14:textId="77777777" w:rsidR="00287390" w:rsidRPr="00730B1E" w:rsidRDefault="00287390" w:rsidP="00287390">
      <w:pPr>
        <w:pStyle w:val="Nadpis3"/>
        <w:numPr>
          <w:ilvl w:val="2"/>
          <w:numId w:val="1"/>
        </w:numPr>
        <w:rPr>
          <w:color w:val="auto"/>
        </w:rPr>
      </w:pPr>
      <w:bookmarkStart w:id="136" w:name="_Ref513277229"/>
      <w:bookmarkStart w:id="137" w:name="_Toc517118511"/>
      <w:bookmarkStart w:id="138" w:name="_Toc106092718"/>
      <w:bookmarkStart w:id="139" w:name="_Toc169250802"/>
      <w:bookmarkStart w:id="140" w:name="_Toc174080838"/>
      <w:r w:rsidRPr="00730B1E">
        <w:rPr>
          <w:color w:val="auto"/>
        </w:rPr>
        <w:t>Délka řízení</w:t>
      </w:r>
      <w:bookmarkEnd w:id="136"/>
      <w:bookmarkEnd w:id="137"/>
      <w:bookmarkEnd w:id="138"/>
      <w:bookmarkEnd w:id="139"/>
      <w:bookmarkEnd w:id="140"/>
    </w:p>
    <w:p w14:paraId="76CF42AF" w14:textId="70622D8C" w:rsidR="00CC07F4" w:rsidRPr="00730B1E" w:rsidRDefault="00CC07F4" w:rsidP="00CC07F4">
      <w:r w:rsidRPr="00730B1E">
        <w:t xml:space="preserve">Délku řízení zjišťujeme ze statistických listů (SL). Uvádíme ji v kalendářních dnech ode dne nápadu do dne konečného vyřízení věci soudem I. stupně. Je třeba nezapomenout, že do vzorku se započítávají jen ta řízení, která v daném roce skončila, tj. byla vyřízena, nikoliv ta, která stále probíhala. Je proto typickým jevem, že pokud dojde k přetížení soudu, neprojeví se to v průměrné délce řízení okamžitě, protože soud bude mít tendenci přednostně vyřizovat jednodušší věci </w:t>
      </w:r>
      <w:r w:rsidR="00C67BEF" w:rsidRPr="00730B1E">
        <w:t>a </w:t>
      </w:r>
      <w:r w:rsidRPr="00730B1E">
        <w:t>složitější věci budou stárnout, a protože nebudou vyřízeny, nevstoupí do výpočtu; to se paradoxně stane naopak až ve chvíli, kdy se soudu začne dařit situaci řešit a vyřizovat nahromaděné nedodělky. Prudký nárůst délky řízení u některého soudu může tak často naopak být důkazem odblokování situace (po něm pak následuje v dalších letech neméně prudký pokles). Pro rozlišení takových situací je třeba doplnit pohled o další statistické údaje, zejména trend počtu nevyřízených věcí a tzv. disposition time (viz dále).</w:t>
      </w:r>
    </w:p>
    <w:p w14:paraId="13D0ADCF" w14:textId="75527DD1" w:rsidR="00497E9C" w:rsidRPr="00730B1E" w:rsidRDefault="00497E9C" w:rsidP="00497E9C">
      <w:pPr>
        <w:pStyle w:val="OdstavecASR"/>
      </w:pPr>
      <w:r w:rsidRPr="00730B1E">
        <w:t xml:space="preserve">Graf níže sleduje změny v průměru (jedná se o nejběžněji uváděný údaj), mediánu (není ovlivněn extrémy a v tomto případě tak má lepší vypovídající hodnotu) a percentilu 90 (ukazuje, jak dlouho soudům trvá vyřízení 10 % nejdelších věcí). Graf sleduje vývoj v letech 2014 a </w:t>
      </w:r>
      <w:r w:rsidR="007159FA" w:rsidRPr="00730B1E">
        <w:t>dále</w:t>
      </w:r>
      <w:r w:rsidRPr="00730B1E">
        <w:t>, data za předchozí roky lze najít v předcházejících výročních zprávách. Ze shromážděných dat vyplývá, že</w:t>
      </w:r>
      <w:r w:rsidR="00A35810" w:rsidRPr="00730B1E">
        <w:t xml:space="preserve"> (po růstu v letech 2010-2014) došlo</w:t>
      </w:r>
      <w:r w:rsidRPr="00730B1E">
        <w:t xml:space="preserve"> v letech 2015–2019 ke zřejmému klesajícímu trendu v délce řízení, </w:t>
      </w:r>
      <w:r w:rsidR="00A35810" w:rsidRPr="00730B1E">
        <w:t>který postupně zpomaloval</w:t>
      </w:r>
      <w:r w:rsidRPr="00730B1E">
        <w:t xml:space="preserve">. V roce 2018 klesl medián již jen o 5 dnů a průměr o 22 dnů a v roce 2019 poklesl medián o 6 dnů a průměr o 13 dnů. Pokles 90. percentilu se také značně zpomalil, je ale stále velmi výrazný. Je tedy zřejmé, že řízení se zrychlilo především u nejdéle trvajících sporů. Pokud porovnáme rok 2014 a rok 2019, pokles v délkách řízení je opravdu signifikantní – medián klesl o 37 %, průměr o 39 % a percentil 90 o 56 %. </w:t>
      </w:r>
      <w:r w:rsidR="00A35810" w:rsidRPr="00730B1E">
        <w:t>Skutečnost</w:t>
      </w:r>
      <w:r w:rsidRPr="00730B1E">
        <w:t xml:space="preserve">, že se situace v této agendě zlepšovala, potvrzují také snižující se počty nevyřízených věcí (graf v další kapitole). V roce 2020 však došlo po 6 letech opět k nárůstu v délkách řízení, jednalo </w:t>
      </w:r>
      <w:r w:rsidR="00A35810" w:rsidRPr="00730B1E">
        <w:t xml:space="preserve">se ale </w:t>
      </w:r>
      <w:r w:rsidRPr="00730B1E">
        <w:t xml:space="preserve">o nárůst poměrně </w:t>
      </w:r>
      <w:r w:rsidRPr="00730B1E">
        <w:lastRenderedPageBreak/>
        <w:t>malý (průměr +18 dnů, medián +2 dny, percentil 90 +31 dnů)</w:t>
      </w:r>
      <w:r w:rsidR="00A35810" w:rsidRPr="00730B1E">
        <w:t>.</w:t>
      </w:r>
      <w:r w:rsidRPr="00730B1E">
        <w:t xml:space="preserve"> </w:t>
      </w:r>
      <w:r w:rsidR="00A35810" w:rsidRPr="00730B1E">
        <w:t>V</w:t>
      </w:r>
      <w:r w:rsidRPr="00730B1E">
        <w:t xml:space="preserve"> roce 2021 můžeme </w:t>
      </w:r>
      <w:r w:rsidR="00A35810" w:rsidRPr="00730B1E">
        <w:t xml:space="preserve">opět sledovat mírný pokles </w:t>
      </w:r>
      <w:r w:rsidRPr="00730B1E">
        <w:t xml:space="preserve">v délce řízení (průměr -10 dnů, medián -3 dny, percentil </w:t>
      </w:r>
      <w:r w:rsidR="001D2840" w:rsidRPr="00730B1E">
        <w:t>90</w:t>
      </w:r>
      <w:r w:rsidR="007159FA" w:rsidRPr="00730B1E">
        <w:t xml:space="preserve"> -</w:t>
      </w:r>
      <w:r w:rsidR="001D2840" w:rsidRPr="00730B1E">
        <w:t>24</w:t>
      </w:r>
      <w:r w:rsidRPr="00730B1E">
        <w:t> dnů). Je třeba poznamenat, že délky byly zejména v roce 2020, ale možná i v roce 2021 pravděpodobně poznamenány pandemií nemoci COVID</w:t>
      </w:r>
      <w:r w:rsidRPr="00730B1E">
        <w:noBreakHyphen/>
        <w:t xml:space="preserve">19. V roce 2022 opět nedošlo k žádným citelným změnám. V roce 2023 došlo k výraznému poklesu v percentilu 90 a mírnému poklesu v průměru. Medián zůstal téměř zachován. </w:t>
      </w:r>
      <w:r w:rsidR="00A35810" w:rsidRPr="00730B1E">
        <w:t>K pozitivní změně</w:t>
      </w:r>
      <w:r w:rsidRPr="00730B1E">
        <w:t xml:space="preserve"> tedy </w:t>
      </w:r>
      <w:r w:rsidR="00A35810" w:rsidRPr="00730B1E">
        <w:t xml:space="preserve">došlo u </w:t>
      </w:r>
      <w:r w:rsidR="006B7AEB" w:rsidRPr="00730B1E">
        <w:t xml:space="preserve">nejdéle </w:t>
      </w:r>
      <w:r w:rsidRPr="00730B1E">
        <w:t>trvajících věc</w:t>
      </w:r>
      <w:r w:rsidR="00A35810" w:rsidRPr="00730B1E">
        <w:t>í</w:t>
      </w:r>
      <w:r w:rsidRPr="00730B1E">
        <w:t>.</w:t>
      </w:r>
    </w:p>
    <w:p w14:paraId="5C457CC5" w14:textId="04226F7F" w:rsidR="00CC07F4" w:rsidRPr="00730B1E" w:rsidRDefault="00CC07F4" w:rsidP="00CC07F4">
      <w:pPr>
        <w:pStyle w:val="Podnadpis"/>
        <w:rPr>
          <w:color w:val="auto"/>
        </w:rPr>
      </w:pPr>
      <w:bookmarkStart w:id="141" w:name="_Toc106106640"/>
      <w:bookmarkStart w:id="142" w:name="_Toc144104118"/>
      <w:bookmarkStart w:id="143" w:name="_Toc169250926"/>
      <w:bookmarkStart w:id="144" w:name="_Toc17408061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w:t>
      </w:r>
      <w:r w:rsidRPr="00730B1E">
        <w:rPr>
          <w:color w:val="auto"/>
        </w:rPr>
        <w:fldChar w:fldCharType="end"/>
      </w:r>
      <w:r w:rsidRPr="00730B1E">
        <w:rPr>
          <w:color w:val="auto"/>
        </w:rPr>
        <w:t>: OS – délka civilního řízení v letech 20</w:t>
      </w:r>
      <w:r w:rsidR="00C77185" w:rsidRPr="00730B1E">
        <w:rPr>
          <w:color w:val="auto"/>
        </w:rPr>
        <w:t>14</w:t>
      </w:r>
      <w:r w:rsidRPr="00730B1E">
        <w:rPr>
          <w:color w:val="auto"/>
        </w:rPr>
        <w:t>–202</w:t>
      </w:r>
      <w:bookmarkEnd w:id="141"/>
      <w:bookmarkEnd w:id="142"/>
      <w:r w:rsidR="00C77185" w:rsidRPr="00730B1E">
        <w:rPr>
          <w:color w:val="auto"/>
        </w:rPr>
        <w:t>3</w:t>
      </w:r>
      <w:bookmarkEnd w:id="143"/>
      <w:bookmarkEnd w:id="144"/>
    </w:p>
    <w:p w14:paraId="0D9605B5" w14:textId="6731CC98" w:rsidR="00CC07F4" w:rsidRPr="00730B1E" w:rsidRDefault="00CC07F4" w:rsidP="00CC07F4">
      <w:pPr>
        <w:rPr>
          <w:lang w:val="en-GB"/>
        </w:rPr>
      </w:pPr>
      <w:r w:rsidRPr="00730B1E">
        <w:rPr>
          <w:noProof/>
          <w:lang w:eastAsia="cs-CZ"/>
        </w:rPr>
        <w:drawing>
          <wp:inline distT="0" distB="0" distL="0" distR="0" wp14:anchorId="547C6C90" wp14:editId="725FFB1F">
            <wp:extent cx="5029200" cy="36576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AB09384" w14:textId="77777777" w:rsidR="00497E9C" w:rsidRPr="00730B1E" w:rsidRDefault="00497E9C" w:rsidP="00DF07F3">
      <w:pPr>
        <w:pStyle w:val="OdstavecASR"/>
      </w:pPr>
      <w:bookmarkStart w:id="145" w:name="_Toc11133209"/>
      <w:bookmarkStart w:id="146" w:name="_Toc43931182"/>
      <w:bookmarkStart w:id="147" w:name="_Toc75952312"/>
      <w:bookmarkStart w:id="148" w:name="_Toc106106771"/>
      <w:bookmarkStart w:id="149" w:name="_Toc144104248"/>
    </w:p>
    <w:p w14:paraId="7937F719" w14:textId="5AAD3E79" w:rsidR="00497E9C" w:rsidRPr="00730B1E" w:rsidRDefault="00497E9C" w:rsidP="00497E9C">
      <w:pPr>
        <w:pStyle w:val="Podnadpis"/>
        <w:rPr>
          <w:color w:val="auto"/>
        </w:rPr>
      </w:pPr>
      <w:bookmarkStart w:id="150" w:name="_Toc169251065"/>
      <w:bookmarkStart w:id="151" w:name="_Toc174080751"/>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8</w:t>
      </w:r>
      <w:r w:rsidRPr="00730B1E">
        <w:rPr>
          <w:noProof/>
          <w:color w:val="auto"/>
        </w:rPr>
        <w:fldChar w:fldCharType="end"/>
      </w:r>
      <w:r w:rsidRPr="00730B1E">
        <w:rPr>
          <w:color w:val="auto"/>
        </w:rPr>
        <w:t xml:space="preserve">: </w:t>
      </w:r>
      <w:bookmarkStart w:id="152" w:name="_Ref509210728"/>
      <w:r w:rsidRPr="00730B1E">
        <w:rPr>
          <w:color w:val="auto"/>
        </w:rPr>
        <w:t>OS – délky civilního řízení dle krajů</w:t>
      </w:r>
      <w:bookmarkEnd w:id="145"/>
      <w:bookmarkEnd w:id="146"/>
      <w:bookmarkEnd w:id="147"/>
      <w:bookmarkEnd w:id="148"/>
      <w:bookmarkEnd w:id="149"/>
      <w:bookmarkEnd w:id="152"/>
      <w:r w:rsidR="00C77185" w:rsidRPr="00730B1E">
        <w:rPr>
          <w:color w:val="auto"/>
        </w:rPr>
        <w:t>, 2023</w:t>
      </w:r>
      <w:bookmarkEnd w:id="150"/>
      <w:bookmarkEnd w:id="151"/>
    </w:p>
    <w:tbl>
      <w:tblPr>
        <w:tblW w:w="7520" w:type="dxa"/>
        <w:tblCellMar>
          <w:left w:w="70" w:type="dxa"/>
          <w:right w:w="70" w:type="dxa"/>
        </w:tblCellMar>
        <w:tblLook w:val="04A0" w:firstRow="1" w:lastRow="0" w:firstColumn="1" w:lastColumn="0" w:noHBand="0" w:noVBand="1"/>
      </w:tblPr>
      <w:tblGrid>
        <w:gridCol w:w="2480"/>
        <w:gridCol w:w="704"/>
        <w:gridCol w:w="946"/>
        <w:gridCol w:w="703"/>
        <w:gridCol w:w="902"/>
        <w:gridCol w:w="703"/>
        <w:gridCol w:w="1082"/>
      </w:tblGrid>
      <w:tr w:rsidR="00B64E96" w:rsidRPr="00730B1E" w14:paraId="44775C82" w14:textId="77777777" w:rsidTr="00497E9C">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E97ADD3" w14:textId="77777777" w:rsidR="00497E9C" w:rsidRPr="00730B1E" w:rsidRDefault="00497E9C" w:rsidP="00497E9C">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5040" w:type="dxa"/>
            <w:gridSpan w:val="6"/>
            <w:tcBorders>
              <w:top w:val="double" w:sz="6" w:space="0" w:color="auto"/>
              <w:left w:val="nil"/>
              <w:bottom w:val="nil"/>
              <w:right w:val="nil"/>
            </w:tcBorders>
            <w:shd w:val="clear" w:color="auto" w:fill="auto"/>
            <w:noWrap/>
            <w:vAlign w:val="center"/>
            <w:hideMark/>
          </w:tcPr>
          <w:p w14:paraId="5BF4413B" w14:textId="77777777" w:rsidR="00497E9C" w:rsidRPr="00730B1E" w:rsidRDefault="00497E9C" w:rsidP="00497E9C">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12C47C09" w14:textId="77777777" w:rsidTr="00497E9C">
        <w:trPr>
          <w:trHeight w:val="330"/>
        </w:trPr>
        <w:tc>
          <w:tcPr>
            <w:tcW w:w="2480" w:type="dxa"/>
            <w:vMerge/>
            <w:tcBorders>
              <w:top w:val="double" w:sz="6" w:space="0" w:color="auto"/>
              <w:left w:val="nil"/>
              <w:bottom w:val="double" w:sz="6" w:space="0" w:color="000000"/>
              <w:right w:val="nil"/>
            </w:tcBorders>
            <w:vAlign w:val="center"/>
            <w:hideMark/>
          </w:tcPr>
          <w:p w14:paraId="3224CC88" w14:textId="77777777" w:rsidR="00497E9C" w:rsidRPr="00730B1E" w:rsidRDefault="00497E9C" w:rsidP="00497E9C">
            <w:pPr>
              <w:spacing w:line="240" w:lineRule="auto"/>
              <w:jc w:val="left"/>
              <w:rPr>
                <w:rFonts w:eastAsia="Times New Roman"/>
                <w:b/>
                <w:bCs/>
                <w:szCs w:val="24"/>
                <w:lang w:eastAsia="cs-CZ"/>
              </w:rPr>
            </w:pPr>
          </w:p>
        </w:tc>
        <w:tc>
          <w:tcPr>
            <w:tcW w:w="1650" w:type="dxa"/>
            <w:gridSpan w:val="2"/>
            <w:tcBorders>
              <w:top w:val="nil"/>
              <w:left w:val="nil"/>
              <w:bottom w:val="double" w:sz="6" w:space="0" w:color="auto"/>
              <w:right w:val="nil"/>
            </w:tcBorders>
            <w:shd w:val="clear" w:color="auto" w:fill="auto"/>
            <w:noWrap/>
            <w:vAlign w:val="center"/>
            <w:hideMark/>
          </w:tcPr>
          <w:p w14:paraId="48C74710" w14:textId="77777777" w:rsidR="00497E9C" w:rsidRPr="00730B1E" w:rsidRDefault="00497E9C" w:rsidP="00497E9C">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60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FFDF97F" w14:textId="77777777" w:rsidR="00497E9C" w:rsidRPr="00730B1E" w:rsidRDefault="00497E9C" w:rsidP="00497E9C">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1785" w:type="dxa"/>
            <w:gridSpan w:val="2"/>
            <w:tcBorders>
              <w:top w:val="nil"/>
              <w:left w:val="nil"/>
              <w:bottom w:val="double" w:sz="6" w:space="0" w:color="auto"/>
              <w:right w:val="nil"/>
            </w:tcBorders>
            <w:shd w:val="clear" w:color="auto" w:fill="auto"/>
            <w:noWrap/>
            <w:vAlign w:val="center"/>
            <w:hideMark/>
          </w:tcPr>
          <w:p w14:paraId="6D5937F4" w14:textId="77777777" w:rsidR="00497E9C" w:rsidRPr="00730B1E" w:rsidRDefault="00497E9C" w:rsidP="00497E9C">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432B8FED" w14:textId="77777777" w:rsidTr="00497E9C">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6D72A6E" w14:textId="77777777" w:rsidR="00497E9C" w:rsidRPr="00730B1E" w:rsidRDefault="00497E9C" w:rsidP="00497E9C">
            <w:pPr>
              <w:spacing w:line="240" w:lineRule="auto"/>
              <w:jc w:val="left"/>
              <w:rPr>
                <w:rFonts w:eastAsia="Times New Roman"/>
                <w:szCs w:val="24"/>
                <w:lang w:eastAsia="cs-CZ"/>
              </w:rPr>
            </w:pPr>
            <w:r w:rsidRPr="00730B1E">
              <w:rPr>
                <w:rFonts w:eastAsia="Times New Roman"/>
                <w:szCs w:val="24"/>
                <w:lang w:eastAsia="cs-CZ"/>
              </w:rPr>
              <w:t>MS Praha</w:t>
            </w:r>
          </w:p>
        </w:tc>
        <w:tc>
          <w:tcPr>
            <w:tcW w:w="704" w:type="dxa"/>
            <w:tcBorders>
              <w:top w:val="single" w:sz="4" w:space="0" w:color="auto"/>
              <w:left w:val="nil"/>
              <w:bottom w:val="single" w:sz="4" w:space="0" w:color="auto"/>
              <w:right w:val="nil"/>
            </w:tcBorders>
            <w:shd w:val="clear" w:color="auto" w:fill="auto"/>
            <w:noWrap/>
            <w:vAlign w:val="bottom"/>
            <w:hideMark/>
          </w:tcPr>
          <w:p w14:paraId="57838A89"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304</w:t>
            </w:r>
          </w:p>
        </w:tc>
        <w:tc>
          <w:tcPr>
            <w:tcW w:w="946" w:type="dxa"/>
            <w:tcBorders>
              <w:top w:val="single" w:sz="4" w:space="0" w:color="auto"/>
              <w:left w:val="nil"/>
              <w:bottom w:val="single" w:sz="4" w:space="0" w:color="auto"/>
              <w:right w:val="nil"/>
            </w:tcBorders>
            <w:shd w:val="clear" w:color="auto" w:fill="auto"/>
            <w:noWrap/>
            <w:vAlign w:val="center"/>
            <w:hideMark/>
          </w:tcPr>
          <w:p w14:paraId="6C669C08"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c>
          <w:tcPr>
            <w:tcW w:w="703" w:type="dxa"/>
            <w:tcBorders>
              <w:top w:val="nil"/>
              <w:left w:val="single" w:sz="4" w:space="0" w:color="auto"/>
              <w:bottom w:val="single" w:sz="4" w:space="0" w:color="auto"/>
              <w:right w:val="nil"/>
            </w:tcBorders>
            <w:shd w:val="clear" w:color="auto" w:fill="auto"/>
            <w:noWrap/>
            <w:vAlign w:val="bottom"/>
            <w:hideMark/>
          </w:tcPr>
          <w:p w14:paraId="377CDF2F"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163</w:t>
            </w:r>
          </w:p>
        </w:tc>
        <w:tc>
          <w:tcPr>
            <w:tcW w:w="902" w:type="dxa"/>
            <w:tcBorders>
              <w:top w:val="nil"/>
              <w:left w:val="nil"/>
              <w:bottom w:val="single" w:sz="4" w:space="0" w:color="auto"/>
              <w:right w:val="single" w:sz="4" w:space="0" w:color="auto"/>
            </w:tcBorders>
            <w:shd w:val="clear" w:color="auto" w:fill="auto"/>
            <w:noWrap/>
            <w:vAlign w:val="center"/>
            <w:hideMark/>
          </w:tcPr>
          <w:p w14:paraId="4C8AE6B7"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-1 %  </w:t>
            </w:r>
          </w:p>
        </w:tc>
        <w:tc>
          <w:tcPr>
            <w:tcW w:w="703" w:type="dxa"/>
            <w:tcBorders>
              <w:top w:val="single" w:sz="4" w:space="0" w:color="auto"/>
              <w:left w:val="nil"/>
              <w:bottom w:val="single" w:sz="4" w:space="0" w:color="auto"/>
              <w:right w:val="nil"/>
            </w:tcBorders>
            <w:shd w:val="clear" w:color="auto" w:fill="auto"/>
            <w:noWrap/>
            <w:vAlign w:val="bottom"/>
            <w:hideMark/>
          </w:tcPr>
          <w:p w14:paraId="07C1CFC1"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615</w:t>
            </w:r>
          </w:p>
        </w:tc>
        <w:tc>
          <w:tcPr>
            <w:tcW w:w="1082" w:type="dxa"/>
            <w:tcBorders>
              <w:top w:val="single" w:sz="4" w:space="0" w:color="auto"/>
              <w:left w:val="nil"/>
              <w:bottom w:val="single" w:sz="4" w:space="0" w:color="auto"/>
              <w:right w:val="nil"/>
            </w:tcBorders>
            <w:shd w:val="clear" w:color="auto" w:fill="auto"/>
            <w:noWrap/>
            <w:vAlign w:val="center"/>
            <w:hideMark/>
          </w:tcPr>
          <w:p w14:paraId="314BC75A"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-12 %  </w:t>
            </w:r>
          </w:p>
        </w:tc>
      </w:tr>
      <w:tr w:rsidR="00B64E96" w:rsidRPr="00730B1E" w14:paraId="6FED86E8" w14:textId="77777777" w:rsidTr="00497E9C">
        <w:trPr>
          <w:trHeight w:val="315"/>
        </w:trPr>
        <w:tc>
          <w:tcPr>
            <w:tcW w:w="2480" w:type="dxa"/>
            <w:tcBorders>
              <w:top w:val="nil"/>
              <w:left w:val="nil"/>
              <w:bottom w:val="single" w:sz="4" w:space="0" w:color="auto"/>
              <w:right w:val="nil"/>
            </w:tcBorders>
            <w:shd w:val="clear" w:color="auto" w:fill="auto"/>
            <w:noWrap/>
            <w:vAlign w:val="bottom"/>
            <w:hideMark/>
          </w:tcPr>
          <w:p w14:paraId="793D54D4" w14:textId="77777777" w:rsidR="00497E9C" w:rsidRPr="00730B1E" w:rsidRDefault="00497E9C" w:rsidP="00497E9C">
            <w:pPr>
              <w:spacing w:line="240" w:lineRule="auto"/>
              <w:jc w:val="left"/>
              <w:rPr>
                <w:rFonts w:eastAsia="Times New Roman"/>
                <w:szCs w:val="24"/>
                <w:lang w:eastAsia="cs-CZ"/>
              </w:rPr>
            </w:pPr>
            <w:r w:rsidRPr="00730B1E">
              <w:rPr>
                <w:rFonts w:eastAsia="Times New Roman"/>
                <w:szCs w:val="24"/>
                <w:lang w:eastAsia="cs-CZ"/>
              </w:rPr>
              <w:t>KS Praha</w:t>
            </w:r>
          </w:p>
        </w:tc>
        <w:tc>
          <w:tcPr>
            <w:tcW w:w="704" w:type="dxa"/>
            <w:tcBorders>
              <w:top w:val="nil"/>
              <w:left w:val="nil"/>
              <w:bottom w:val="single" w:sz="4" w:space="0" w:color="auto"/>
              <w:right w:val="nil"/>
            </w:tcBorders>
            <w:shd w:val="clear" w:color="auto" w:fill="auto"/>
            <w:noWrap/>
            <w:vAlign w:val="bottom"/>
            <w:hideMark/>
          </w:tcPr>
          <w:p w14:paraId="40EC5222"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193</w:t>
            </w:r>
          </w:p>
        </w:tc>
        <w:tc>
          <w:tcPr>
            <w:tcW w:w="946" w:type="dxa"/>
            <w:tcBorders>
              <w:top w:val="nil"/>
              <w:left w:val="nil"/>
              <w:bottom w:val="single" w:sz="4" w:space="0" w:color="auto"/>
              <w:right w:val="nil"/>
            </w:tcBorders>
            <w:shd w:val="clear" w:color="auto" w:fill="auto"/>
            <w:noWrap/>
            <w:vAlign w:val="center"/>
            <w:hideMark/>
          </w:tcPr>
          <w:p w14:paraId="4517CBC7"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-3 %  </w:t>
            </w:r>
          </w:p>
        </w:tc>
        <w:tc>
          <w:tcPr>
            <w:tcW w:w="703" w:type="dxa"/>
            <w:tcBorders>
              <w:top w:val="nil"/>
              <w:left w:val="single" w:sz="4" w:space="0" w:color="auto"/>
              <w:bottom w:val="single" w:sz="4" w:space="0" w:color="auto"/>
              <w:right w:val="nil"/>
            </w:tcBorders>
            <w:shd w:val="clear" w:color="auto" w:fill="auto"/>
            <w:noWrap/>
            <w:vAlign w:val="bottom"/>
            <w:hideMark/>
          </w:tcPr>
          <w:p w14:paraId="3CF15A93"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131</w:t>
            </w:r>
          </w:p>
        </w:tc>
        <w:tc>
          <w:tcPr>
            <w:tcW w:w="902" w:type="dxa"/>
            <w:tcBorders>
              <w:top w:val="nil"/>
              <w:left w:val="nil"/>
              <w:bottom w:val="single" w:sz="4" w:space="0" w:color="auto"/>
              <w:right w:val="single" w:sz="4" w:space="0" w:color="auto"/>
            </w:tcBorders>
            <w:shd w:val="clear" w:color="auto" w:fill="auto"/>
            <w:noWrap/>
            <w:vAlign w:val="center"/>
            <w:hideMark/>
          </w:tcPr>
          <w:p w14:paraId="122C859C"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-1 %  </w:t>
            </w:r>
          </w:p>
        </w:tc>
        <w:tc>
          <w:tcPr>
            <w:tcW w:w="703" w:type="dxa"/>
            <w:tcBorders>
              <w:top w:val="nil"/>
              <w:left w:val="nil"/>
              <w:bottom w:val="single" w:sz="4" w:space="0" w:color="auto"/>
              <w:right w:val="nil"/>
            </w:tcBorders>
            <w:shd w:val="clear" w:color="auto" w:fill="auto"/>
            <w:noWrap/>
            <w:vAlign w:val="bottom"/>
            <w:hideMark/>
          </w:tcPr>
          <w:p w14:paraId="510E5ABB"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273</w:t>
            </w:r>
          </w:p>
        </w:tc>
        <w:tc>
          <w:tcPr>
            <w:tcW w:w="1082" w:type="dxa"/>
            <w:tcBorders>
              <w:top w:val="nil"/>
              <w:left w:val="nil"/>
              <w:bottom w:val="single" w:sz="4" w:space="0" w:color="auto"/>
              <w:right w:val="nil"/>
            </w:tcBorders>
            <w:shd w:val="clear" w:color="auto" w:fill="auto"/>
            <w:noWrap/>
            <w:vAlign w:val="center"/>
            <w:hideMark/>
          </w:tcPr>
          <w:p w14:paraId="2EBBA674"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-14 %  </w:t>
            </w:r>
          </w:p>
        </w:tc>
      </w:tr>
      <w:tr w:rsidR="00B64E96" w:rsidRPr="00730B1E" w14:paraId="305145B9" w14:textId="77777777" w:rsidTr="00497E9C">
        <w:trPr>
          <w:trHeight w:val="315"/>
        </w:trPr>
        <w:tc>
          <w:tcPr>
            <w:tcW w:w="2480" w:type="dxa"/>
            <w:tcBorders>
              <w:top w:val="nil"/>
              <w:left w:val="nil"/>
              <w:bottom w:val="single" w:sz="4" w:space="0" w:color="auto"/>
              <w:right w:val="nil"/>
            </w:tcBorders>
            <w:shd w:val="clear" w:color="auto" w:fill="auto"/>
            <w:noWrap/>
            <w:vAlign w:val="bottom"/>
            <w:hideMark/>
          </w:tcPr>
          <w:p w14:paraId="065D5929" w14:textId="77777777" w:rsidR="00497E9C" w:rsidRPr="00730B1E" w:rsidRDefault="00497E9C" w:rsidP="00497E9C">
            <w:pPr>
              <w:spacing w:line="240" w:lineRule="auto"/>
              <w:jc w:val="left"/>
              <w:rPr>
                <w:rFonts w:eastAsia="Times New Roman"/>
                <w:szCs w:val="24"/>
                <w:lang w:eastAsia="cs-CZ"/>
              </w:rPr>
            </w:pPr>
            <w:r w:rsidRPr="00730B1E">
              <w:rPr>
                <w:rFonts w:eastAsia="Times New Roman"/>
                <w:szCs w:val="24"/>
                <w:lang w:eastAsia="cs-CZ"/>
              </w:rPr>
              <w:t>KS Č. Budějovice</w:t>
            </w:r>
          </w:p>
        </w:tc>
        <w:tc>
          <w:tcPr>
            <w:tcW w:w="704" w:type="dxa"/>
            <w:tcBorders>
              <w:top w:val="nil"/>
              <w:left w:val="nil"/>
              <w:bottom w:val="single" w:sz="4" w:space="0" w:color="auto"/>
              <w:right w:val="nil"/>
            </w:tcBorders>
            <w:shd w:val="clear" w:color="auto" w:fill="auto"/>
            <w:noWrap/>
            <w:vAlign w:val="bottom"/>
            <w:hideMark/>
          </w:tcPr>
          <w:p w14:paraId="46323C81"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180</w:t>
            </w:r>
          </w:p>
        </w:tc>
        <w:tc>
          <w:tcPr>
            <w:tcW w:w="946" w:type="dxa"/>
            <w:tcBorders>
              <w:top w:val="nil"/>
              <w:left w:val="nil"/>
              <w:bottom w:val="single" w:sz="4" w:space="0" w:color="auto"/>
              <w:right w:val="nil"/>
            </w:tcBorders>
            <w:shd w:val="clear" w:color="auto" w:fill="auto"/>
            <w:noWrap/>
            <w:vAlign w:val="center"/>
            <w:hideMark/>
          </w:tcPr>
          <w:p w14:paraId="10480D10"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-2 %  </w:t>
            </w:r>
          </w:p>
        </w:tc>
        <w:tc>
          <w:tcPr>
            <w:tcW w:w="703" w:type="dxa"/>
            <w:tcBorders>
              <w:top w:val="nil"/>
              <w:left w:val="single" w:sz="4" w:space="0" w:color="auto"/>
              <w:bottom w:val="single" w:sz="4" w:space="0" w:color="auto"/>
              <w:right w:val="nil"/>
            </w:tcBorders>
            <w:shd w:val="clear" w:color="auto" w:fill="auto"/>
            <w:noWrap/>
            <w:vAlign w:val="bottom"/>
            <w:hideMark/>
          </w:tcPr>
          <w:p w14:paraId="3729DD61"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124</w:t>
            </w:r>
          </w:p>
        </w:tc>
        <w:tc>
          <w:tcPr>
            <w:tcW w:w="902" w:type="dxa"/>
            <w:tcBorders>
              <w:top w:val="nil"/>
              <w:left w:val="nil"/>
              <w:bottom w:val="single" w:sz="4" w:space="0" w:color="auto"/>
              <w:right w:val="single" w:sz="4" w:space="0" w:color="auto"/>
            </w:tcBorders>
            <w:shd w:val="clear" w:color="auto" w:fill="auto"/>
            <w:noWrap/>
            <w:vAlign w:val="center"/>
            <w:hideMark/>
          </w:tcPr>
          <w:p w14:paraId="5C1E9F6A"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+2 %  </w:t>
            </w:r>
          </w:p>
        </w:tc>
        <w:tc>
          <w:tcPr>
            <w:tcW w:w="703" w:type="dxa"/>
            <w:tcBorders>
              <w:top w:val="nil"/>
              <w:left w:val="nil"/>
              <w:bottom w:val="single" w:sz="4" w:space="0" w:color="auto"/>
              <w:right w:val="nil"/>
            </w:tcBorders>
            <w:shd w:val="clear" w:color="auto" w:fill="auto"/>
            <w:noWrap/>
            <w:vAlign w:val="bottom"/>
            <w:hideMark/>
          </w:tcPr>
          <w:p w14:paraId="1DD682CC"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262</w:t>
            </w:r>
          </w:p>
        </w:tc>
        <w:tc>
          <w:tcPr>
            <w:tcW w:w="1082" w:type="dxa"/>
            <w:tcBorders>
              <w:top w:val="nil"/>
              <w:left w:val="nil"/>
              <w:bottom w:val="single" w:sz="4" w:space="0" w:color="auto"/>
              <w:right w:val="nil"/>
            </w:tcBorders>
            <w:shd w:val="clear" w:color="auto" w:fill="auto"/>
            <w:noWrap/>
            <w:vAlign w:val="center"/>
            <w:hideMark/>
          </w:tcPr>
          <w:p w14:paraId="4964850E"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-0 %  </w:t>
            </w:r>
          </w:p>
        </w:tc>
      </w:tr>
      <w:tr w:rsidR="00B64E96" w:rsidRPr="00730B1E" w14:paraId="7B90FF9F" w14:textId="77777777" w:rsidTr="00497E9C">
        <w:trPr>
          <w:trHeight w:val="315"/>
        </w:trPr>
        <w:tc>
          <w:tcPr>
            <w:tcW w:w="2480" w:type="dxa"/>
            <w:tcBorders>
              <w:top w:val="nil"/>
              <w:left w:val="nil"/>
              <w:bottom w:val="single" w:sz="4" w:space="0" w:color="auto"/>
              <w:right w:val="nil"/>
            </w:tcBorders>
            <w:shd w:val="clear" w:color="auto" w:fill="auto"/>
            <w:noWrap/>
            <w:vAlign w:val="bottom"/>
            <w:hideMark/>
          </w:tcPr>
          <w:p w14:paraId="38ECA9AB" w14:textId="77777777" w:rsidR="00497E9C" w:rsidRPr="00730B1E" w:rsidRDefault="00497E9C" w:rsidP="00497E9C">
            <w:pPr>
              <w:spacing w:line="240" w:lineRule="auto"/>
              <w:jc w:val="left"/>
              <w:rPr>
                <w:rFonts w:eastAsia="Times New Roman"/>
                <w:szCs w:val="24"/>
                <w:lang w:eastAsia="cs-CZ"/>
              </w:rPr>
            </w:pPr>
            <w:r w:rsidRPr="00730B1E">
              <w:rPr>
                <w:rFonts w:eastAsia="Times New Roman"/>
                <w:szCs w:val="24"/>
                <w:lang w:eastAsia="cs-CZ"/>
              </w:rPr>
              <w:t>KS Plzeň</w:t>
            </w:r>
          </w:p>
        </w:tc>
        <w:tc>
          <w:tcPr>
            <w:tcW w:w="704" w:type="dxa"/>
            <w:tcBorders>
              <w:top w:val="nil"/>
              <w:left w:val="nil"/>
              <w:bottom w:val="single" w:sz="4" w:space="0" w:color="auto"/>
              <w:right w:val="nil"/>
            </w:tcBorders>
            <w:shd w:val="clear" w:color="auto" w:fill="auto"/>
            <w:noWrap/>
            <w:vAlign w:val="bottom"/>
            <w:hideMark/>
          </w:tcPr>
          <w:p w14:paraId="6A35C854"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184</w:t>
            </w:r>
          </w:p>
        </w:tc>
        <w:tc>
          <w:tcPr>
            <w:tcW w:w="946" w:type="dxa"/>
            <w:tcBorders>
              <w:top w:val="nil"/>
              <w:left w:val="nil"/>
              <w:bottom w:val="single" w:sz="4" w:space="0" w:color="auto"/>
              <w:right w:val="nil"/>
            </w:tcBorders>
            <w:shd w:val="clear" w:color="auto" w:fill="auto"/>
            <w:noWrap/>
            <w:vAlign w:val="center"/>
            <w:hideMark/>
          </w:tcPr>
          <w:p w14:paraId="2C533C19"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703" w:type="dxa"/>
            <w:tcBorders>
              <w:top w:val="nil"/>
              <w:left w:val="single" w:sz="4" w:space="0" w:color="auto"/>
              <w:bottom w:val="single" w:sz="4" w:space="0" w:color="auto"/>
              <w:right w:val="nil"/>
            </w:tcBorders>
            <w:shd w:val="clear" w:color="auto" w:fill="auto"/>
            <w:noWrap/>
            <w:vAlign w:val="bottom"/>
            <w:hideMark/>
          </w:tcPr>
          <w:p w14:paraId="10354F0C"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129</w:t>
            </w:r>
          </w:p>
        </w:tc>
        <w:tc>
          <w:tcPr>
            <w:tcW w:w="902" w:type="dxa"/>
            <w:tcBorders>
              <w:top w:val="nil"/>
              <w:left w:val="nil"/>
              <w:bottom w:val="single" w:sz="4" w:space="0" w:color="auto"/>
              <w:right w:val="single" w:sz="4" w:space="0" w:color="auto"/>
            </w:tcBorders>
            <w:shd w:val="clear" w:color="auto" w:fill="auto"/>
            <w:noWrap/>
            <w:vAlign w:val="center"/>
            <w:hideMark/>
          </w:tcPr>
          <w:p w14:paraId="6826292B"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+1 %  </w:t>
            </w:r>
          </w:p>
        </w:tc>
        <w:tc>
          <w:tcPr>
            <w:tcW w:w="703" w:type="dxa"/>
            <w:tcBorders>
              <w:top w:val="nil"/>
              <w:left w:val="nil"/>
              <w:bottom w:val="single" w:sz="4" w:space="0" w:color="auto"/>
              <w:right w:val="nil"/>
            </w:tcBorders>
            <w:shd w:val="clear" w:color="auto" w:fill="auto"/>
            <w:noWrap/>
            <w:vAlign w:val="bottom"/>
            <w:hideMark/>
          </w:tcPr>
          <w:p w14:paraId="1B063E1A"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263</w:t>
            </w:r>
          </w:p>
        </w:tc>
        <w:tc>
          <w:tcPr>
            <w:tcW w:w="1082" w:type="dxa"/>
            <w:tcBorders>
              <w:top w:val="nil"/>
              <w:left w:val="nil"/>
              <w:bottom w:val="single" w:sz="4" w:space="0" w:color="auto"/>
              <w:right w:val="nil"/>
            </w:tcBorders>
            <w:shd w:val="clear" w:color="auto" w:fill="auto"/>
            <w:noWrap/>
            <w:vAlign w:val="center"/>
            <w:hideMark/>
          </w:tcPr>
          <w:p w14:paraId="59891900"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-13 %  </w:t>
            </w:r>
          </w:p>
        </w:tc>
      </w:tr>
      <w:tr w:rsidR="00B64E96" w:rsidRPr="00730B1E" w14:paraId="46EAD488" w14:textId="77777777" w:rsidTr="00497E9C">
        <w:trPr>
          <w:trHeight w:val="315"/>
        </w:trPr>
        <w:tc>
          <w:tcPr>
            <w:tcW w:w="2480" w:type="dxa"/>
            <w:tcBorders>
              <w:top w:val="nil"/>
              <w:left w:val="nil"/>
              <w:bottom w:val="single" w:sz="4" w:space="0" w:color="auto"/>
              <w:right w:val="nil"/>
            </w:tcBorders>
            <w:shd w:val="clear" w:color="auto" w:fill="auto"/>
            <w:noWrap/>
            <w:vAlign w:val="bottom"/>
            <w:hideMark/>
          </w:tcPr>
          <w:p w14:paraId="04AB62D0" w14:textId="77777777" w:rsidR="00497E9C" w:rsidRPr="00730B1E" w:rsidRDefault="00497E9C" w:rsidP="00497E9C">
            <w:pPr>
              <w:spacing w:line="240" w:lineRule="auto"/>
              <w:jc w:val="left"/>
              <w:rPr>
                <w:rFonts w:eastAsia="Times New Roman"/>
                <w:szCs w:val="24"/>
                <w:lang w:eastAsia="cs-CZ"/>
              </w:rPr>
            </w:pPr>
            <w:r w:rsidRPr="00730B1E">
              <w:rPr>
                <w:rFonts w:eastAsia="Times New Roman"/>
                <w:szCs w:val="24"/>
                <w:lang w:eastAsia="cs-CZ"/>
              </w:rPr>
              <w:t>KS Ústí n. Labem</w:t>
            </w:r>
          </w:p>
        </w:tc>
        <w:tc>
          <w:tcPr>
            <w:tcW w:w="704" w:type="dxa"/>
            <w:tcBorders>
              <w:top w:val="nil"/>
              <w:left w:val="nil"/>
              <w:bottom w:val="single" w:sz="4" w:space="0" w:color="auto"/>
              <w:right w:val="nil"/>
            </w:tcBorders>
            <w:shd w:val="clear" w:color="auto" w:fill="auto"/>
            <w:noWrap/>
            <w:vAlign w:val="bottom"/>
            <w:hideMark/>
          </w:tcPr>
          <w:p w14:paraId="3DFA7657"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265</w:t>
            </w:r>
          </w:p>
        </w:tc>
        <w:tc>
          <w:tcPr>
            <w:tcW w:w="946" w:type="dxa"/>
            <w:tcBorders>
              <w:top w:val="nil"/>
              <w:left w:val="nil"/>
              <w:bottom w:val="single" w:sz="4" w:space="0" w:color="auto"/>
              <w:right w:val="nil"/>
            </w:tcBorders>
            <w:shd w:val="clear" w:color="auto" w:fill="auto"/>
            <w:noWrap/>
            <w:vAlign w:val="center"/>
            <w:hideMark/>
          </w:tcPr>
          <w:p w14:paraId="4C9ACAF6"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-10 %  </w:t>
            </w:r>
          </w:p>
        </w:tc>
        <w:tc>
          <w:tcPr>
            <w:tcW w:w="703" w:type="dxa"/>
            <w:tcBorders>
              <w:top w:val="nil"/>
              <w:left w:val="single" w:sz="4" w:space="0" w:color="auto"/>
              <w:bottom w:val="single" w:sz="4" w:space="0" w:color="auto"/>
              <w:right w:val="nil"/>
            </w:tcBorders>
            <w:shd w:val="clear" w:color="auto" w:fill="auto"/>
            <w:noWrap/>
            <w:vAlign w:val="bottom"/>
            <w:hideMark/>
          </w:tcPr>
          <w:p w14:paraId="696913A9"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182</w:t>
            </w:r>
          </w:p>
        </w:tc>
        <w:tc>
          <w:tcPr>
            <w:tcW w:w="902" w:type="dxa"/>
            <w:tcBorders>
              <w:top w:val="nil"/>
              <w:left w:val="nil"/>
              <w:bottom w:val="single" w:sz="4" w:space="0" w:color="auto"/>
              <w:right w:val="single" w:sz="4" w:space="0" w:color="auto"/>
            </w:tcBorders>
            <w:shd w:val="clear" w:color="auto" w:fill="auto"/>
            <w:noWrap/>
            <w:vAlign w:val="center"/>
            <w:hideMark/>
          </w:tcPr>
          <w:p w14:paraId="7F24217E"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-9 %  </w:t>
            </w:r>
          </w:p>
        </w:tc>
        <w:tc>
          <w:tcPr>
            <w:tcW w:w="703" w:type="dxa"/>
            <w:tcBorders>
              <w:top w:val="nil"/>
              <w:left w:val="nil"/>
              <w:bottom w:val="single" w:sz="4" w:space="0" w:color="auto"/>
              <w:right w:val="nil"/>
            </w:tcBorders>
            <w:shd w:val="clear" w:color="auto" w:fill="auto"/>
            <w:noWrap/>
            <w:vAlign w:val="bottom"/>
            <w:hideMark/>
          </w:tcPr>
          <w:p w14:paraId="2825DC94"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363</w:t>
            </w:r>
          </w:p>
        </w:tc>
        <w:tc>
          <w:tcPr>
            <w:tcW w:w="1082" w:type="dxa"/>
            <w:tcBorders>
              <w:top w:val="nil"/>
              <w:left w:val="nil"/>
              <w:bottom w:val="single" w:sz="4" w:space="0" w:color="auto"/>
              <w:right w:val="nil"/>
            </w:tcBorders>
            <w:shd w:val="clear" w:color="auto" w:fill="auto"/>
            <w:noWrap/>
            <w:vAlign w:val="center"/>
            <w:hideMark/>
          </w:tcPr>
          <w:p w14:paraId="4F8BF2B4"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-18 %  </w:t>
            </w:r>
          </w:p>
        </w:tc>
      </w:tr>
      <w:tr w:rsidR="00B64E96" w:rsidRPr="00730B1E" w14:paraId="1EB3B9A8" w14:textId="77777777" w:rsidTr="00497E9C">
        <w:trPr>
          <w:trHeight w:val="315"/>
        </w:trPr>
        <w:tc>
          <w:tcPr>
            <w:tcW w:w="2480" w:type="dxa"/>
            <w:tcBorders>
              <w:top w:val="nil"/>
              <w:left w:val="nil"/>
              <w:bottom w:val="single" w:sz="4" w:space="0" w:color="auto"/>
              <w:right w:val="nil"/>
            </w:tcBorders>
            <w:shd w:val="clear" w:color="auto" w:fill="auto"/>
            <w:noWrap/>
            <w:vAlign w:val="bottom"/>
            <w:hideMark/>
          </w:tcPr>
          <w:p w14:paraId="39E849E3" w14:textId="77777777" w:rsidR="00497E9C" w:rsidRPr="00730B1E" w:rsidRDefault="00497E9C" w:rsidP="00497E9C">
            <w:pPr>
              <w:spacing w:line="240" w:lineRule="auto"/>
              <w:jc w:val="left"/>
              <w:rPr>
                <w:rFonts w:eastAsia="Times New Roman"/>
                <w:szCs w:val="24"/>
                <w:lang w:eastAsia="cs-CZ"/>
              </w:rPr>
            </w:pPr>
            <w:r w:rsidRPr="00730B1E">
              <w:rPr>
                <w:rFonts w:eastAsia="Times New Roman"/>
                <w:szCs w:val="24"/>
                <w:lang w:eastAsia="cs-CZ"/>
              </w:rPr>
              <w:t>KS Hr. Králové</w:t>
            </w:r>
          </w:p>
        </w:tc>
        <w:tc>
          <w:tcPr>
            <w:tcW w:w="704" w:type="dxa"/>
            <w:tcBorders>
              <w:top w:val="nil"/>
              <w:left w:val="nil"/>
              <w:bottom w:val="single" w:sz="4" w:space="0" w:color="auto"/>
              <w:right w:val="nil"/>
            </w:tcBorders>
            <w:shd w:val="clear" w:color="auto" w:fill="auto"/>
            <w:noWrap/>
            <w:vAlign w:val="bottom"/>
            <w:hideMark/>
          </w:tcPr>
          <w:p w14:paraId="1F675332"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216</w:t>
            </w:r>
          </w:p>
        </w:tc>
        <w:tc>
          <w:tcPr>
            <w:tcW w:w="946" w:type="dxa"/>
            <w:tcBorders>
              <w:top w:val="nil"/>
              <w:left w:val="nil"/>
              <w:bottom w:val="single" w:sz="4" w:space="0" w:color="auto"/>
              <w:right w:val="nil"/>
            </w:tcBorders>
            <w:shd w:val="clear" w:color="auto" w:fill="auto"/>
            <w:noWrap/>
            <w:vAlign w:val="center"/>
            <w:hideMark/>
          </w:tcPr>
          <w:p w14:paraId="59EF74D0"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c>
          <w:tcPr>
            <w:tcW w:w="703" w:type="dxa"/>
            <w:tcBorders>
              <w:top w:val="nil"/>
              <w:left w:val="single" w:sz="4" w:space="0" w:color="auto"/>
              <w:bottom w:val="single" w:sz="4" w:space="0" w:color="auto"/>
              <w:right w:val="nil"/>
            </w:tcBorders>
            <w:shd w:val="clear" w:color="auto" w:fill="auto"/>
            <w:noWrap/>
            <w:vAlign w:val="bottom"/>
            <w:hideMark/>
          </w:tcPr>
          <w:p w14:paraId="52612C9F"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148</w:t>
            </w:r>
          </w:p>
        </w:tc>
        <w:tc>
          <w:tcPr>
            <w:tcW w:w="902" w:type="dxa"/>
            <w:tcBorders>
              <w:top w:val="nil"/>
              <w:left w:val="nil"/>
              <w:bottom w:val="single" w:sz="4" w:space="0" w:color="auto"/>
              <w:right w:val="single" w:sz="4" w:space="0" w:color="auto"/>
            </w:tcBorders>
            <w:shd w:val="clear" w:color="auto" w:fill="auto"/>
            <w:noWrap/>
            <w:vAlign w:val="center"/>
            <w:hideMark/>
          </w:tcPr>
          <w:p w14:paraId="74F9C087"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-1 %  </w:t>
            </w:r>
          </w:p>
        </w:tc>
        <w:tc>
          <w:tcPr>
            <w:tcW w:w="703" w:type="dxa"/>
            <w:tcBorders>
              <w:top w:val="nil"/>
              <w:left w:val="nil"/>
              <w:bottom w:val="single" w:sz="4" w:space="0" w:color="auto"/>
              <w:right w:val="nil"/>
            </w:tcBorders>
            <w:shd w:val="clear" w:color="auto" w:fill="auto"/>
            <w:noWrap/>
            <w:vAlign w:val="bottom"/>
            <w:hideMark/>
          </w:tcPr>
          <w:p w14:paraId="2C5BE30C"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316</w:t>
            </w:r>
          </w:p>
        </w:tc>
        <w:tc>
          <w:tcPr>
            <w:tcW w:w="1082" w:type="dxa"/>
            <w:tcBorders>
              <w:top w:val="nil"/>
              <w:left w:val="nil"/>
              <w:bottom w:val="single" w:sz="4" w:space="0" w:color="auto"/>
              <w:right w:val="nil"/>
            </w:tcBorders>
            <w:shd w:val="clear" w:color="auto" w:fill="auto"/>
            <w:noWrap/>
            <w:vAlign w:val="center"/>
            <w:hideMark/>
          </w:tcPr>
          <w:p w14:paraId="5C21FB54"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-16 %  </w:t>
            </w:r>
          </w:p>
        </w:tc>
      </w:tr>
      <w:tr w:rsidR="00B64E96" w:rsidRPr="00730B1E" w14:paraId="2519AF10" w14:textId="77777777" w:rsidTr="00497E9C">
        <w:trPr>
          <w:trHeight w:val="315"/>
        </w:trPr>
        <w:tc>
          <w:tcPr>
            <w:tcW w:w="2480" w:type="dxa"/>
            <w:tcBorders>
              <w:top w:val="nil"/>
              <w:left w:val="nil"/>
              <w:bottom w:val="single" w:sz="4" w:space="0" w:color="auto"/>
              <w:right w:val="nil"/>
            </w:tcBorders>
            <w:shd w:val="clear" w:color="auto" w:fill="auto"/>
            <w:noWrap/>
            <w:vAlign w:val="bottom"/>
            <w:hideMark/>
          </w:tcPr>
          <w:p w14:paraId="6FE62A56" w14:textId="77777777" w:rsidR="00497E9C" w:rsidRPr="00730B1E" w:rsidRDefault="00497E9C" w:rsidP="00497E9C">
            <w:pPr>
              <w:spacing w:line="240" w:lineRule="auto"/>
              <w:jc w:val="left"/>
              <w:rPr>
                <w:rFonts w:eastAsia="Times New Roman"/>
                <w:szCs w:val="24"/>
                <w:lang w:eastAsia="cs-CZ"/>
              </w:rPr>
            </w:pPr>
            <w:r w:rsidRPr="00730B1E">
              <w:rPr>
                <w:rFonts w:eastAsia="Times New Roman"/>
                <w:szCs w:val="24"/>
                <w:lang w:eastAsia="cs-CZ"/>
              </w:rPr>
              <w:t>KS Brno</w:t>
            </w:r>
          </w:p>
        </w:tc>
        <w:tc>
          <w:tcPr>
            <w:tcW w:w="704" w:type="dxa"/>
            <w:tcBorders>
              <w:top w:val="nil"/>
              <w:left w:val="nil"/>
              <w:bottom w:val="single" w:sz="4" w:space="0" w:color="auto"/>
              <w:right w:val="nil"/>
            </w:tcBorders>
            <w:shd w:val="clear" w:color="auto" w:fill="auto"/>
            <w:noWrap/>
            <w:vAlign w:val="bottom"/>
            <w:hideMark/>
          </w:tcPr>
          <w:p w14:paraId="6BF309F2"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302</w:t>
            </w:r>
          </w:p>
        </w:tc>
        <w:tc>
          <w:tcPr>
            <w:tcW w:w="946" w:type="dxa"/>
            <w:tcBorders>
              <w:top w:val="nil"/>
              <w:left w:val="nil"/>
              <w:bottom w:val="single" w:sz="4" w:space="0" w:color="auto"/>
              <w:right w:val="nil"/>
            </w:tcBorders>
            <w:shd w:val="clear" w:color="auto" w:fill="auto"/>
            <w:noWrap/>
            <w:vAlign w:val="center"/>
            <w:hideMark/>
          </w:tcPr>
          <w:p w14:paraId="65D1678C"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c>
          <w:tcPr>
            <w:tcW w:w="703" w:type="dxa"/>
            <w:tcBorders>
              <w:top w:val="nil"/>
              <w:left w:val="single" w:sz="4" w:space="0" w:color="auto"/>
              <w:bottom w:val="single" w:sz="4" w:space="0" w:color="auto"/>
              <w:right w:val="nil"/>
            </w:tcBorders>
            <w:shd w:val="clear" w:color="auto" w:fill="auto"/>
            <w:noWrap/>
            <w:vAlign w:val="bottom"/>
            <w:hideMark/>
          </w:tcPr>
          <w:p w14:paraId="2D7E4F96"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199</w:t>
            </w:r>
          </w:p>
        </w:tc>
        <w:tc>
          <w:tcPr>
            <w:tcW w:w="902" w:type="dxa"/>
            <w:tcBorders>
              <w:top w:val="nil"/>
              <w:left w:val="nil"/>
              <w:bottom w:val="single" w:sz="4" w:space="0" w:color="auto"/>
              <w:right w:val="single" w:sz="4" w:space="0" w:color="auto"/>
            </w:tcBorders>
            <w:shd w:val="clear" w:color="auto" w:fill="auto"/>
            <w:noWrap/>
            <w:vAlign w:val="center"/>
            <w:hideMark/>
          </w:tcPr>
          <w:p w14:paraId="61BFEC48"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+1 %  </w:t>
            </w:r>
          </w:p>
        </w:tc>
        <w:tc>
          <w:tcPr>
            <w:tcW w:w="703" w:type="dxa"/>
            <w:tcBorders>
              <w:top w:val="nil"/>
              <w:left w:val="nil"/>
              <w:bottom w:val="single" w:sz="4" w:space="0" w:color="auto"/>
              <w:right w:val="nil"/>
            </w:tcBorders>
            <w:shd w:val="clear" w:color="auto" w:fill="auto"/>
            <w:noWrap/>
            <w:vAlign w:val="bottom"/>
            <w:hideMark/>
          </w:tcPr>
          <w:p w14:paraId="1AD8683D"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490</w:t>
            </w:r>
          </w:p>
        </w:tc>
        <w:tc>
          <w:tcPr>
            <w:tcW w:w="1082" w:type="dxa"/>
            <w:tcBorders>
              <w:top w:val="nil"/>
              <w:left w:val="nil"/>
              <w:bottom w:val="single" w:sz="4" w:space="0" w:color="auto"/>
              <w:right w:val="nil"/>
            </w:tcBorders>
            <w:shd w:val="clear" w:color="auto" w:fill="auto"/>
            <w:noWrap/>
            <w:vAlign w:val="center"/>
            <w:hideMark/>
          </w:tcPr>
          <w:p w14:paraId="7B23BD14"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+30 %  </w:t>
            </w:r>
          </w:p>
        </w:tc>
      </w:tr>
      <w:tr w:rsidR="00B64E96" w:rsidRPr="00730B1E" w14:paraId="2E0F62C5" w14:textId="77777777" w:rsidTr="00497E9C">
        <w:trPr>
          <w:trHeight w:val="330"/>
        </w:trPr>
        <w:tc>
          <w:tcPr>
            <w:tcW w:w="2480" w:type="dxa"/>
            <w:tcBorders>
              <w:top w:val="nil"/>
              <w:left w:val="nil"/>
              <w:bottom w:val="double" w:sz="6" w:space="0" w:color="auto"/>
              <w:right w:val="nil"/>
            </w:tcBorders>
            <w:shd w:val="clear" w:color="auto" w:fill="auto"/>
            <w:noWrap/>
            <w:vAlign w:val="bottom"/>
            <w:hideMark/>
          </w:tcPr>
          <w:p w14:paraId="655DC9F5" w14:textId="77777777" w:rsidR="00497E9C" w:rsidRPr="00730B1E" w:rsidRDefault="00497E9C" w:rsidP="00497E9C">
            <w:pPr>
              <w:spacing w:line="240" w:lineRule="auto"/>
              <w:jc w:val="left"/>
              <w:rPr>
                <w:rFonts w:eastAsia="Times New Roman"/>
                <w:szCs w:val="24"/>
                <w:lang w:eastAsia="cs-CZ"/>
              </w:rPr>
            </w:pPr>
            <w:r w:rsidRPr="00730B1E">
              <w:rPr>
                <w:rFonts w:eastAsia="Times New Roman"/>
                <w:szCs w:val="24"/>
                <w:lang w:eastAsia="cs-CZ"/>
              </w:rPr>
              <w:t>KS Ostrava</w:t>
            </w:r>
          </w:p>
        </w:tc>
        <w:tc>
          <w:tcPr>
            <w:tcW w:w="704" w:type="dxa"/>
            <w:tcBorders>
              <w:top w:val="nil"/>
              <w:left w:val="nil"/>
              <w:bottom w:val="double" w:sz="6" w:space="0" w:color="auto"/>
              <w:right w:val="nil"/>
            </w:tcBorders>
            <w:shd w:val="clear" w:color="auto" w:fill="auto"/>
            <w:noWrap/>
            <w:vAlign w:val="bottom"/>
            <w:hideMark/>
          </w:tcPr>
          <w:p w14:paraId="5A19B157"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255</w:t>
            </w:r>
          </w:p>
        </w:tc>
        <w:tc>
          <w:tcPr>
            <w:tcW w:w="946" w:type="dxa"/>
            <w:tcBorders>
              <w:top w:val="nil"/>
              <w:left w:val="nil"/>
              <w:bottom w:val="double" w:sz="6" w:space="0" w:color="auto"/>
              <w:right w:val="nil"/>
            </w:tcBorders>
            <w:shd w:val="clear" w:color="auto" w:fill="auto"/>
            <w:noWrap/>
            <w:vAlign w:val="center"/>
            <w:hideMark/>
          </w:tcPr>
          <w:p w14:paraId="26B541AE"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703" w:type="dxa"/>
            <w:tcBorders>
              <w:top w:val="nil"/>
              <w:left w:val="single" w:sz="4" w:space="0" w:color="auto"/>
              <w:bottom w:val="double" w:sz="6" w:space="0" w:color="auto"/>
              <w:right w:val="nil"/>
            </w:tcBorders>
            <w:shd w:val="clear" w:color="auto" w:fill="auto"/>
            <w:noWrap/>
            <w:vAlign w:val="bottom"/>
            <w:hideMark/>
          </w:tcPr>
          <w:p w14:paraId="12A57958"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189</w:t>
            </w:r>
          </w:p>
        </w:tc>
        <w:tc>
          <w:tcPr>
            <w:tcW w:w="902" w:type="dxa"/>
            <w:tcBorders>
              <w:top w:val="nil"/>
              <w:left w:val="nil"/>
              <w:bottom w:val="double" w:sz="6" w:space="0" w:color="auto"/>
              <w:right w:val="single" w:sz="4" w:space="0" w:color="auto"/>
            </w:tcBorders>
            <w:shd w:val="clear" w:color="auto" w:fill="auto"/>
            <w:noWrap/>
            <w:vAlign w:val="center"/>
            <w:hideMark/>
          </w:tcPr>
          <w:p w14:paraId="712CE33B"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+4 %  </w:t>
            </w:r>
          </w:p>
        </w:tc>
        <w:tc>
          <w:tcPr>
            <w:tcW w:w="703" w:type="dxa"/>
            <w:tcBorders>
              <w:top w:val="nil"/>
              <w:left w:val="nil"/>
              <w:bottom w:val="double" w:sz="6" w:space="0" w:color="auto"/>
              <w:right w:val="nil"/>
            </w:tcBorders>
            <w:shd w:val="clear" w:color="auto" w:fill="auto"/>
            <w:noWrap/>
            <w:vAlign w:val="bottom"/>
            <w:hideMark/>
          </w:tcPr>
          <w:p w14:paraId="62164C76" w14:textId="77777777" w:rsidR="00497E9C" w:rsidRPr="00730B1E" w:rsidRDefault="00497E9C" w:rsidP="00497E9C">
            <w:pPr>
              <w:spacing w:line="240" w:lineRule="auto"/>
              <w:jc w:val="center"/>
              <w:rPr>
                <w:rFonts w:eastAsia="Times New Roman"/>
                <w:szCs w:val="24"/>
                <w:lang w:eastAsia="cs-CZ"/>
              </w:rPr>
            </w:pPr>
            <w:r w:rsidRPr="00730B1E">
              <w:rPr>
                <w:rFonts w:eastAsia="Times New Roman"/>
                <w:szCs w:val="24"/>
                <w:lang w:eastAsia="cs-CZ"/>
              </w:rPr>
              <w:t>386</w:t>
            </w:r>
          </w:p>
        </w:tc>
        <w:tc>
          <w:tcPr>
            <w:tcW w:w="1082" w:type="dxa"/>
            <w:tcBorders>
              <w:top w:val="nil"/>
              <w:left w:val="nil"/>
              <w:bottom w:val="double" w:sz="6" w:space="0" w:color="auto"/>
              <w:right w:val="nil"/>
            </w:tcBorders>
            <w:shd w:val="clear" w:color="auto" w:fill="auto"/>
            <w:noWrap/>
            <w:vAlign w:val="center"/>
            <w:hideMark/>
          </w:tcPr>
          <w:p w14:paraId="0C8038CA" w14:textId="77777777" w:rsidR="00497E9C" w:rsidRPr="00730B1E" w:rsidRDefault="00497E9C" w:rsidP="00497E9C">
            <w:pPr>
              <w:spacing w:line="240" w:lineRule="auto"/>
              <w:jc w:val="right"/>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511CC877" w14:textId="77777777" w:rsidTr="00497E9C">
        <w:trPr>
          <w:trHeight w:val="345"/>
        </w:trPr>
        <w:tc>
          <w:tcPr>
            <w:tcW w:w="2480" w:type="dxa"/>
            <w:tcBorders>
              <w:top w:val="nil"/>
              <w:left w:val="nil"/>
              <w:bottom w:val="double" w:sz="6" w:space="0" w:color="auto"/>
              <w:right w:val="nil"/>
            </w:tcBorders>
            <w:shd w:val="clear" w:color="auto" w:fill="auto"/>
            <w:noWrap/>
            <w:vAlign w:val="bottom"/>
            <w:hideMark/>
          </w:tcPr>
          <w:p w14:paraId="1F4CDAB0" w14:textId="77777777" w:rsidR="00497E9C" w:rsidRPr="00730B1E" w:rsidRDefault="00497E9C" w:rsidP="00497E9C">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704" w:type="dxa"/>
            <w:tcBorders>
              <w:top w:val="nil"/>
              <w:left w:val="nil"/>
              <w:bottom w:val="double" w:sz="6" w:space="0" w:color="auto"/>
              <w:right w:val="nil"/>
            </w:tcBorders>
            <w:shd w:val="clear" w:color="auto" w:fill="auto"/>
            <w:noWrap/>
            <w:vAlign w:val="bottom"/>
            <w:hideMark/>
          </w:tcPr>
          <w:p w14:paraId="626E517A" w14:textId="77777777" w:rsidR="00497E9C" w:rsidRPr="00730B1E" w:rsidRDefault="00497E9C" w:rsidP="00497E9C">
            <w:pPr>
              <w:spacing w:line="240" w:lineRule="auto"/>
              <w:jc w:val="center"/>
              <w:rPr>
                <w:rFonts w:eastAsia="Times New Roman"/>
                <w:b/>
                <w:bCs/>
                <w:szCs w:val="24"/>
                <w:lang w:eastAsia="cs-CZ"/>
              </w:rPr>
            </w:pPr>
            <w:r w:rsidRPr="00730B1E">
              <w:rPr>
                <w:rFonts w:eastAsia="Times New Roman"/>
                <w:b/>
                <w:bCs/>
                <w:szCs w:val="24"/>
                <w:lang w:eastAsia="cs-CZ"/>
              </w:rPr>
              <w:t>251</w:t>
            </w:r>
          </w:p>
        </w:tc>
        <w:tc>
          <w:tcPr>
            <w:tcW w:w="946" w:type="dxa"/>
            <w:tcBorders>
              <w:top w:val="nil"/>
              <w:left w:val="nil"/>
              <w:bottom w:val="double" w:sz="6" w:space="0" w:color="auto"/>
              <w:right w:val="nil"/>
            </w:tcBorders>
            <w:shd w:val="clear" w:color="auto" w:fill="auto"/>
            <w:noWrap/>
            <w:vAlign w:val="center"/>
            <w:hideMark/>
          </w:tcPr>
          <w:p w14:paraId="3D38905C" w14:textId="77777777" w:rsidR="00497E9C" w:rsidRPr="00730B1E" w:rsidRDefault="00497E9C" w:rsidP="00497E9C">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-7 %  </w:t>
            </w:r>
          </w:p>
        </w:tc>
        <w:tc>
          <w:tcPr>
            <w:tcW w:w="703" w:type="dxa"/>
            <w:tcBorders>
              <w:top w:val="nil"/>
              <w:left w:val="single" w:sz="4" w:space="0" w:color="auto"/>
              <w:bottom w:val="double" w:sz="6" w:space="0" w:color="auto"/>
              <w:right w:val="nil"/>
            </w:tcBorders>
            <w:shd w:val="clear" w:color="auto" w:fill="auto"/>
            <w:noWrap/>
            <w:vAlign w:val="bottom"/>
            <w:hideMark/>
          </w:tcPr>
          <w:p w14:paraId="3E06E77F" w14:textId="77777777" w:rsidR="00497E9C" w:rsidRPr="00730B1E" w:rsidRDefault="00497E9C" w:rsidP="00497E9C">
            <w:pPr>
              <w:spacing w:line="240" w:lineRule="auto"/>
              <w:jc w:val="center"/>
              <w:rPr>
                <w:rFonts w:eastAsia="Times New Roman"/>
                <w:b/>
                <w:bCs/>
                <w:szCs w:val="24"/>
                <w:lang w:eastAsia="cs-CZ"/>
              </w:rPr>
            </w:pPr>
            <w:r w:rsidRPr="00730B1E">
              <w:rPr>
                <w:rFonts w:eastAsia="Times New Roman"/>
                <w:b/>
                <w:bCs/>
                <w:szCs w:val="24"/>
                <w:lang w:eastAsia="cs-CZ"/>
              </w:rPr>
              <w:t>162</w:t>
            </w:r>
          </w:p>
        </w:tc>
        <w:tc>
          <w:tcPr>
            <w:tcW w:w="902" w:type="dxa"/>
            <w:tcBorders>
              <w:top w:val="nil"/>
              <w:left w:val="nil"/>
              <w:bottom w:val="double" w:sz="6" w:space="0" w:color="auto"/>
              <w:right w:val="single" w:sz="4" w:space="0" w:color="auto"/>
            </w:tcBorders>
            <w:shd w:val="clear" w:color="auto" w:fill="auto"/>
            <w:noWrap/>
            <w:vAlign w:val="center"/>
            <w:hideMark/>
          </w:tcPr>
          <w:p w14:paraId="29EBD751" w14:textId="77777777" w:rsidR="00497E9C" w:rsidRPr="00730B1E" w:rsidRDefault="00497E9C" w:rsidP="00497E9C">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-1 %  </w:t>
            </w:r>
          </w:p>
        </w:tc>
        <w:tc>
          <w:tcPr>
            <w:tcW w:w="703" w:type="dxa"/>
            <w:tcBorders>
              <w:top w:val="nil"/>
              <w:left w:val="nil"/>
              <w:bottom w:val="double" w:sz="6" w:space="0" w:color="auto"/>
              <w:right w:val="nil"/>
            </w:tcBorders>
            <w:shd w:val="clear" w:color="auto" w:fill="auto"/>
            <w:noWrap/>
            <w:vAlign w:val="bottom"/>
            <w:hideMark/>
          </w:tcPr>
          <w:p w14:paraId="57B012A5" w14:textId="77777777" w:rsidR="00497E9C" w:rsidRPr="00730B1E" w:rsidRDefault="00497E9C" w:rsidP="00497E9C">
            <w:pPr>
              <w:spacing w:line="240" w:lineRule="auto"/>
              <w:jc w:val="center"/>
              <w:rPr>
                <w:rFonts w:eastAsia="Times New Roman"/>
                <w:b/>
                <w:bCs/>
                <w:szCs w:val="24"/>
                <w:lang w:eastAsia="cs-CZ"/>
              </w:rPr>
            </w:pPr>
            <w:r w:rsidRPr="00730B1E">
              <w:rPr>
                <w:rFonts w:eastAsia="Times New Roman"/>
                <w:b/>
                <w:bCs/>
                <w:szCs w:val="24"/>
                <w:lang w:eastAsia="cs-CZ"/>
              </w:rPr>
              <w:t>386</w:t>
            </w:r>
          </w:p>
        </w:tc>
        <w:tc>
          <w:tcPr>
            <w:tcW w:w="1082" w:type="dxa"/>
            <w:tcBorders>
              <w:top w:val="nil"/>
              <w:left w:val="nil"/>
              <w:bottom w:val="double" w:sz="6" w:space="0" w:color="auto"/>
              <w:right w:val="nil"/>
            </w:tcBorders>
            <w:shd w:val="clear" w:color="auto" w:fill="auto"/>
            <w:noWrap/>
            <w:vAlign w:val="center"/>
            <w:hideMark/>
          </w:tcPr>
          <w:p w14:paraId="18C82414" w14:textId="77777777" w:rsidR="00497E9C" w:rsidRPr="00730B1E" w:rsidRDefault="00497E9C" w:rsidP="00497E9C">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-19 %  </w:t>
            </w:r>
          </w:p>
        </w:tc>
      </w:tr>
      <w:tr w:rsidR="00B64E96" w:rsidRPr="00730B1E" w14:paraId="033AB745" w14:textId="77777777" w:rsidTr="00497E9C">
        <w:trPr>
          <w:trHeight w:val="330"/>
        </w:trPr>
        <w:tc>
          <w:tcPr>
            <w:tcW w:w="2480" w:type="dxa"/>
            <w:tcBorders>
              <w:top w:val="nil"/>
              <w:left w:val="nil"/>
              <w:bottom w:val="nil"/>
              <w:right w:val="nil"/>
            </w:tcBorders>
            <w:shd w:val="clear" w:color="auto" w:fill="auto"/>
            <w:noWrap/>
            <w:vAlign w:val="bottom"/>
            <w:hideMark/>
          </w:tcPr>
          <w:p w14:paraId="584355B8" w14:textId="77777777" w:rsidR="00497E9C" w:rsidRPr="00730B1E" w:rsidRDefault="00497E9C" w:rsidP="00497E9C">
            <w:pPr>
              <w:spacing w:line="240" w:lineRule="auto"/>
              <w:jc w:val="right"/>
              <w:rPr>
                <w:rFonts w:eastAsia="Times New Roman"/>
                <w:b/>
                <w:bCs/>
                <w:sz w:val="20"/>
                <w:szCs w:val="20"/>
                <w:lang w:eastAsia="cs-CZ"/>
              </w:rPr>
            </w:pPr>
          </w:p>
        </w:tc>
        <w:tc>
          <w:tcPr>
            <w:tcW w:w="704" w:type="dxa"/>
            <w:tcBorders>
              <w:top w:val="nil"/>
              <w:left w:val="nil"/>
              <w:bottom w:val="nil"/>
              <w:right w:val="nil"/>
            </w:tcBorders>
            <w:shd w:val="clear" w:color="auto" w:fill="auto"/>
            <w:noWrap/>
            <w:vAlign w:val="bottom"/>
            <w:hideMark/>
          </w:tcPr>
          <w:p w14:paraId="2A3C618A" w14:textId="77777777" w:rsidR="00497E9C" w:rsidRPr="00DF07F3" w:rsidRDefault="00497E9C" w:rsidP="00497E9C">
            <w:pPr>
              <w:spacing w:line="240" w:lineRule="auto"/>
              <w:jc w:val="left"/>
              <w:rPr>
                <w:sz w:val="20"/>
              </w:rPr>
            </w:pPr>
          </w:p>
        </w:tc>
        <w:tc>
          <w:tcPr>
            <w:tcW w:w="946" w:type="dxa"/>
            <w:tcBorders>
              <w:top w:val="nil"/>
              <w:left w:val="nil"/>
              <w:bottom w:val="nil"/>
              <w:right w:val="nil"/>
            </w:tcBorders>
            <w:shd w:val="clear" w:color="auto" w:fill="auto"/>
            <w:noWrap/>
            <w:vAlign w:val="bottom"/>
            <w:hideMark/>
          </w:tcPr>
          <w:p w14:paraId="6976C1F9" w14:textId="77777777" w:rsidR="00497E9C" w:rsidRPr="00DF07F3" w:rsidRDefault="00497E9C" w:rsidP="00497E9C">
            <w:pPr>
              <w:spacing w:line="240" w:lineRule="auto"/>
              <w:jc w:val="left"/>
              <w:rPr>
                <w:sz w:val="20"/>
              </w:rPr>
            </w:pPr>
          </w:p>
        </w:tc>
        <w:tc>
          <w:tcPr>
            <w:tcW w:w="703" w:type="dxa"/>
            <w:tcBorders>
              <w:top w:val="nil"/>
              <w:left w:val="nil"/>
              <w:bottom w:val="nil"/>
              <w:right w:val="nil"/>
            </w:tcBorders>
            <w:shd w:val="clear" w:color="auto" w:fill="auto"/>
            <w:noWrap/>
            <w:vAlign w:val="bottom"/>
            <w:hideMark/>
          </w:tcPr>
          <w:p w14:paraId="0BFC5B4E" w14:textId="77777777" w:rsidR="00497E9C" w:rsidRPr="00DF07F3" w:rsidRDefault="00497E9C" w:rsidP="00497E9C">
            <w:pPr>
              <w:spacing w:line="240" w:lineRule="auto"/>
              <w:jc w:val="left"/>
              <w:rPr>
                <w:sz w:val="20"/>
              </w:rPr>
            </w:pPr>
          </w:p>
        </w:tc>
        <w:tc>
          <w:tcPr>
            <w:tcW w:w="902" w:type="dxa"/>
            <w:tcBorders>
              <w:top w:val="nil"/>
              <w:left w:val="nil"/>
              <w:bottom w:val="nil"/>
              <w:right w:val="nil"/>
            </w:tcBorders>
            <w:shd w:val="clear" w:color="auto" w:fill="auto"/>
            <w:noWrap/>
            <w:vAlign w:val="bottom"/>
            <w:hideMark/>
          </w:tcPr>
          <w:p w14:paraId="6B477DC0" w14:textId="77777777" w:rsidR="00497E9C" w:rsidRPr="00DF07F3" w:rsidRDefault="00497E9C" w:rsidP="00497E9C">
            <w:pPr>
              <w:spacing w:line="240" w:lineRule="auto"/>
              <w:jc w:val="left"/>
              <w:rPr>
                <w:sz w:val="20"/>
              </w:rPr>
            </w:pPr>
          </w:p>
        </w:tc>
        <w:tc>
          <w:tcPr>
            <w:tcW w:w="703" w:type="dxa"/>
            <w:tcBorders>
              <w:top w:val="nil"/>
              <w:left w:val="nil"/>
              <w:bottom w:val="nil"/>
              <w:right w:val="nil"/>
            </w:tcBorders>
            <w:shd w:val="clear" w:color="auto" w:fill="auto"/>
            <w:noWrap/>
            <w:vAlign w:val="bottom"/>
            <w:hideMark/>
          </w:tcPr>
          <w:p w14:paraId="30B0145B" w14:textId="77777777" w:rsidR="00497E9C" w:rsidRPr="00DF07F3" w:rsidRDefault="00497E9C" w:rsidP="00497E9C">
            <w:pPr>
              <w:spacing w:line="240" w:lineRule="auto"/>
              <w:jc w:val="left"/>
              <w:rPr>
                <w:sz w:val="20"/>
              </w:rPr>
            </w:pPr>
          </w:p>
        </w:tc>
        <w:tc>
          <w:tcPr>
            <w:tcW w:w="1082" w:type="dxa"/>
            <w:tcBorders>
              <w:top w:val="nil"/>
              <w:left w:val="nil"/>
              <w:bottom w:val="nil"/>
              <w:right w:val="nil"/>
            </w:tcBorders>
            <w:shd w:val="clear" w:color="auto" w:fill="auto"/>
            <w:noWrap/>
            <w:vAlign w:val="bottom"/>
            <w:hideMark/>
          </w:tcPr>
          <w:p w14:paraId="6E09A638" w14:textId="77777777" w:rsidR="00497E9C" w:rsidRPr="00DF07F3" w:rsidRDefault="00497E9C" w:rsidP="00497E9C">
            <w:pPr>
              <w:spacing w:line="240" w:lineRule="auto"/>
              <w:jc w:val="left"/>
              <w:rPr>
                <w:sz w:val="20"/>
              </w:rPr>
            </w:pPr>
          </w:p>
        </w:tc>
      </w:tr>
    </w:tbl>
    <w:p w14:paraId="0F96E914" w14:textId="7E1F84AD" w:rsidR="00497E9C" w:rsidRPr="00730B1E" w:rsidRDefault="00497E9C" w:rsidP="00497E9C">
      <w:pPr>
        <w:pStyle w:val="OdstavecASR"/>
      </w:pPr>
      <w:r w:rsidRPr="00730B1E">
        <w:t xml:space="preserve">Z tabulky 8 a grafu 8 jasně vyplývá, že v roce 2023 stále existují výrazné rozdíly (variabilita) mezi soudními kraji a jednotlivými okresními soudy. Nejrychlejší OS většinou spadají pod KS České Budějovice a KS Praha. Nejpomalejší okresní soudy spadají pod KS Ústí nad Labem, KS Brno </w:t>
      </w:r>
      <w:r w:rsidRPr="00730B1E">
        <w:lastRenderedPageBreak/>
        <w:t xml:space="preserve">a MS Praha. Je však třeba zdůraznit, že významné délky řízení často nejsou způsobeny neefektivností daných soudů, ale velkou případovou zátěží z minulých let. Starší data totiž ukazují, že problémy začaly již v 90. letech. Za zmínku určitě stojí fakt, že jak Severočeský, tak Jihomoravský kraj „srazily“ </w:t>
      </w:r>
      <w:r w:rsidR="00A35810" w:rsidRPr="00730B1E">
        <w:t>již</w:t>
      </w:r>
      <w:r w:rsidRPr="00730B1E">
        <w:t xml:space="preserve"> v roce 2022 mediánovou délku řízení pod 200 dnů a </w:t>
      </w:r>
      <w:r w:rsidR="00A35810" w:rsidRPr="00730B1E">
        <w:t xml:space="preserve">žádný kraj tak aktuálně nevykazuje mediánovou </w:t>
      </w:r>
      <w:r w:rsidRPr="00730B1E">
        <w:t xml:space="preserve">délku </w:t>
      </w:r>
      <w:r w:rsidR="00A35810" w:rsidRPr="00730B1E">
        <w:t>přesahující tuto hodnotu</w:t>
      </w:r>
      <w:r w:rsidRPr="00730B1E">
        <w:t xml:space="preserve">. Průměrná délka řízení klesla v roce </w:t>
      </w:r>
      <w:r w:rsidR="00A35810" w:rsidRPr="00730B1E">
        <w:t>2023</w:t>
      </w:r>
      <w:r w:rsidRPr="00730B1E">
        <w:t xml:space="preserve"> ve všech krajích. Percentil 90 stoupl pouze v kraji Jihomoravském.</w:t>
      </w:r>
    </w:p>
    <w:p w14:paraId="22D47D86" w14:textId="108F2B14" w:rsidR="00D42C1C" w:rsidRPr="00730B1E" w:rsidRDefault="00D42C1C" w:rsidP="00D42C1C">
      <w:pPr>
        <w:pStyle w:val="Podnadpis"/>
        <w:rPr>
          <w:color w:val="auto"/>
        </w:rPr>
      </w:pPr>
      <w:bookmarkStart w:id="153" w:name="_Toc144104119"/>
      <w:bookmarkStart w:id="154" w:name="_Toc169250927"/>
      <w:bookmarkStart w:id="155" w:name="_Toc174080613"/>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w:t>
      </w:r>
      <w:r w:rsidRPr="00730B1E">
        <w:rPr>
          <w:color w:val="auto"/>
        </w:rPr>
        <w:fldChar w:fldCharType="end"/>
      </w:r>
      <w:r w:rsidRPr="00730B1E">
        <w:rPr>
          <w:color w:val="auto"/>
        </w:rPr>
        <w:t>: OS – mediánové délky civilního řízení u jednotlivých soudů</w:t>
      </w:r>
      <w:bookmarkEnd w:id="153"/>
      <w:r w:rsidR="00C77185" w:rsidRPr="00730B1E">
        <w:rPr>
          <w:color w:val="auto"/>
        </w:rPr>
        <w:t>, 2023</w:t>
      </w:r>
      <w:bookmarkEnd w:id="154"/>
      <w:bookmarkEnd w:id="155"/>
    </w:p>
    <w:p w14:paraId="356F5E63" w14:textId="7AEC0062" w:rsidR="00D42C1C" w:rsidRPr="00730B1E" w:rsidRDefault="00C629BD" w:rsidP="00497E9C">
      <w:pPr>
        <w:pStyle w:val="OdstavecASR"/>
      </w:pPr>
      <w:r w:rsidRPr="00730B1E">
        <w:rPr>
          <w:noProof/>
          <w:lang w:eastAsia="cs-CZ"/>
        </w:rPr>
        <w:drawing>
          <wp:anchor distT="0" distB="0" distL="114300" distR="114300" simplePos="0" relativeHeight="251663360" behindDoc="0" locked="0" layoutInCell="1" allowOverlap="1" wp14:anchorId="49A0F5FF" wp14:editId="40F2CE8E">
            <wp:simplePos x="0" y="0"/>
            <wp:positionH relativeFrom="margin">
              <wp:align>right</wp:align>
            </wp:positionH>
            <wp:positionV relativeFrom="paragraph">
              <wp:posOffset>50165</wp:posOffset>
            </wp:positionV>
            <wp:extent cx="1285200" cy="93600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5200" cy="93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B1E">
        <w:rPr>
          <w:noProof/>
          <w:lang w:eastAsia="cs-CZ"/>
        </w:rPr>
        <w:drawing>
          <wp:inline distT="0" distB="0" distL="0" distR="0" wp14:anchorId="77479D30" wp14:editId="215ABDC0">
            <wp:extent cx="5760720" cy="329692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0E067B4" w14:textId="6C6E850E" w:rsidR="00F77BAB" w:rsidRPr="00730B1E" w:rsidRDefault="00F77BAB" w:rsidP="00F77BAB">
      <w:r w:rsidRPr="00730B1E">
        <w:t xml:space="preserve">Nejrychlejší soudy v roce 2023 byly stejné jako v roce 2022 – OS pro Prahu 5 (medián 99 dnů), OS České Budějovice (medián rovněž 99 dnů) a OS Karlovy Vary (medián 100 dnů). Naopak nejpomalejší byly </w:t>
      </w:r>
      <w:r w:rsidR="00A35810" w:rsidRPr="00730B1E">
        <w:t xml:space="preserve">OS </w:t>
      </w:r>
      <w:r w:rsidRPr="00730B1E">
        <w:t xml:space="preserve">Litoměřice (277 dnů), OS Brno-venkov (249 dnů) a OS Chomutov (246 dnů). </w:t>
      </w:r>
    </w:p>
    <w:p w14:paraId="5C0E73E8" w14:textId="5BCD9096" w:rsidR="00D42C1C" w:rsidRPr="00730B1E" w:rsidRDefault="00F77BAB" w:rsidP="00497E9C">
      <w:pPr>
        <w:pStyle w:val="OdstavecASR"/>
      </w:pPr>
      <w:r w:rsidRPr="00730B1E">
        <w:t>Výrazně se v tomto roce zlepšily OS pro Prahu 1, OS pro Prahu 7 a OS Břeclav, které v loňském roce tvořily 3 nejpomalejší soudy.</w:t>
      </w:r>
    </w:p>
    <w:p w14:paraId="1318D098" w14:textId="4526159C" w:rsidR="00F25464" w:rsidRPr="00730B1E" w:rsidRDefault="00F25464" w:rsidP="00F25464">
      <w:pPr>
        <w:pStyle w:val="OdstavecASR"/>
      </w:pPr>
      <w:r w:rsidRPr="00730B1E">
        <w:t>Hypotézu snižování rozdílů mezi soudy můžeme jednoduše potvrdit pomocí krabicových grafů (graf </w:t>
      </w:r>
      <w:r w:rsidR="000B420E" w:rsidRPr="00730B1E">
        <w:rPr>
          <w:noProof/>
        </w:rPr>
        <w:t>9</w:t>
      </w:r>
      <w:r w:rsidRPr="00730B1E">
        <w:t>). Krabicový graf je blíže popsán v seznamu použitých pojmů v příloze. V grafu jsou vedle sebe znázorněny krabicové grafy pro roky 2014–2023 s mediánovými délkami řízení jednotlivých soudů.</w:t>
      </w:r>
    </w:p>
    <w:p w14:paraId="28D32B02" w14:textId="01714B31" w:rsidR="000B420E" w:rsidRPr="00730B1E" w:rsidRDefault="00F25464" w:rsidP="00F25464">
      <w:pPr>
        <w:pStyle w:val="OdstavecASR"/>
      </w:pPr>
      <w:r w:rsidRPr="00730B1E">
        <w:t xml:space="preserve">Graf potvrzuje </w:t>
      </w:r>
      <w:r w:rsidR="000B420E" w:rsidRPr="00730B1E">
        <w:t xml:space="preserve">velmi pozitivní dlouhodobý trend sbližování soudů, který </w:t>
      </w:r>
      <w:r w:rsidRPr="00730B1E">
        <w:t xml:space="preserve">již </w:t>
      </w:r>
      <w:r w:rsidR="000B420E" w:rsidRPr="00730B1E">
        <w:t xml:space="preserve">naznačila </w:t>
      </w:r>
      <w:r w:rsidRPr="00730B1E">
        <w:t xml:space="preserve">výše uvedená data. </w:t>
      </w:r>
      <w:r w:rsidR="000B420E" w:rsidRPr="00730B1E">
        <w:t>Jinými slovy, podobné délky řízení mohou účastníci sporu očekávat u čím dál více OS v ČR.</w:t>
      </w:r>
    </w:p>
    <w:p w14:paraId="3A071064" w14:textId="0C16B250" w:rsidR="00F25464" w:rsidRPr="00730B1E" w:rsidRDefault="00F25464" w:rsidP="00F25464">
      <w:pPr>
        <w:pStyle w:val="OdstavecASR"/>
      </w:pPr>
      <w:r w:rsidRPr="00730B1E">
        <w:t>Jasně z něj vyplývá, že v letech s nejvyšší mediánovou délkou řízení (úsečka uvnitř šedého boxu, kdy box znázorňuje 25 % počtu OS pod mediánem a 25 % OS nad mediánem, celkem tedy 43 soudů) byla variabilita mezi soudy výrazně vyšší (vyjádřená délkou tzv. vousů). Vysoké délky řízení byly způsobeny malou skupinou soudů (znázorněny jako tečky, z nichž každá představuje jeden OS s extrémní délkou řízení) především v Severočeském a Jihomoravském kraji</w:t>
      </w:r>
      <w:r w:rsidR="00FD49FD" w:rsidRPr="00730B1E">
        <w:t>.</w:t>
      </w:r>
    </w:p>
    <w:p w14:paraId="3C0C9682" w14:textId="4EF3F176" w:rsidR="00F25464" w:rsidRPr="00730B1E" w:rsidRDefault="00F25464" w:rsidP="00F25464">
      <w:pPr>
        <w:pStyle w:val="OdstavecASR"/>
      </w:pPr>
      <w:r w:rsidRPr="00730B1E">
        <w:t xml:space="preserve">Graf také potvrzuje hypotézu snižování rozdílů mezi soudy. Délky řízení i jejich variabilita se postupně snižovaly až do roku 2019. V krabicových grafech to je zcela jasně vidět – zmenšuje se </w:t>
      </w:r>
      <w:r w:rsidRPr="00730B1E">
        <w:lastRenderedPageBreak/>
        <w:t>box, zkracují se vousy a odlehlé hodnoty se přibližují. V roce 2018 byly v datech pouze 4 odlehlé hodnoty</w:t>
      </w:r>
      <w:r w:rsidR="00B4665B" w:rsidRPr="00730B1E">
        <w:t>,</w:t>
      </w:r>
      <w:r w:rsidRPr="00730B1E">
        <w:t xml:space="preserve"> všechny poměrně blízko horní přilehlé hodnotě. V roce 2019 se dvě nejodlehlejší hodnoty (Chomutov a Břeclav) opět přiblížily k boxu. V roce 2020 se opět jedna hodnota oddálila od boxu. Jedná se o OS pro Prahu 7, kde mediánová délka řízení vzrostla z 316 dnů na 419 dnů. V roce 2021 pak již zbyla jediná odlehlá hodnota – OS pro Prahu 7. Hodnota se ale přiblížila k boxu. V roce 2022 se délka u OS pro Prahu 7 snížila natolik, že už soud není zobrazen jako odlehlá hodnota, ale jako odlehlá hodnota ho nahradil OS pro Prahu 1. V roce 2023 se soudy opět „vyměnily“. Odlehlou hodnotu nyní představuje OS Litoměřice. </w:t>
      </w:r>
      <w:r w:rsidR="00B4665B" w:rsidRPr="00730B1E">
        <w:t>B</w:t>
      </w:r>
      <w:r w:rsidRPr="00730B1E">
        <w:t>ox i</w:t>
      </w:r>
      <w:r w:rsidR="008B3387" w:rsidRPr="00730B1E">
        <w:t> </w:t>
      </w:r>
      <w:r w:rsidRPr="00730B1E">
        <w:t xml:space="preserve">„vousy“ se </w:t>
      </w:r>
      <w:r w:rsidR="00B4665B" w:rsidRPr="00730B1E">
        <w:t xml:space="preserve">nicméně dále </w:t>
      </w:r>
      <w:r w:rsidRPr="00730B1E">
        <w:t>zmenšily a odlehlá hodnota se nachází poměrně blízko.</w:t>
      </w:r>
    </w:p>
    <w:p w14:paraId="5997A438" w14:textId="586864AE" w:rsidR="00D42C1C" w:rsidRPr="00730B1E" w:rsidRDefault="00D42C1C" w:rsidP="00D42C1C">
      <w:pPr>
        <w:pStyle w:val="Podnadpis"/>
        <w:rPr>
          <w:color w:val="auto"/>
        </w:rPr>
      </w:pPr>
      <w:bookmarkStart w:id="156" w:name="_Ref509212914"/>
      <w:bookmarkStart w:id="157" w:name="_Toc515871333"/>
      <w:bookmarkStart w:id="158" w:name="_Toc11135069"/>
      <w:bookmarkStart w:id="159" w:name="_Toc43841388"/>
      <w:bookmarkStart w:id="160" w:name="_Toc75952188"/>
      <w:bookmarkStart w:id="161" w:name="_Toc106106642"/>
      <w:bookmarkStart w:id="162" w:name="_Toc144104120"/>
      <w:bookmarkStart w:id="163" w:name="_Toc169250928"/>
      <w:bookmarkStart w:id="164" w:name="_Toc17408061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w:t>
      </w:r>
      <w:r w:rsidRPr="00730B1E">
        <w:rPr>
          <w:color w:val="auto"/>
        </w:rPr>
        <w:fldChar w:fldCharType="end"/>
      </w:r>
      <w:bookmarkEnd w:id="156"/>
      <w:r w:rsidRPr="00730B1E">
        <w:rPr>
          <w:color w:val="auto"/>
        </w:rPr>
        <w:t>: OS – krabicové grafy, mediánové délky civilního řízení</w:t>
      </w:r>
      <w:bookmarkEnd w:id="157"/>
      <w:bookmarkEnd w:id="158"/>
      <w:bookmarkEnd w:id="159"/>
      <w:bookmarkEnd w:id="160"/>
      <w:bookmarkEnd w:id="161"/>
      <w:bookmarkEnd w:id="162"/>
      <w:r w:rsidR="00C77185" w:rsidRPr="00730B1E">
        <w:rPr>
          <w:color w:val="auto"/>
        </w:rPr>
        <w:t>, 2023</w:t>
      </w:r>
      <w:bookmarkEnd w:id="163"/>
      <w:bookmarkEnd w:id="164"/>
    </w:p>
    <w:p w14:paraId="415F8408" w14:textId="20556A3F" w:rsidR="00D42C1C" w:rsidRPr="00730B1E" w:rsidRDefault="00D42C1C" w:rsidP="00497E9C">
      <w:pPr>
        <w:pStyle w:val="OdstavecASR"/>
      </w:pPr>
      <w:r w:rsidRPr="00730B1E">
        <w:rPr>
          <w:noProof/>
          <w:lang w:eastAsia="cs-CZ"/>
        </w:rPr>
        <w:drawing>
          <wp:inline distT="0" distB="0" distL="0" distR="0" wp14:anchorId="5F157AD1" wp14:editId="4B94A39C">
            <wp:extent cx="5029200" cy="36576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F6420F1" w14:textId="7DD9F3F5" w:rsidR="00F25464" w:rsidRPr="00730B1E" w:rsidRDefault="00F25464" w:rsidP="00F25464">
      <w:pPr>
        <w:pStyle w:val="OdstavecASR"/>
      </w:pPr>
      <w:r w:rsidRPr="00730B1E">
        <w:t>Zkracující se délka řízení v letech 2014 až 2019 (a také snižující se počet nevyřízených věcí, který je zachycen v následujících podkapitolách) má tři hlavní důvody:</w:t>
      </w:r>
    </w:p>
    <w:p w14:paraId="4F508A80" w14:textId="77777777" w:rsidR="00F25464" w:rsidRPr="00730B1E" w:rsidRDefault="00F25464" w:rsidP="00A94F8F">
      <w:pPr>
        <w:pStyle w:val="Odstavecseseznamem"/>
        <w:numPr>
          <w:ilvl w:val="0"/>
          <w:numId w:val="4"/>
        </w:numPr>
      </w:pPr>
      <w:r w:rsidRPr="00730B1E">
        <w:t>Zefektivnění práce soudů s velkým množstvím nevyřízených věcí a značnými délkami řízení.</w:t>
      </w:r>
    </w:p>
    <w:p w14:paraId="5FDE3F3E" w14:textId="77777777" w:rsidR="00F25464" w:rsidRPr="00730B1E" w:rsidRDefault="00F25464" w:rsidP="00A94F8F">
      <w:pPr>
        <w:pStyle w:val="Odstavecseseznamem"/>
        <w:numPr>
          <w:ilvl w:val="0"/>
          <w:numId w:val="4"/>
        </w:numPr>
      </w:pPr>
      <w:r w:rsidRPr="00730B1E">
        <w:t>Personální posilování těchto soudů.</w:t>
      </w:r>
    </w:p>
    <w:p w14:paraId="6C2D1931" w14:textId="77777777" w:rsidR="00F25464" w:rsidRPr="00730B1E" w:rsidRDefault="00F25464" w:rsidP="00A94F8F">
      <w:pPr>
        <w:pStyle w:val="Odstavecseseznamem"/>
        <w:numPr>
          <w:ilvl w:val="0"/>
          <w:numId w:val="4"/>
        </w:numPr>
      </w:pPr>
      <w:r w:rsidRPr="00730B1E">
        <w:t>Celorepublikový pokles v počtu napadlých věcí.</w:t>
      </w:r>
    </w:p>
    <w:p w14:paraId="192C6DAE" w14:textId="63FE4410" w:rsidR="00F25464" w:rsidRPr="00730B1E" w:rsidRDefault="00F25464" w:rsidP="00F25464">
      <w:pPr>
        <w:pStyle w:val="OdstavecASR"/>
      </w:pPr>
      <w:r w:rsidRPr="00730B1E">
        <w:t>V roce 2023 se snížil průměr a percentil 90. Krabicové grafy ukazují, že rozdíly mezi soudy</w:t>
      </w:r>
      <w:r w:rsidR="008B3387" w:rsidRPr="00730B1E">
        <w:t xml:space="preserve"> v délkách řízení</w:t>
      </w:r>
      <w:r w:rsidRPr="00730B1E">
        <w:t xml:space="preserve"> se zmenšily.</w:t>
      </w:r>
    </w:p>
    <w:p w14:paraId="16671368" w14:textId="2B0E808B" w:rsidR="00F25464" w:rsidRPr="00730B1E" w:rsidRDefault="00F25464" w:rsidP="00F25464">
      <w:pPr>
        <w:pStyle w:val="OdstavecASR"/>
      </w:pPr>
      <w:r w:rsidRPr="00730B1E">
        <w:t xml:space="preserve">Na délky řízení v roce </w:t>
      </w:r>
      <w:r w:rsidR="007159FA" w:rsidRPr="00730B1E">
        <w:t xml:space="preserve">2023 </w:t>
      </w:r>
      <w:r w:rsidRPr="00730B1E">
        <w:t xml:space="preserve">se nakonec </w:t>
      </w:r>
      <w:r w:rsidR="00B71D7F" w:rsidRPr="00730B1E">
        <w:t>zaměříme</w:t>
      </w:r>
      <w:r w:rsidRPr="00730B1E">
        <w:t xml:space="preserve"> ještě pomocí histogramu (viz seznam použitých pojmů). Budeme tedy zkoumat jejich distribuci. Šířka jednoho intervalu (sloupce) je 40 dnů. Pro lepší přehlednost jsou všechny délky řízení delší než 1 000 dnů v jednom sloupci (na grafu nejvíce vpravo). Proto je tento sloupec výrazně „vyšší“ než sloupce předchozí. Z grafu lze vyčíst další informace o délkách řízení v civilních věcech. Například:</w:t>
      </w:r>
    </w:p>
    <w:p w14:paraId="0B603EB9" w14:textId="77777777" w:rsidR="00F25464" w:rsidRPr="00730B1E" w:rsidRDefault="00F25464" w:rsidP="00A94F8F">
      <w:pPr>
        <w:pStyle w:val="Odstavecseseznamem"/>
        <w:numPr>
          <w:ilvl w:val="0"/>
          <w:numId w:val="6"/>
        </w:numPr>
      </w:pPr>
      <w:r w:rsidRPr="00730B1E">
        <w:lastRenderedPageBreak/>
        <w:t>Jen asi 4 % věcí byla vyřízena za více než 1 000 dnů.</w:t>
      </w:r>
    </w:p>
    <w:p w14:paraId="0652ECB1" w14:textId="77777777" w:rsidR="00F25464" w:rsidRPr="00730B1E" w:rsidRDefault="00F25464" w:rsidP="00A94F8F">
      <w:pPr>
        <w:pStyle w:val="Odstavecseseznamem"/>
        <w:numPr>
          <w:ilvl w:val="0"/>
          <w:numId w:val="5"/>
        </w:numPr>
        <w:ind w:left="714" w:hanging="357"/>
        <w:jc w:val="left"/>
      </w:pPr>
      <w:r w:rsidRPr="00730B1E">
        <w:t>Přibližně 8 % věcí bylo vyřízeno velice rychle – do 80 dnů.</w:t>
      </w:r>
    </w:p>
    <w:p w14:paraId="364EFF98" w14:textId="77777777" w:rsidR="00F25464" w:rsidRPr="00730B1E" w:rsidRDefault="00F25464" w:rsidP="00A94F8F">
      <w:pPr>
        <w:pStyle w:val="Odstavecseseznamem"/>
        <w:numPr>
          <w:ilvl w:val="0"/>
          <w:numId w:val="5"/>
        </w:numPr>
        <w:ind w:left="714" w:hanging="357"/>
      </w:pPr>
      <w:r w:rsidRPr="00730B1E">
        <w:t>Největší skupina věcí (přes 20 %) byla vyřízena za 121 až 160 dnů.</w:t>
      </w:r>
    </w:p>
    <w:p w14:paraId="0FB03407" w14:textId="0CA072F5" w:rsidR="00F25464" w:rsidRPr="00730B1E" w:rsidRDefault="00F25464" w:rsidP="00F25464">
      <w:pPr>
        <w:pStyle w:val="OdstavecASR"/>
        <w:shd w:val="clear" w:color="auto" w:fill="FFFFFF" w:themeFill="background1"/>
      </w:pPr>
      <w:r w:rsidRPr="00730B1E">
        <w:t>Oproti roku 2022 se rozdělení délek řízení v roce 2023 změnilo jen mírně</w:t>
      </w:r>
      <w:r w:rsidR="00B4665B" w:rsidRPr="00730B1E">
        <w:t>;</w:t>
      </w:r>
      <w:r w:rsidRPr="00730B1E">
        <w:t xml:space="preserve"> </w:t>
      </w:r>
      <w:r w:rsidR="00B4665B" w:rsidRPr="00730B1E">
        <w:t>j</w:t>
      </w:r>
      <w:r w:rsidRPr="00730B1E">
        <w:t xml:space="preserve">ak už bylo řečeno výše, došlo </w:t>
      </w:r>
      <w:r w:rsidR="008B3387" w:rsidRPr="00730B1E">
        <w:t xml:space="preserve">jen </w:t>
      </w:r>
      <w:r w:rsidRPr="00730B1E">
        <w:t>k malému zlepšení.</w:t>
      </w:r>
    </w:p>
    <w:p w14:paraId="6167E132" w14:textId="232723FD" w:rsidR="00F25464" w:rsidRPr="00730B1E" w:rsidRDefault="00F25464" w:rsidP="00F25464">
      <w:pPr>
        <w:pStyle w:val="Podnadpis"/>
        <w:rPr>
          <w:color w:val="auto"/>
        </w:rPr>
      </w:pPr>
      <w:bookmarkStart w:id="165" w:name="_Toc11135070"/>
      <w:bookmarkStart w:id="166" w:name="_Toc43841389"/>
      <w:bookmarkStart w:id="167" w:name="_Toc75952189"/>
      <w:bookmarkStart w:id="168" w:name="_Toc106106643"/>
      <w:bookmarkStart w:id="169" w:name="_Toc144104121"/>
      <w:bookmarkStart w:id="170" w:name="_Toc169250929"/>
      <w:bookmarkStart w:id="171" w:name="_Toc174080615"/>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10</w:t>
      </w:r>
      <w:r w:rsidRPr="00730B1E">
        <w:rPr>
          <w:color w:val="auto"/>
        </w:rPr>
        <w:fldChar w:fldCharType="end"/>
      </w:r>
      <w:r w:rsidRPr="00730B1E">
        <w:rPr>
          <w:color w:val="auto"/>
        </w:rPr>
        <w:t>: OS – distribuce délek civilního řízení</w:t>
      </w:r>
      <w:bookmarkEnd w:id="165"/>
      <w:bookmarkEnd w:id="166"/>
      <w:bookmarkEnd w:id="167"/>
      <w:bookmarkEnd w:id="168"/>
      <w:bookmarkEnd w:id="169"/>
      <w:bookmarkEnd w:id="170"/>
      <w:bookmarkEnd w:id="171"/>
    </w:p>
    <w:p w14:paraId="67BB6897" w14:textId="5E65BFCA" w:rsidR="00497E9C" w:rsidRPr="00730B1E" w:rsidRDefault="00F25464" w:rsidP="00CC07F4">
      <w:pPr>
        <w:rPr>
          <w:lang w:val="en-GB"/>
        </w:rPr>
      </w:pPr>
      <w:r w:rsidRPr="00730B1E">
        <w:rPr>
          <w:noProof/>
          <w:lang w:eastAsia="cs-CZ"/>
        </w:rPr>
        <w:drawing>
          <wp:inline distT="0" distB="0" distL="0" distR="0" wp14:anchorId="76DA399B" wp14:editId="0EEE1344">
            <wp:extent cx="5029200" cy="36576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4CAED88" w14:textId="77777777" w:rsidR="00497E9C" w:rsidRPr="00730B1E" w:rsidRDefault="00497E9C" w:rsidP="00CC07F4">
      <w:pPr>
        <w:rPr>
          <w:lang w:val="en-GB"/>
        </w:rPr>
      </w:pPr>
    </w:p>
    <w:p w14:paraId="3772BCF0" w14:textId="3ED645D9" w:rsidR="00D5538C" w:rsidRPr="00730B1E" w:rsidRDefault="00D5538C" w:rsidP="00E706B0">
      <w:pPr>
        <w:pStyle w:val="Nadpis3"/>
        <w:numPr>
          <w:ilvl w:val="2"/>
          <w:numId w:val="1"/>
        </w:numPr>
        <w:rPr>
          <w:color w:val="auto"/>
        </w:rPr>
      </w:pPr>
      <w:bookmarkStart w:id="172" w:name="_Ref509669257"/>
      <w:bookmarkStart w:id="173" w:name="_Toc515871222"/>
      <w:bookmarkStart w:id="174" w:name="_Toc106092719"/>
      <w:bookmarkStart w:id="175" w:name="_Toc169250803"/>
      <w:bookmarkStart w:id="176" w:name="_Toc174080839"/>
      <w:r w:rsidRPr="00730B1E">
        <w:rPr>
          <w:color w:val="auto"/>
        </w:rPr>
        <w:t>Vyřizování věcí</w:t>
      </w:r>
      <w:bookmarkEnd w:id="172"/>
      <w:bookmarkEnd w:id="173"/>
      <w:bookmarkEnd w:id="174"/>
      <w:bookmarkEnd w:id="175"/>
      <w:bookmarkEnd w:id="176"/>
    </w:p>
    <w:p w14:paraId="0F979046" w14:textId="70964876" w:rsidR="00F25464" w:rsidRPr="00730B1E" w:rsidRDefault="00F25464" w:rsidP="00F25464">
      <w:r w:rsidRPr="00730B1E">
        <w:t xml:space="preserve">Tato kapitola se věnuje tomu, jak okresní soudy vyřizují věci v civilním řízení (bez rozkazního řízení). Obsahuje tedy údaje o nápadu + obživlých věcech, vyřízených věcech, nevyřízených věcech a míře vyřizování. Tato data nezískáváme ze statistických listů, ale z výkazů o činnosti soudů. </w:t>
      </w:r>
      <w:r w:rsidR="007318F6" w:rsidRPr="00730B1E">
        <w:t xml:space="preserve">Je také zajímavé si uvědomit, že nápad sporných </w:t>
      </w:r>
      <w:r w:rsidR="007736CB" w:rsidRPr="00730B1E">
        <w:t xml:space="preserve">občanských a obchodních </w:t>
      </w:r>
      <w:r w:rsidR="007318F6" w:rsidRPr="00730B1E">
        <w:t>věcí je na české soudy jeden z nejvyšších v Evropské unii (v přepočtu na počet obyvatel). Jak se s ním vyrovnávají</w:t>
      </w:r>
      <w:r w:rsidR="00797A7E" w:rsidRPr="00730B1E">
        <w:t>,</w:t>
      </w:r>
      <w:r w:rsidR="007318F6" w:rsidRPr="00730B1E">
        <w:t xml:space="preserve"> ukazuje </w:t>
      </w:r>
      <w:r w:rsidR="00C77185" w:rsidRPr="00730B1E">
        <w:t>g</w:t>
      </w:r>
      <w:r w:rsidR="0063193E" w:rsidRPr="00730B1E">
        <w:t>raf </w:t>
      </w:r>
      <w:r w:rsidRPr="00730B1E">
        <w:t>vývoj</w:t>
      </w:r>
      <w:r w:rsidR="007318F6" w:rsidRPr="00730B1E">
        <w:t>e</w:t>
      </w:r>
      <w:r w:rsidRPr="00730B1E">
        <w:t xml:space="preserve"> těchto proměnných v letech 20</w:t>
      </w:r>
      <w:r w:rsidR="00340589" w:rsidRPr="00730B1E">
        <w:t>14</w:t>
      </w:r>
      <w:r w:rsidRPr="00730B1E">
        <w:t>–202</w:t>
      </w:r>
      <w:r w:rsidR="00340589" w:rsidRPr="00730B1E">
        <w:t>3</w:t>
      </w:r>
      <w:r w:rsidR="007318F6" w:rsidRPr="00730B1E">
        <w:t xml:space="preserve"> níže</w:t>
      </w:r>
      <w:r w:rsidR="00AF3650" w:rsidRPr="00730B1E">
        <w:t xml:space="preserve"> – již předem můžeme prozradit, že v porovnání s jinými zeměmi nadmíru dobře</w:t>
      </w:r>
      <w:r w:rsidR="005B638D" w:rsidRPr="00730B1E">
        <w:t xml:space="preserve"> (srovnání viz kapitola 8.1.4)</w:t>
      </w:r>
      <w:r w:rsidRPr="00730B1E">
        <w:t xml:space="preserve">. Z grafu je patrné, že počet příchozích (nápad + </w:t>
      </w:r>
      <w:r w:rsidR="00102E29" w:rsidRPr="00730B1E">
        <w:t>obživlé věci</w:t>
      </w:r>
      <w:r w:rsidRPr="00730B1E">
        <w:t xml:space="preserve">) a vyřízených věcí jsou silně korelovány. Vztah je v tomto případě kauzální (příčinný). </w:t>
      </w:r>
      <w:r w:rsidR="00340589" w:rsidRPr="00730B1E">
        <w:t>Ve sledovaném</w:t>
      </w:r>
      <w:r w:rsidRPr="00730B1E">
        <w:t xml:space="preserve"> převyšuje počet vyřízených věcí počet věcí příchozích, třebaže </w:t>
      </w:r>
      <w:r w:rsidR="00922FAC" w:rsidRPr="00730B1E">
        <w:t>v některých letech</w:t>
      </w:r>
      <w:r w:rsidRPr="00730B1E">
        <w:t xml:space="preserve"> jen velmi mírně. Díky tomu se v posledních letech dařilo snižovat počet nevyřízených věcí. Tento výsledek plně koresponduje se snižováním délek řízení. Důvody pro snižování počtu nevyřízených věcí jsou logicky stejné jako u délky řízení.</w:t>
      </w:r>
    </w:p>
    <w:p w14:paraId="35A40D1E" w14:textId="77777777" w:rsidR="00B4665B" w:rsidRPr="00730B1E" w:rsidRDefault="00B4665B" w:rsidP="00F25464"/>
    <w:p w14:paraId="44868015" w14:textId="5C742A01" w:rsidR="00F25464" w:rsidRPr="00730B1E" w:rsidRDefault="00F25464" w:rsidP="00F25464">
      <w:r w:rsidRPr="00730B1E">
        <w:t xml:space="preserve">V roce 2020 došlo stejně jako u délek řízení po 6 letech k mírnému nárůstu počtu nevyřízených věcí. Všechny kraje měly míru vyřizování pod 100 %. Ve všech krajích klesl počet vyřízených věcí a ve všech krajích s výjimkou kraje Západočeského klesl počet příchozích věcí. Většina těchto okolností (pokles příchozích věcí, pokles vyřízených věcí, nárůst nevyřízených věcí) ukazuje na to, </w:t>
      </w:r>
      <w:r w:rsidRPr="00730B1E">
        <w:lastRenderedPageBreak/>
        <w:t xml:space="preserve">že soudy byly ovlivněny </w:t>
      </w:r>
      <w:r w:rsidR="00B4665B" w:rsidRPr="00730B1E">
        <w:t xml:space="preserve">pandemií </w:t>
      </w:r>
      <w:r w:rsidRPr="00730B1E">
        <w:t>COVID 19 a vládními restrikcemi ke zbrzdění je</w:t>
      </w:r>
      <w:r w:rsidR="00B4665B" w:rsidRPr="00730B1E">
        <w:t>jího</w:t>
      </w:r>
      <w:r w:rsidRPr="00730B1E">
        <w:t xml:space="preserve"> šíření. </w:t>
      </w:r>
      <w:r w:rsidR="00B4665B" w:rsidRPr="00730B1E">
        <w:t>Pandemie</w:t>
      </w:r>
      <w:r w:rsidRPr="00730B1E">
        <w:t xml:space="preserve"> zřejmě způsobil</w:t>
      </w:r>
      <w:r w:rsidR="00B4665B" w:rsidRPr="00730B1E">
        <w:t>a</w:t>
      </w:r>
      <w:r w:rsidRPr="00730B1E">
        <w:t xml:space="preserve"> pokles v nápadu a rovněž byla omezena funkčnost soudů, z čehož plyne pokles v počtu vyřízených věcí.</w:t>
      </w:r>
    </w:p>
    <w:p w14:paraId="191249B0" w14:textId="1B575052" w:rsidR="00922FAC" w:rsidRPr="00730B1E" w:rsidRDefault="00922FAC" w:rsidP="00922FAC">
      <w:pPr>
        <w:pStyle w:val="Podnadpis"/>
        <w:numPr>
          <w:ilvl w:val="0"/>
          <w:numId w:val="0"/>
        </w:numPr>
        <w:rPr>
          <w:color w:val="auto"/>
        </w:rPr>
      </w:pPr>
      <w:bookmarkStart w:id="177" w:name="_Ref509225924"/>
      <w:bookmarkStart w:id="178" w:name="_Toc515871335"/>
      <w:bookmarkStart w:id="179" w:name="_Toc11135071"/>
      <w:bookmarkStart w:id="180" w:name="_Toc43841390"/>
      <w:bookmarkStart w:id="181" w:name="_Toc75952190"/>
      <w:bookmarkStart w:id="182" w:name="_Toc106106644"/>
      <w:bookmarkStart w:id="183" w:name="_Toc144104122"/>
      <w:bookmarkStart w:id="184" w:name="_Toc169250930"/>
      <w:bookmarkStart w:id="185" w:name="_Toc17408061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11</w:t>
      </w:r>
      <w:r w:rsidRPr="00730B1E">
        <w:rPr>
          <w:color w:val="auto"/>
        </w:rPr>
        <w:fldChar w:fldCharType="end"/>
      </w:r>
      <w:bookmarkEnd w:id="177"/>
      <w:r w:rsidRPr="00730B1E">
        <w:rPr>
          <w:color w:val="auto"/>
        </w:rPr>
        <w:t>: OS – vyřizování civilních věcí v letech 2014–20</w:t>
      </w:r>
      <w:bookmarkEnd w:id="178"/>
      <w:bookmarkEnd w:id="179"/>
      <w:bookmarkEnd w:id="180"/>
      <w:r w:rsidRPr="00730B1E">
        <w:rPr>
          <w:color w:val="auto"/>
        </w:rPr>
        <w:t>2</w:t>
      </w:r>
      <w:bookmarkEnd w:id="181"/>
      <w:bookmarkEnd w:id="182"/>
      <w:bookmarkEnd w:id="183"/>
      <w:r w:rsidRPr="00730B1E">
        <w:rPr>
          <w:color w:val="auto"/>
        </w:rPr>
        <w:t>3</w:t>
      </w:r>
      <w:bookmarkEnd w:id="184"/>
      <w:bookmarkEnd w:id="185"/>
    </w:p>
    <w:p w14:paraId="5D82142D" w14:textId="29354246" w:rsidR="00922FAC" w:rsidRPr="00730B1E" w:rsidRDefault="00922FAC" w:rsidP="00F25464">
      <w:r w:rsidRPr="00730B1E">
        <w:rPr>
          <w:noProof/>
          <w:lang w:eastAsia="cs-CZ"/>
        </w:rPr>
        <w:drawing>
          <wp:inline distT="0" distB="0" distL="0" distR="0" wp14:anchorId="3D09DD56" wp14:editId="6C703F32">
            <wp:extent cx="5029200" cy="36576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30B7F91" w14:textId="77777777" w:rsidR="00922FAC" w:rsidRPr="00730B1E" w:rsidRDefault="00922FAC" w:rsidP="00F25464"/>
    <w:p w14:paraId="24A46480" w14:textId="3FA26C0F" w:rsidR="004F5BD4" w:rsidRPr="00730B1E" w:rsidRDefault="00922FAC" w:rsidP="004F5BD4">
      <w:r w:rsidRPr="00730B1E">
        <w:t>V roce 2021 zůstal počet příchozích věcí v zásadě na úrovni roku 2020. Nápad byl zřejmě rovněž ovlivněn pandemií COVID-19. Počet vyřízených věcí ale výrazně narostl, což ukazuje, že počet vyřízených věcí v tomto roce pandemií příliš ovlivněn nebyl. V roce 2022 se počet příchozích věcí držel stále na stejné úrovni, počet vyřízených věcí velmi mírně klesl. Stále se ale bez problémů udržel nad počtem příchozích věcí. Výsledkem je další snížení v počtu nevyřízených věcí</w:t>
      </w:r>
      <w:r w:rsidR="00DF373B" w:rsidRPr="00730B1E">
        <w:t>. I v roce 2023 převýšil počet vyřízených věcí počet věcí příchozích. Výsledkem je tak nejnižší počet nevyřízených věcí za sledované období.</w:t>
      </w:r>
      <w:r w:rsidR="00F13014" w:rsidRPr="00730B1E">
        <w:t xml:space="preserve"> </w:t>
      </w:r>
    </w:p>
    <w:p w14:paraId="11957056" w14:textId="0A88815C" w:rsidR="00DF373B" w:rsidRPr="00730B1E" w:rsidRDefault="00DF373B" w:rsidP="00C77185">
      <w:pPr>
        <w:pStyle w:val="Podnadpis"/>
        <w:pageBreakBefore/>
        <w:rPr>
          <w:color w:val="auto"/>
        </w:rPr>
      </w:pPr>
      <w:bookmarkStart w:id="186" w:name="_Toc144104249"/>
      <w:bookmarkStart w:id="187" w:name="_Toc169251066"/>
      <w:bookmarkStart w:id="188" w:name="_Toc174080752"/>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9</w:t>
      </w:r>
      <w:r w:rsidRPr="00730B1E">
        <w:rPr>
          <w:noProof/>
          <w:color w:val="auto"/>
        </w:rPr>
        <w:fldChar w:fldCharType="end"/>
      </w:r>
      <w:r w:rsidRPr="00730B1E">
        <w:rPr>
          <w:color w:val="auto"/>
        </w:rPr>
        <w:t>: OS – vyřizování civilních věcí dle krajů</w:t>
      </w:r>
      <w:bookmarkEnd w:id="186"/>
      <w:r w:rsidR="00955E6B" w:rsidRPr="00730B1E">
        <w:rPr>
          <w:color w:val="auto"/>
        </w:rPr>
        <w:t>, 2023</w:t>
      </w:r>
      <w:bookmarkEnd w:id="187"/>
      <w:bookmarkEnd w:id="188"/>
    </w:p>
    <w:tbl>
      <w:tblPr>
        <w:tblW w:w="9140" w:type="dxa"/>
        <w:tblCellMar>
          <w:left w:w="70" w:type="dxa"/>
          <w:right w:w="70" w:type="dxa"/>
        </w:tblCellMar>
        <w:tblLook w:val="04A0" w:firstRow="1" w:lastRow="0" w:firstColumn="1" w:lastColumn="0" w:noHBand="0" w:noVBand="1"/>
      </w:tblPr>
      <w:tblGrid>
        <w:gridCol w:w="2020"/>
        <w:gridCol w:w="1082"/>
        <w:gridCol w:w="868"/>
        <w:gridCol w:w="1056"/>
        <w:gridCol w:w="759"/>
        <w:gridCol w:w="1056"/>
        <w:gridCol w:w="759"/>
        <w:gridCol w:w="1540"/>
      </w:tblGrid>
      <w:tr w:rsidR="00B64E96" w:rsidRPr="00730B1E" w14:paraId="3DF41959" w14:textId="77777777" w:rsidTr="00DF373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6C07AD1A" w14:textId="77777777"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7D88A073" w14:textId="77777777"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7D804C17" w14:textId="77777777"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0CD9FD5D" w14:textId="77777777" w:rsidTr="00DF373B">
        <w:trPr>
          <w:trHeight w:val="330"/>
        </w:trPr>
        <w:tc>
          <w:tcPr>
            <w:tcW w:w="2020" w:type="dxa"/>
            <w:vMerge/>
            <w:tcBorders>
              <w:top w:val="double" w:sz="6" w:space="0" w:color="auto"/>
              <w:left w:val="nil"/>
              <w:bottom w:val="double" w:sz="6" w:space="0" w:color="000000"/>
              <w:right w:val="nil"/>
            </w:tcBorders>
            <w:vAlign w:val="center"/>
            <w:hideMark/>
          </w:tcPr>
          <w:p w14:paraId="587D4312" w14:textId="77777777" w:rsidR="00DF373B" w:rsidRPr="00730B1E" w:rsidRDefault="00DF373B" w:rsidP="00DF373B">
            <w:pPr>
              <w:spacing w:line="240" w:lineRule="auto"/>
              <w:jc w:val="left"/>
              <w:rPr>
                <w:rFonts w:eastAsia="Times New Roman"/>
                <w:b/>
                <w:bCs/>
                <w:szCs w:val="24"/>
                <w:lang w:eastAsia="cs-CZ"/>
              </w:rPr>
            </w:pPr>
          </w:p>
        </w:tc>
        <w:tc>
          <w:tcPr>
            <w:tcW w:w="1950" w:type="dxa"/>
            <w:gridSpan w:val="2"/>
            <w:tcBorders>
              <w:top w:val="nil"/>
              <w:left w:val="nil"/>
              <w:bottom w:val="double" w:sz="6" w:space="0" w:color="auto"/>
              <w:right w:val="nil"/>
            </w:tcBorders>
            <w:shd w:val="clear" w:color="auto" w:fill="auto"/>
            <w:noWrap/>
            <w:vAlign w:val="center"/>
            <w:hideMark/>
          </w:tcPr>
          <w:p w14:paraId="5882FE47" w14:textId="14D65E6C"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81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461C37C" w14:textId="77777777"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815" w:type="dxa"/>
            <w:gridSpan w:val="2"/>
            <w:tcBorders>
              <w:top w:val="nil"/>
              <w:left w:val="nil"/>
              <w:bottom w:val="double" w:sz="6" w:space="0" w:color="auto"/>
              <w:right w:val="single" w:sz="4" w:space="0" w:color="000000"/>
            </w:tcBorders>
            <w:shd w:val="clear" w:color="auto" w:fill="auto"/>
            <w:noWrap/>
            <w:vAlign w:val="center"/>
            <w:hideMark/>
          </w:tcPr>
          <w:p w14:paraId="25952FC9" w14:textId="77777777"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6756ED49" w14:textId="77777777" w:rsidR="00DF373B" w:rsidRPr="00730B1E" w:rsidRDefault="00DF373B" w:rsidP="00DF373B">
            <w:pPr>
              <w:spacing w:line="240" w:lineRule="auto"/>
              <w:jc w:val="left"/>
              <w:rPr>
                <w:rFonts w:eastAsia="Times New Roman"/>
                <w:b/>
                <w:bCs/>
                <w:szCs w:val="24"/>
                <w:lang w:eastAsia="cs-CZ"/>
              </w:rPr>
            </w:pPr>
          </w:p>
        </w:tc>
      </w:tr>
      <w:tr w:rsidR="00B64E96" w:rsidRPr="00730B1E" w14:paraId="44F12082" w14:textId="77777777" w:rsidTr="00DF373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1D98538" w14:textId="77777777" w:rsidR="00DF373B" w:rsidRPr="00730B1E" w:rsidRDefault="00DF373B" w:rsidP="00DF373B">
            <w:pPr>
              <w:spacing w:line="240" w:lineRule="auto"/>
              <w:jc w:val="left"/>
              <w:rPr>
                <w:rFonts w:eastAsia="Times New Roman"/>
                <w:szCs w:val="24"/>
                <w:lang w:eastAsia="cs-CZ"/>
              </w:rPr>
            </w:pPr>
            <w:r w:rsidRPr="00730B1E">
              <w:rPr>
                <w:rFonts w:eastAsia="Times New Roman"/>
                <w:szCs w:val="24"/>
                <w:lang w:eastAsia="cs-CZ"/>
              </w:rPr>
              <w:t>MS Praha</w:t>
            </w:r>
          </w:p>
        </w:tc>
        <w:tc>
          <w:tcPr>
            <w:tcW w:w="1082" w:type="dxa"/>
            <w:tcBorders>
              <w:top w:val="single" w:sz="4" w:space="0" w:color="auto"/>
              <w:left w:val="nil"/>
              <w:bottom w:val="single" w:sz="4" w:space="0" w:color="auto"/>
              <w:right w:val="nil"/>
            </w:tcBorders>
            <w:shd w:val="clear" w:color="auto" w:fill="auto"/>
            <w:noWrap/>
            <w:vAlign w:val="bottom"/>
            <w:hideMark/>
          </w:tcPr>
          <w:p w14:paraId="30D8842B" w14:textId="3F5CDDA6"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51</w:t>
            </w:r>
            <w:r w:rsidR="0063193E" w:rsidRPr="00730B1E">
              <w:rPr>
                <w:rFonts w:eastAsia="Times New Roman"/>
                <w:szCs w:val="24"/>
                <w:lang w:eastAsia="cs-CZ"/>
              </w:rPr>
              <w:t xml:space="preserve"> </w:t>
            </w:r>
            <w:r w:rsidRPr="00730B1E">
              <w:rPr>
                <w:rFonts w:eastAsia="Times New Roman"/>
                <w:szCs w:val="24"/>
                <w:lang w:eastAsia="cs-CZ"/>
              </w:rPr>
              <w:t>094</w:t>
            </w:r>
          </w:p>
        </w:tc>
        <w:tc>
          <w:tcPr>
            <w:tcW w:w="868" w:type="dxa"/>
            <w:tcBorders>
              <w:top w:val="single" w:sz="4" w:space="0" w:color="auto"/>
              <w:left w:val="nil"/>
              <w:bottom w:val="single" w:sz="4" w:space="0" w:color="auto"/>
              <w:right w:val="nil"/>
            </w:tcBorders>
            <w:shd w:val="clear" w:color="auto" w:fill="auto"/>
            <w:noWrap/>
            <w:vAlign w:val="center"/>
            <w:hideMark/>
          </w:tcPr>
          <w:p w14:paraId="7D5342C1"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-13 %  </w:t>
            </w:r>
          </w:p>
        </w:tc>
        <w:tc>
          <w:tcPr>
            <w:tcW w:w="1056" w:type="dxa"/>
            <w:tcBorders>
              <w:top w:val="single" w:sz="4" w:space="0" w:color="auto"/>
              <w:left w:val="single" w:sz="4" w:space="0" w:color="auto"/>
              <w:bottom w:val="single" w:sz="4" w:space="0" w:color="auto"/>
              <w:right w:val="nil"/>
            </w:tcBorders>
            <w:shd w:val="clear" w:color="auto" w:fill="auto"/>
            <w:noWrap/>
            <w:vAlign w:val="bottom"/>
            <w:hideMark/>
          </w:tcPr>
          <w:p w14:paraId="7E34DDD8" w14:textId="086FEA3A"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55</w:t>
            </w:r>
            <w:r w:rsidR="0063193E" w:rsidRPr="00730B1E">
              <w:rPr>
                <w:rFonts w:eastAsia="Times New Roman"/>
                <w:szCs w:val="24"/>
                <w:lang w:eastAsia="cs-CZ"/>
              </w:rPr>
              <w:t xml:space="preserve"> </w:t>
            </w:r>
            <w:r w:rsidRPr="00730B1E">
              <w:rPr>
                <w:rFonts w:eastAsia="Times New Roman"/>
                <w:szCs w:val="24"/>
                <w:lang w:eastAsia="cs-CZ"/>
              </w:rPr>
              <w:t>304</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14:paraId="4D2FB1DC"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-15 %  </w:t>
            </w:r>
          </w:p>
        </w:tc>
        <w:tc>
          <w:tcPr>
            <w:tcW w:w="1056" w:type="dxa"/>
            <w:tcBorders>
              <w:top w:val="single" w:sz="4" w:space="0" w:color="auto"/>
              <w:left w:val="nil"/>
              <w:bottom w:val="single" w:sz="4" w:space="0" w:color="auto"/>
              <w:right w:val="nil"/>
            </w:tcBorders>
            <w:shd w:val="clear" w:color="auto" w:fill="auto"/>
            <w:noWrap/>
            <w:vAlign w:val="bottom"/>
            <w:hideMark/>
          </w:tcPr>
          <w:p w14:paraId="39C731A5" w14:textId="47EDFDC6"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21</w:t>
            </w:r>
            <w:r w:rsidR="0063193E" w:rsidRPr="00730B1E">
              <w:rPr>
                <w:rFonts w:eastAsia="Times New Roman"/>
                <w:szCs w:val="24"/>
                <w:lang w:eastAsia="cs-CZ"/>
              </w:rPr>
              <w:t xml:space="preserve"> </w:t>
            </w:r>
            <w:r w:rsidRPr="00730B1E">
              <w:rPr>
                <w:rFonts w:eastAsia="Times New Roman"/>
                <w:szCs w:val="24"/>
                <w:lang w:eastAsia="cs-CZ"/>
              </w:rPr>
              <w:t>580</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14:paraId="29C84FEC"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-16 %  </w:t>
            </w:r>
          </w:p>
        </w:tc>
        <w:tc>
          <w:tcPr>
            <w:tcW w:w="1540" w:type="dxa"/>
            <w:tcBorders>
              <w:top w:val="nil"/>
              <w:left w:val="nil"/>
              <w:bottom w:val="single" w:sz="4" w:space="0" w:color="auto"/>
              <w:right w:val="nil"/>
            </w:tcBorders>
            <w:shd w:val="clear" w:color="auto" w:fill="auto"/>
            <w:noWrap/>
            <w:vAlign w:val="center"/>
            <w:hideMark/>
          </w:tcPr>
          <w:p w14:paraId="04AEE76E" w14:textId="428EA79E"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108,2 %</w:t>
            </w:r>
          </w:p>
        </w:tc>
      </w:tr>
      <w:tr w:rsidR="00B64E96" w:rsidRPr="00730B1E" w14:paraId="350FF02E" w14:textId="77777777" w:rsidTr="00DF373B">
        <w:trPr>
          <w:trHeight w:val="315"/>
        </w:trPr>
        <w:tc>
          <w:tcPr>
            <w:tcW w:w="2020" w:type="dxa"/>
            <w:tcBorders>
              <w:top w:val="nil"/>
              <w:left w:val="nil"/>
              <w:bottom w:val="single" w:sz="4" w:space="0" w:color="auto"/>
              <w:right w:val="nil"/>
            </w:tcBorders>
            <w:shd w:val="clear" w:color="auto" w:fill="auto"/>
            <w:noWrap/>
            <w:vAlign w:val="bottom"/>
            <w:hideMark/>
          </w:tcPr>
          <w:p w14:paraId="7178E1E2" w14:textId="77777777" w:rsidR="00DF373B" w:rsidRPr="00730B1E" w:rsidRDefault="00DF373B" w:rsidP="00DF373B">
            <w:pPr>
              <w:spacing w:line="240" w:lineRule="auto"/>
              <w:jc w:val="left"/>
              <w:rPr>
                <w:rFonts w:eastAsia="Times New Roman"/>
                <w:szCs w:val="24"/>
                <w:lang w:eastAsia="cs-CZ"/>
              </w:rPr>
            </w:pPr>
            <w:r w:rsidRPr="00730B1E">
              <w:rPr>
                <w:rFonts w:eastAsia="Times New Roman"/>
                <w:szCs w:val="24"/>
                <w:lang w:eastAsia="cs-CZ"/>
              </w:rPr>
              <w:t>KS Praha</w:t>
            </w:r>
          </w:p>
        </w:tc>
        <w:tc>
          <w:tcPr>
            <w:tcW w:w="1082" w:type="dxa"/>
            <w:tcBorders>
              <w:top w:val="nil"/>
              <w:left w:val="nil"/>
              <w:bottom w:val="single" w:sz="4" w:space="0" w:color="auto"/>
              <w:right w:val="nil"/>
            </w:tcBorders>
            <w:shd w:val="clear" w:color="auto" w:fill="auto"/>
            <w:noWrap/>
            <w:vAlign w:val="bottom"/>
            <w:hideMark/>
          </w:tcPr>
          <w:p w14:paraId="457E7FF4" w14:textId="79FFED6F"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35</w:t>
            </w:r>
            <w:r w:rsidR="0063193E" w:rsidRPr="00730B1E">
              <w:rPr>
                <w:rFonts w:eastAsia="Times New Roman"/>
                <w:szCs w:val="24"/>
                <w:lang w:eastAsia="cs-CZ"/>
              </w:rPr>
              <w:t xml:space="preserve"> </w:t>
            </w:r>
            <w:r w:rsidRPr="00730B1E">
              <w:rPr>
                <w:rFonts w:eastAsia="Times New Roman"/>
                <w:szCs w:val="24"/>
                <w:lang w:eastAsia="cs-CZ"/>
              </w:rPr>
              <w:t>429</w:t>
            </w:r>
          </w:p>
        </w:tc>
        <w:tc>
          <w:tcPr>
            <w:tcW w:w="868" w:type="dxa"/>
            <w:tcBorders>
              <w:top w:val="nil"/>
              <w:left w:val="nil"/>
              <w:bottom w:val="single" w:sz="4" w:space="0" w:color="auto"/>
              <w:right w:val="nil"/>
            </w:tcBorders>
            <w:shd w:val="clear" w:color="auto" w:fill="auto"/>
            <w:noWrap/>
            <w:vAlign w:val="center"/>
            <w:hideMark/>
          </w:tcPr>
          <w:p w14:paraId="20FFA05D"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c>
          <w:tcPr>
            <w:tcW w:w="1056" w:type="dxa"/>
            <w:tcBorders>
              <w:top w:val="nil"/>
              <w:left w:val="single" w:sz="4" w:space="0" w:color="auto"/>
              <w:bottom w:val="single" w:sz="4" w:space="0" w:color="auto"/>
              <w:right w:val="nil"/>
            </w:tcBorders>
            <w:shd w:val="clear" w:color="auto" w:fill="auto"/>
            <w:noWrap/>
            <w:vAlign w:val="bottom"/>
            <w:hideMark/>
          </w:tcPr>
          <w:p w14:paraId="09B7D8C5" w14:textId="60427620"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35</w:t>
            </w:r>
            <w:r w:rsidR="0063193E" w:rsidRPr="00730B1E">
              <w:rPr>
                <w:rFonts w:eastAsia="Times New Roman"/>
                <w:szCs w:val="24"/>
                <w:lang w:eastAsia="cs-CZ"/>
              </w:rPr>
              <w:t xml:space="preserve"> </w:t>
            </w:r>
            <w:r w:rsidRPr="00730B1E">
              <w:rPr>
                <w:rFonts w:eastAsia="Times New Roman"/>
                <w:szCs w:val="24"/>
                <w:lang w:eastAsia="cs-CZ"/>
              </w:rPr>
              <w:t>927</w:t>
            </w:r>
          </w:p>
        </w:tc>
        <w:tc>
          <w:tcPr>
            <w:tcW w:w="759" w:type="dxa"/>
            <w:tcBorders>
              <w:top w:val="nil"/>
              <w:left w:val="nil"/>
              <w:bottom w:val="single" w:sz="4" w:space="0" w:color="auto"/>
              <w:right w:val="single" w:sz="4" w:space="0" w:color="auto"/>
            </w:tcBorders>
            <w:shd w:val="clear" w:color="auto" w:fill="auto"/>
            <w:noWrap/>
            <w:vAlign w:val="center"/>
            <w:hideMark/>
          </w:tcPr>
          <w:p w14:paraId="6D03ADE5"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-4 %  </w:t>
            </w:r>
          </w:p>
        </w:tc>
        <w:tc>
          <w:tcPr>
            <w:tcW w:w="1056" w:type="dxa"/>
            <w:tcBorders>
              <w:top w:val="nil"/>
              <w:left w:val="nil"/>
              <w:bottom w:val="single" w:sz="4" w:space="0" w:color="auto"/>
              <w:right w:val="nil"/>
            </w:tcBorders>
            <w:shd w:val="clear" w:color="auto" w:fill="auto"/>
            <w:noWrap/>
            <w:vAlign w:val="bottom"/>
            <w:hideMark/>
          </w:tcPr>
          <w:p w14:paraId="41330A1A" w14:textId="069D8207"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8</w:t>
            </w:r>
            <w:r w:rsidR="0063193E" w:rsidRPr="00730B1E">
              <w:rPr>
                <w:rFonts w:eastAsia="Times New Roman"/>
                <w:szCs w:val="24"/>
                <w:lang w:eastAsia="cs-CZ"/>
              </w:rPr>
              <w:t xml:space="preserve"> </w:t>
            </w:r>
            <w:r w:rsidRPr="00730B1E">
              <w:rPr>
                <w:rFonts w:eastAsia="Times New Roman"/>
                <w:szCs w:val="24"/>
                <w:lang w:eastAsia="cs-CZ"/>
              </w:rPr>
              <w:t>780</w:t>
            </w:r>
          </w:p>
        </w:tc>
        <w:tc>
          <w:tcPr>
            <w:tcW w:w="759" w:type="dxa"/>
            <w:tcBorders>
              <w:top w:val="nil"/>
              <w:left w:val="nil"/>
              <w:bottom w:val="single" w:sz="4" w:space="0" w:color="auto"/>
              <w:right w:val="single" w:sz="4" w:space="0" w:color="auto"/>
            </w:tcBorders>
            <w:shd w:val="clear" w:color="auto" w:fill="auto"/>
            <w:noWrap/>
            <w:vAlign w:val="center"/>
            <w:hideMark/>
          </w:tcPr>
          <w:p w14:paraId="5E174E1A"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1540" w:type="dxa"/>
            <w:tcBorders>
              <w:top w:val="nil"/>
              <w:left w:val="nil"/>
              <w:bottom w:val="single" w:sz="4" w:space="0" w:color="auto"/>
              <w:right w:val="nil"/>
            </w:tcBorders>
            <w:shd w:val="clear" w:color="auto" w:fill="auto"/>
            <w:noWrap/>
            <w:vAlign w:val="center"/>
            <w:hideMark/>
          </w:tcPr>
          <w:p w14:paraId="3F1C204D" w14:textId="102CBA46"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101,4 %</w:t>
            </w:r>
          </w:p>
        </w:tc>
      </w:tr>
      <w:tr w:rsidR="00B64E96" w:rsidRPr="00730B1E" w14:paraId="3C306CAE" w14:textId="77777777" w:rsidTr="00DF373B">
        <w:trPr>
          <w:trHeight w:val="315"/>
        </w:trPr>
        <w:tc>
          <w:tcPr>
            <w:tcW w:w="2020" w:type="dxa"/>
            <w:tcBorders>
              <w:top w:val="nil"/>
              <w:left w:val="nil"/>
              <w:bottom w:val="single" w:sz="4" w:space="0" w:color="auto"/>
              <w:right w:val="nil"/>
            </w:tcBorders>
            <w:shd w:val="clear" w:color="auto" w:fill="auto"/>
            <w:noWrap/>
            <w:vAlign w:val="bottom"/>
            <w:hideMark/>
          </w:tcPr>
          <w:p w14:paraId="3F7DF61E" w14:textId="77777777" w:rsidR="00DF373B" w:rsidRPr="00730B1E" w:rsidRDefault="00DF373B" w:rsidP="00DF373B">
            <w:pPr>
              <w:spacing w:line="240" w:lineRule="auto"/>
              <w:jc w:val="left"/>
              <w:rPr>
                <w:rFonts w:eastAsia="Times New Roman"/>
                <w:szCs w:val="24"/>
                <w:lang w:eastAsia="cs-CZ"/>
              </w:rPr>
            </w:pPr>
            <w:r w:rsidRPr="00730B1E">
              <w:rPr>
                <w:rFonts w:eastAsia="Times New Roman"/>
                <w:szCs w:val="24"/>
                <w:lang w:eastAsia="cs-CZ"/>
              </w:rPr>
              <w:t>KS Č. Budějovice</w:t>
            </w:r>
          </w:p>
        </w:tc>
        <w:tc>
          <w:tcPr>
            <w:tcW w:w="1082" w:type="dxa"/>
            <w:tcBorders>
              <w:top w:val="nil"/>
              <w:left w:val="nil"/>
              <w:bottom w:val="single" w:sz="4" w:space="0" w:color="auto"/>
              <w:right w:val="nil"/>
            </w:tcBorders>
            <w:shd w:val="clear" w:color="auto" w:fill="auto"/>
            <w:noWrap/>
            <w:vAlign w:val="bottom"/>
            <w:hideMark/>
          </w:tcPr>
          <w:p w14:paraId="5E57BBD5" w14:textId="5131FA89"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15</w:t>
            </w:r>
            <w:r w:rsidR="0063193E" w:rsidRPr="00730B1E">
              <w:rPr>
                <w:rFonts w:eastAsia="Times New Roman"/>
                <w:szCs w:val="24"/>
                <w:lang w:eastAsia="cs-CZ"/>
              </w:rPr>
              <w:t xml:space="preserve"> </w:t>
            </w:r>
            <w:r w:rsidRPr="00730B1E">
              <w:rPr>
                <w:rFonts w:eastAsia="Times New Roman"/>
                <w:szCs w:val="24"/>
                <w:lang w:eastAsia="cs-CZ"/>
              </w:rPr>
              <w:t>561</w:t>
            </w:r>
          </w:p>
        </w:tc>
        <w:tc>
          <w:tcPr>
            <w:tcW w:w="868" w:type="dxa"/>
            <w:tcBorders>
              <w:top w:val="nil"/>
              <w:left w:val="nil"/>
              <w:bottom w:val="single" w:sz="4" w:space="0" w:color="auto"/>
              <w:right w:val="nil"/>
            </w:tcBorders>
            <w:shd w:val="clear" w:color="auto" w:fill="auto"/>
            <w:noWrap/>
            <w:vAlign w:val="center"/>
            <w:hideMark/>
          </w:tcPr>
          <w:p w14:paraId="66CDB989"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-9 %  </w:t>
            </w:r>
          </w:p>
        </w:tc>
        <w:tc>
          <w:tcPr>
            <w:tcW w:w="1056" w:type="dxa"/>
            <w:tcBorders>
              <w:top w:val="nil"/>
              <w:left w:val="single" w:sz="4" w:space="0" w:color="auto"/>
              <w:bottom w:val="single" w:sz="4" w:space="0" w:color="auto"/>
              <w:right w:val="nil"/>
            </w:tcBorders>
            <w:shd w:val="clear" w:color="auto" w:fill="auto"/>
            <w:noWrap/>
            <w:vAlign w:val="bottom"/>
            <w:hideMark/>
          </w:tcPr>
          <w:p w14:paraId="7D53B0D4" w14:textId="43AC5AA3"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15</w:t>
            </w:r>
            <w:r w:rsidR="0063193E" w:rsidRPr="00730B1E">
              <w:rPr>
                <w:rFonts w:eastAsia="Times New Roman"/>
                <w:szCs w:val="24"/>
                <w:lang w:eastAsia="cs-CZ"/>
              </w:rPr>
              <w:t xml:space="preserve"> </w:t>
            </w:r>
            <w:r w:rsidRPr="00730B1E">
              <w:rPr>
                <w:rFonts w:eastAsia="Times New Roman"/>
                <w:szCs w:val="24"/>
                <w:lang w:eastAsia="cs-CZ"/>
              </w:rPr>
              <w:t>745</w:t>
            </w:r>
          </w:p>
        </w:tc>
        <w:tc>
          <w:tcPr>
            <w:tcW w:w="759" w:type="dxa"/>
            <w:tcBorders>
              <w:top w:val="nil"/>
              <w:left w:val="nil"/>
              <w:bottom w:val="single" w:sz="4" w:space="0" w:color="auto"/>
              <w:right w:val="single" w:sz="4" w:space="0" w:color="auto"/>
            </w:tcBorders>
            <w:shd w:val="clear" w:color="auto" w:fill="auto"/>
            <w:noWrap/>
            <w:vAlign w:val="center"/>
            <w:hideMark/>
          </w:tcPr>
          <w:p w14:paraId="0EB3C315"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-7 %  </w:t>
            </w:r>
          </w:p>
        </w:tc>
        <w:tc>
          <w:tcPr>
            <w:tcW w:w="1056" w:type="dxa"/>
            <w:tcBorders>
              <w:top w:val="nil"/>
              <w:left w:val="nil"/>
              <w:bottom w:val="single" w:sz="4" w:space="0" w:color="auto"/>
              <w:right w:val="nil"/>
            </w:tcBorders>
            <w:shd w:val="clear" w:color="auto" w:fill="auto"/>
            <w:noWrap/>
            <w:vAlign w:val="bottom"/>
            <w:hideMark/>
          </w:tcPr>
          <w:p w14:paraId="214FBF18" w14:textId="5BA821E2"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3</w:t>
            </w:r>
            <w:r w:rsidR="0063193E" w:rsidRPr="00730B1E">
              <w:rPr>
                <w:rFonts w:eastAsia="Times New Roman"/>
                <w:szCs w:val="24"/>
                <w:lang w:eastAsia="cs-CZ"/>
              </w:rPr>
              <w:t xml:space="preserve"> </w:t>
            </w:r>
            <w:r w:rsidRPr="00730B1E">
              <w:rPr>
                <w:rFonts w:eastAsia="Times New Roman"/>
                <w:szCs w:val="24"/>
                <w:lang w:eastAsia="cs-CZ"/>
              </w:rPr>
              <w:t>210</w:t>
            </w:r>
          </w:p>
        </w:tc>
        <w:tc>
          <w:tcPr>
            <w:tcW w:w="759" w:type="dxa"/>
            <w:tcBorders>
              <w:top w:val="nil"/>
              <w:left w:val="nil"/>
              <w:bottom w:val="single" w:sz="4" w:space="0" w:color="auto"/>
              <w:right w:val="single" w:sz="4" w:space="0" w:color="auto"/>
            </w:tcBorders>
            <w:shd w:val="clear" w:color="auto" w:fill="auto"/>
            <w:noWrap/>
            <w:vAlign w:val="center"/>
            <w:hideMark/>
          </w:tcPr>
          <w:p w14:paraId="0B62B39E"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1540" w:type="dxa"/>
            <w:tcBorders>
              <w:top w:val="nil"/>
              <w:left w:val="nil"/>
              <w:bottom w:val="single" w:sz="4" w:space="0" w:color="auto"/>
              <w:right w:val="nil"/>
            </w:tcBorders>
            <w:shd w:val="clear" w:color="auto" w:fill="auto"/>
            <w:noWrap/>
            <w:vAlign w:val="center"/>
            <w:hideMark/>
          </w:tcPr>
          <w:p w14:paraId="64917B34" w14:textId="644E3761"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101,2 %</w:t>
            </w:r>
          </w:p>
        </w:tc>
      </w:tr>
      <w:tr w:rsidR="00B64E96" w:rsidRPr="00730B1E" w14:paraId="70A3192A" w14:textId="77777777" w:rsidTr="00DF373B">
        <w:trPr>
          <w:trHeight w:val="315"/>
        </w:trPr>
        <w:tc>
          <w:tcPr>
            <w:tcW w:w="2020" w:type="dxa"/>
            <w:tcBorders>
              <w:top w:val="nil"/>
              <w:left w:val="nil"/>
              <w:bottom w:val="single" w:sz="4" w:space="0" w:color="auto"/>
              <w:right w:val="nil"/>
            </w:tcBorders>
            <w:shd w:val="clear" w:color="auto" w:fill="auto"/>
            <w:noWrap/>
            <w:vAlign w:val="bottom"/>
            <w:hideMark/>
          </w:tcPr>
          <w:p w14:paraId="28C6338B" w14:textId="77777777" w:rsidR="00DF373B" w:rsidRPr="00730B1E" w:rsidRDefault="00DF373B" w:rsidP="00DF373B">
            <w:pPr>
              <w:spacing w:line="240" w:lineRule="auto"/>
              <w:jc w:val="left"/>
              <w:rPr>
                <w:rFonts w:eastAsia="Times New Roman"/>
                <w:szCs w:val="24"/>
                <w:lang w:eastAsia="cs-CZ"/>
              </w:rPr>
            </w:pPr>
            <w:r w:rsidRPr="00730B1E">
              <w:rPr>
                <w:rFonts w:eastAsia="Times New Roman"/>
                <w:szCs w:val="24"/>
                <w:lang w:eastAsia="cs-CZ"/>
              </w:rPr>
              <w:t>KS Plzeň</w:t>
            </w:r>
          </w:p>
        </w:tc>
        <w:tc>
          <w:tcPr>
            <w:tcW w:w="1082" w:type="dxa"/>
            <w:tcBorders>
              <w:top w:val="nil"/>
              <w:left w:val="nil"/>
              <w:bottom w:val="single" w:sz="4" w:space="0" w:color="auto"/>
              <w:right w:val="nil"/>
            </w:tcBorders>
            <w:shd w:val="clear" w:color="auto" w:fill="auto"/>
            <w:noWrap/>
            <w:vAlign w:val="bottom"/>
            <w:hideMark/>
          </w:tcPr>
          <w:p w14:paraId="56B4174A" w14:textId="01005264"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28</w:t>
            </w:r>
            <w:r w:rsidR="0063193E" w:rsidRPr="00730B1E">
              <w:rPr>
                <w:rFonts w:eastAsia="Times New Roman"/>
                <w:szCs w:val="24"/>
                <w:lang w:eastAsia="cs-CZ"/>
              </w:rPr>
              <w:t xml:space="preserve"> </w:t>
            </w:r>
            <w:r w:rsidRPr="00730B1E">
              <w:rPr>
                <w:rFonts w:eastAsia="Times New Roman"/>
                <w:szCs w:val="24"/>
                <w:lang w:eastAsia="cs-CZ"/>
              </w:rPr>
              <w:t>892</w:t>
            </w:r>
          </w:p>
        </w:tc>
        <w:tc>
          <w:tcPr>
            <w:tcW w:w="868" w:type="dxa"/>
            <w:tcBorders>
              <w:top w:val="nil"/>
              <w:left w:val="nil"/>
              <w:bottom w:val="single" w:sz="4" w:space="0" w:color="auto"/>
              <w:right w:val="nil"/>
            </w:tcBorders>
            <w:shd w:val="clear" w:color="auto" w:fill="auto"/>
            <w:noWrap/>
            <w:vAlign w:val="center"/>
            <w:hideMark/>
          </w:tcPr>
          <w:p w14:paraId="55EE49C6"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1056" w:type="dxa"/>
            <w:tcBorders>
              <w:top w:val="nil"/>
              <w:left w:val="single" w:sz="4" w:space="0" w:color="auto"/>
              <w:bottom w:val="single" w:sz="4" w:space="0" w:color="auto"/>
              <w:right w:val="nil"/>
            </w:tcBorders>
            <w:shd w:val="clear" w:color="auto" w:fill="auto"/>
            <w:noWrap/>
            <w:vAlign w:val="bottom"/>
            <w:hideMark/>
          </w:tcPr>
          <w:p w14:paraId="31910D3E" w14:textId="4E743416"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29</w:t>
            </w:r>
            <w:r w:rsidR="0063193E" w:rsidRPr="00730B1E">
              <w:rPr>
                <w:rFonts w:eastAsia="Times New Roman"/>
                <w:szCs w:val="24"/>
                <w:lang w:eastAsia="cs-CZ"/>
              </w:rPr>
              <w:t xml:space="preserve"> </w:t>
            </w:r>
            <w:r w:rsidRPr="00730B1E">
              <w:rPr>
                <w:rFonts w:eastAsia="Times New Roman"/>
                <w:szCs w:val="24"/>
                <w:lang w:eastAsia="cs-CZ"/>
              </w:rPr>
              <w:t>802</w:t>
            </w:r>
          </w:p>
        </w:tc>
        <w:tc>
          <w:tcPr>
            <w:tcW w:w="759" w:type="dxa"/>
            <w:tcBorders>
              <w:top w:val="nil"/>
              <w:left w:val="nil"/>
              <w:bottom w:val="single" w:sz="4" w:space="0" w:color="auto"/>
              <w:right w:val="single" w:sz="4" w:space="0" w:color="auto"/>
            </w:tcBorders>
            <w:shd w:val="clear" w:color="auto" w:fill="auto"/>
            <w:noWrap/>
            <w:vAlign w:val="center"/>
            <w:hideMark/>
          </w:tcPr>
          <w:p w14:paraId="24B5D4F9"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-2 %  </w:t>
            </w:r>
          </w:p>
        </w:tc>
        <w:tc>
          <w:tcPr>
            <w:tcW w:w="1056" w:type="dxa"/>
            <w:tcBorders>
              <w:top w:val="nil"/>
              <w:left w:val="nil"/>
              <w:bottom w:val="single" w:sz="4" w:space="0" w:color="auto"/>
              <w:right w:val="nil"/>
            </w:tcBorders>
            <w:shd w:val="clear" w:color="auto" w:fill="auto"/>
            <w:noWrap/>
            <w:vAlign w:val="bottom"/>
            <w:hideMark/>
          </w:tcPr>
          <w:p w14:paraId="6EB818F0" w14:textId="498DE874"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7</w:t>
            </w:r>
            <w:r w:rsidR="0063193E" w:rsidRPr="00730B1E">
              <w:rPr>
                <w:rFonts w:eastAsia="Times New Roman"/>
                <w:szCs w:val="24"/>
                <w:lang w:eastAsia="cs-CZ"/>
              </w:rPr>
              <w:t xml:space="preserve"> </w:t>
            </w:r>
            <w:r w:rsidRPr="00730B1E">
              <w:rPr>
                <w:rFonts w:eastAsia="Times New Roman"/>
                <w:szCs w:val="24"/>
                <w:lang w:eastAsia="cs-CZ"/>
              </w:rPr>
              <w:t>941</w:t>
            </w:r>
          </w:p>
        </w:tc>
        <w:tc>
          <w:tcPr>
            <w:tcW w:w="759" w:type="dxa"/>
            <w:tcBorders>
              <w:top w:val="nil"/>
              <w:left w:val="nil"/>
              <w:bottom w:val="single" w:sz="4" w:space="0" w:color="auto"/>
              <w:right w:val="single" w:sz="4" w:space="0" w:color="auto"/>
            </w:tcBorders>
            <w:shd w:val="clear" w:color="auto" w:fill="auto"/>
            <w:noWrap/>
            <w:vAlign w:val="center"/>
            <w:hideMark/>
          </w:tcPr>
          <w:p w14:paraId="27A1B024"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-10 %  </w:t>
            </w:r>
          </w:p>
        </w:tc>
        <w:tc>
          <w:tcPr>
            <w:tcW w:w="1540" w:type="dxa"/>
            <w:tcBorders>
              <w:top w:val="nil"/>
              <w:left w:val="nil"/>
              <w:bottom w:val="single" w:sz="4" w:space="0" w:color="auto"/>
              <w:right w:val="nil"/>
            </w:tcBorders>
            <w:shd w:val="clear" w:color="auto" w:fill="auto"/>
            <w:noWrap/>
            <w:vAlign w:val="center"/>
            <w:hideMark/>
          </w:tcPr>
          <w:p w14:paraId="00EF1FC9" w14:textId="110BD0A9"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103,1 %</w:t>
            </w:r>
          </w:p>
        </w:tc>
      </w:tr>
      <w:tr w:rsidR="00B64E96" w:rsidRPr="00730B1E" w14:paraId="24C81211" w14:textId="77777777" w:rsidTr="00DF373B">
        <w:trPr>
          <w:trHeight w:val="315"/>
        </w:trPr>
        <w:tc>
          <w:tcPr>
            <w:tcW w:w="2020" w:type="dxa"/>
            <w:tcBorders>
              <w:top w:val="nil"/>
              <w:left w:val="nil"/>
              <w:bottom w:val="single" w:sz="4" w:space="0" w:color="auto"/>
              <w:right w:val="nil"/>
            </w:tcBorders>
            <w:shd w:val="clear" w:color="auto" w:fill="auto"/>
            <w:noWrap/>
            <w:vAlign w:val="bottom"/>
            <w:hideMark/>
          </w:tcPr>
          <w:p w14:paraId="3C095479" w14:textId="77777777" w:rsidR="00DF373B" w:rsidRPr="00730B1E" w:rsidRDefault="00DF373B" w:rsidP="00DF373B">
            <w:pPr>
              <w:spacing w:line="240" w:lineRule="auto"/>
              <w:jc w:val="left"/>
              <w:rPr>
                <w:rFonts w:eastAsia="Times New Roman"/>
                <w:szCs w:val="24"/>
                <w:lang w:eastAsia="cs-CZ"/>
              </w:rPr>
            </w:pPr>
            <w:r w:rsidRPr="00730B1E">
              <w:rPr>
                <w:rFonts w:eastAsia="Times New Roman"/>
                <w:szCs w:val="24"/>
                <w:lang w:eastAsia="cs-CZ"/>
              </w:rPr>
              <w:t>KS Ústí n. Labem</w:t>
            </w:r>
          </w:p>
        </w:tc>
        <w:tc>
          <w:tcPr>
            <w:tcW w:w="1082" w:type="dxa"/>
            <w:tcBorders>
              <w:top w:val="nil"/>
              <w:left w:val="nil"/>
              <w:bottom w:val="single" w:sz="4" w:space="0" w:color="auto"/>
              <w:right w:val="nil"/>
            </w:tcBorders>
            <w:shd w:val="clear" w:color="auto" w:fill="auto"/>
            <w:noWrap/>
            <w:vAlign w:val="bottom"/>
            <w:hideMark/>
          </w:tcPr>
          <w:p w14:paraId="4CFA80D8" w14:textId="2A060583"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46</w:t>
            </w:r>
            <w:r w:rsidR="0063193E" w:rsidRPr="00730B1E">
              <w:rPr>
                <w:rFonts w:eastAsia="Times New Roman"/>
                <w:szCs w:val="24"/>
                <w:lang w:eastAsia="cs-CZ"/>
              </w:rPr>
              <w:t xml:space="preserve"> </w:t>
            </w:r>
            <w:r w:rsidRPr="00730B1E">
              <w:rPr>
                <w:rFonts w:eastAsia="Times New Roman"/>
                <w:szCs w:val="24"/>
                <w:lang w:eastAsia="cs-CZ"/>
              </w:rPr>
              <w:t>947</w:t>
            </w:r>
          </w:p>
        </w:tc>
        <w:tc>
          <w:tcPr>
            <w:tcW w:w="868" w:type="dxa"/>
            <w:tcBorders>
              <w:top w:val="nil"/>
              <w:left w:val="nil"/>
              <w:bottom w:val="single" w:sz="4" w:space="0" w:color="auto"/>
              <w:right w:val="nil"/>
            </w:tcBorders>
            <w:shd w:val="clear" w:color="auto" w:fill="auto"/>
            <w:noWrap/>
            <w:vAlign w:val="center"/>
            <w:hideMark/>
          </w:tcPr>
          <w:p w14:paraId="412DC4F9"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1056" w:type="dxa"/>
            <w:tcBorders>
              <w:top w:val="nil"/>
              <w:left w:val="single" w:sz="4" w:space="0" w:color="auto"/>
              <w:bottom w:val="single" w:sz="4" w:space="0" w:color="auto"/>
              <w:right w:val="nil"/>
            </w:tcBorders>
            <w:shd w:val="clear" w:color="auto" w:fill="auto"/>
            <w:noWrap/>
            <w:vAlign w:val="bottom"/>
            <w:hideMark/>
          </w:tcPr>
          <w:p w14:paraId="13EA4A85" w14:textId="598D7537"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49</w:t>
            </w:r>
            <w:r w:rsidR="0063193E" w:rsidRPr="00730B1E">
              <w:rPr>
                <w:rFonts w:eastAsia="Times New Roman"/>
                <w:szCs w:val="24"/>
                <w:lang w:eastAsia="cs-CZ"/>
              </w:rPr>
              <w:t xml:space="preserve"> </w:t>
            </w:r>
            <w:r w:rsidRPr="00730B1E">
              <w:rPr>
                <w:rFonts w:eastAsia="Times New Roman"/>
                <w:szCs w:val="24"/>
                <w:lang w:eastAsia="cs-CZ"/>
              </w:rPr>
              <w:t>003</w:t>
            </w:r>
          </w:p>
        </w:tc>
        <w:tc>
          <w:tcPr>
            <w:tcW w:w="759" w:type="dxa"/>
            <w:tcBorders>
              <w:top w:val="nil"/>
              <w:left w:val="nil"/>
              <w:bottom w:val="single" w:sz="4" w:space="0" w:color="auto"/>
              <w:right w:val="single" w:sz="4" w:space="0" w:color="auto"/>
            </w:tcBorders>
            <w:shd w:val="clear" w:color="auto" w:fill="auto"/>
            <w:noWrap/>
            <w:vAlign w:val="center"/>
            <w:hideMark/>
          </w:tcPr>
          <w:p w14:paraId="1E397D6D"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-2 %  </w:t>
            </w:r>
          </w:p>
        </w:tc>
        <w:tc>
          <w:tcPr>
            <w:tcW w:w="1056" w:type="dxa"/>
            <w:tcBorders>
              <w:top w:val="nil"/>
              <w:left w:val="nil"/>
              <w:bottom w:val="single" w:sz="4" w:space="0" w:color="auto"/>
              <w:right w:val="nil"/>
            </w:tcBorders>
            <w:shd w:val="clear" w:color="auto" w:fill="auto"/>
            <w:noWrap/>
            <w:vAlign w:val="bottom"/>
            <w:hideMark/>
          </w:tcPr>
          <w:p w14:paraId="1E8D7F6A" w14:textId="2B4D770A"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15</w:t>
            </w:r>
            <w:r w:rsidR="0063193E" w:rsidRPr="00730B1E">
              <w:rPr>
                <w:rFonts w:eastAsia="Times New Roman"/>
                <w:szCs w:val="24"/>
                <w:lang w:eastAsia="cs-CZ"/>
              </w:rPr>
              <w:t xml:space="preserve"> </w:t>
            </w:r>
            <w:r w:rsidRPr="00730B1E">
              <w:rPr>
                <w:rFonts w:eastAsia="Times New Roman"/>
                <w:szCs w:val="24"/>
                <w:lang w:eastAsia="cs-CZ"/>
              </w:rPr>
              <w:t>637</w:t>
            </w:r>
          </w:p>
        </w:tc>
        <w:tc>
          <w:tcPr>
            <w:tcW w:w="759" w:type="dxa"/>
            <w:tcBorders>
              <w:top w:val="nil"/>
              <w:left w:val="nil"/>
              <w:bottom w:val="single" w:sz="4" w:space="0" w:color="auto"/>
              <w:right w:val="single" w:sz="4" w:space="0" w:color="auto"/>
            </w:tcBorders>
            <w:shd w:val="clear" w:color="auto" w:fill="auto"/>
            <w:noWrap/>
            <w:vAlign w:val="center"/>
            <w:hideMark/>
          </w:tcPr>
          <w:p w14:paraId="355DBD8E"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-12 %  </w:t>
            </w:r>
          </w:p>
        </w:tc>
        <w:tc>
          <w:tcPr>
            <w:tcW w:w="1540" w:type="dxa"/>
            <w:tcBorders>
              <w:top w:val="nil"/>
              <w:left w:val="nil"/>
              <w:bottom w:val="single" w:sz="4" w:space="0" w:color="auto"/>
              <w:right w:val="nil"/>
            </w:tcBorders>
            <w:shd w:val="clear" w:color="auto" w:fill="auto"/>
            <w:noWrap/>
            <w:vAlign w:val="center"/>
            <w:hideMark/>
          </w:tcPr>
          <w:p w14:paraId="683DC554" w14:textId="68D26E02"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104,4 %</w:t>
            </w:r>
          </w:p>
        </w:tc>
      </w:tr>
      <w:tr w:rsidR="00B64E96" w:rsidRPr="00730B1E" w14:paraId="7735241F" w14:textId="77777777" w:rsidTr="00DF373B">
        <w:trPr>
          <w:trHeight w:val="315"/>
        </w:trPr>
        <w:tc>
          <w:tcPr>
            <w:tcW w:w="2020" w:type="dxa"/>
            <w:tcBorders>
              <w:top w:val="nil"/>
              <w:left w:val="nil"/>
              <w:bottom w:val="single" w:sz="4" w:space="0" w:color="auto"/>
              <w:right w:val="nil"/>
            </w:tcBorders>
            <w:shd w:val="clear" w:color="auto" w:fill="auto"/>
            <w:noWrap/>
            <w:vAlign w:val="bottom"/>
            <w:hideMark/>
          </w:tcPr>
          <w:p w14:paraId="2A69D4E4" w14:textId="77777777" w:rsidR="00DF373B" w:rsidRPr="00730B1E" w:rsidRDefault="00DF373B" w:rsidP="00DF373B">
            <w:pPr>
              <w:spacing w:line="240" w:lineRule="auto"/>
              <w:jc w:val="left"/>
              <w:rPr>
                <w:rFonts w:eastAsia="Times New Roman"/>
                <w:szCs w:val="24"/>
                <w:lang w:eastAsia="cs-CZ"/>
              </w:rPr>
            </w:pPr>
            <w:r w:rsidRPr="00730B1E">
              <w:rPr>
                <w:rFonts w:eastAsia="Times New Roman"/>
                <w:szCs w:val="24"/>
                <w:lang w:eastAsia="cs-CZ"/>
              </w:rPr>
              <w:t>KS Hr. Králové</w:t>
            </w:r>
          </w:p>
        </w:tc>
        <w:tc>
          <w:tcPr>
            <w:tcW w:w="1082" w:type="dxa"/>
            <w:tcBorders>
              <w:top w:val="nil"/>
              <w:left w:val="nil"/>
              <w:bottom w:val="single" w:sz="4" w:space="0" w:color="auto"/>
              <w:right w:val="nil"/>
            </w:tcBorders>
            <w:shd w:val="clear" w:color="auto" w:fill="auto"/>
            <w:noWrap/>
            <w:vAlign w:val="bottom"/>
            <w:hideMark/>
          </w:tcPr>
          <w:p w14:paraId="391909F1" w14:textId="6A169593"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27</w:t>
            </w:r>
            <w:r w:rsidR="0063193E" w:rsidRPr="00730B1E">
              <w:rPr>
                <w:rFonts w:eastAsia="Times New Roman"/>
                <w:szCs w:val="24"/>
                <w:lang w:eastAsia="cs-CZ"/>
              </w:rPr>
              <w:t xml:space="preserve"> </w:t>
            </w:r>
            <w:r w:rsidRPr="00730B1E">
              <w:rPr>
                <w:rFonts w:eastAsia="Times New Roman"/>
                <w:szCs w:val="24"/>
                <w:lang w:eastAsia="cs-CZ"/>
              </w:rPr>
              <w:t>349</w:t>
            </w:r>
          </w:p>
        </w:tc>
        <w:tc>
          <w:tcPr>
            <w:tcW w:w="868" w:type="dxa"/>
            <w:tcBorders>
              <w:top w:val="nil"/>
              <w:left w:val="nil"/>
              <w:bottom w:val="single" w:sz="4" w:space="0" w:color="auto"/>
              <w:right w:val="nil"/>
            </w:tcBorders>
            <w:shd w:val="clear" w:color="auto" w:fill="auto"/>
            <w:noWrap/>
            <w:vAlign w:val="center"/>
            <w:hideMark/>
          </w:tcPr>
          <w:p w14:paraId="109F3799"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-1 %  </w:t>
            </w:r>
          </w:p>
        </w:tc>
        <w:tc>
          <w:tcPr>
            <w:tcW w:w="1056" w:type="dxa"/>
            <w:tcBorders>
              <w:top w:val="nil"/>
              <w:left w:val="single" w:sz="4" w:space="0" w:color="auto"/>
              <w:bottom w:val="single" w:sz="4" w:space="0" w:color="auto"/>
              <w:right w:val="nil"/>
            </w:tcBorders>
            <w:shd w:val="clear" w:color="auto" w:fill="auto"/>
            <w:noWrap/>
            <w:vAlign w:val="bottom"/>
            <w:hideMark/>
          </w:tcPr>
          <w:p w14:paraId="4724A247" w14:textId="7A980A2F"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27</w:t>
            </w:r>
            <w:r w:rsidR="0063193E" w:rsidRPr="00730B1E">
              <w:rPr>
                <w:rFonts w:eastAsia="Times New Roman"/>
                <w:szCs w:val="24"/>
                <w:lang w:eastAsia="cs-CZ"/>
              </w:rPr>
              <w:t xml:space="preserve"> </w:t>
            </w:r>
            <w:r w:rsidRPr="00730B1E">
              <w:rPr>
                <w:rFonts w:eastAsia="Times New Roman"/>
                <w:szCs w:val="24"/>
                <w:lang w:eastAsia="cs-CZ"/>
              </w:rPr>
              <w:t>889</w:t>
            </w:r>
          </w:p>
        </w:tc>
        <w:tc>
          <w:tcPr>
            <w:tcW w:w="759" w:type="dxa"/>
            <w:tcBorders>
              <w:top w:val="nil"/>
              <w:left w:val="nil"/>
              <w:bottom w:val="single" w:sz="4" w:space="0" w:color="auto"/>
              <w:right w:val="single" w:sz="4" w:space="0" w:color="auto"/>
            </w:tcBorders>
            <w:shd w:val="clear" w:color="auto" w:fill="auto"/>
            <w:noWrap/>
            <w:vAlign w:val="center"/>
            <w:hideMark/>
          </w:tcPr>
          <w:p w14:paraId="63725263"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+4 %  </w:t>
            </w:r>
          </w:p>
        </w:tc>
        <w:tc>
          <w:tcPr>
            <w:tcW w:w="1056" w:type="dxa"/>
            <w:tcBorders>
              <w:top w:val="nil"/>
              <w:left w:val="nil"/>
              <w:bottom w:val="single" w:sz="4" w:space="0" w:color="auto"/>
              <w:right w:val="nil"/>
            </w:tcBorders>
            <w:shd w:val="clear" w:color="auto" w:fill="auto"/>
            <w:noWrap/>
            <w:vAlign w:val="bottom"/>
            <w:hideMark/>
          </w:tcPr>
          <w:p w14:paraId="33CF7C94" w14:textId="5945CC59"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8</w:t>
            </w:r>
            <w:r w:rsidR="0063193E" w:rsidRPr="00730B1E">
              <w:rPr>
                <w:rFonts w:eastAsia="Times New Roman"/>
                <w:szCs w:val="24"/>
                <w:lang w:eastAsia="cs-CZ"/>
              </w:rPr>
              <w:t xml:space="preserve"> </w:t>
            </w:r>
            <w:r w:rsidRPr="00730B1E">
              <w:rPr>
                <w:rFonts w:eastAsia="Times New Roman"/>
                <w:szCs w:val="24"/>
                <w:lang w:eastAsia="cs-CZ"/>
              </w:rPr>
              <w:t>296</w:t>
            </w:r>
          </w:p>
        </w:tc>
        <w:tc>
          <w:tcPr>
            <w:tcW w:w="759" w:type="dxa"/>
            <w:tcBorders>
              <w:top w:val="nil"/>
              <w:left w:val="nil"/>
              <w:bottom w:val="single" w:sz="4" w:space="0" w:color="auto"/>
              <w:right w:val="single" w:sz="4" w:space="0" w:color="auto"/>
            </w:tcBorders>
            <w:shd w:val="clear" w:color="auto" w:fill="auto"/>
            <w:noWrap/>
            <w:vAlign w:val="center"/>
            <w:hideMark/>
          </w:tcPr>
          <w:p w14:paraId="39EB00B9"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c>
          <w:tcPr>
            <w:tcW w:w="1540" w:type="dxa"/>
            <w:tcBorders>
              <w:top w:val="nil"/>
              <w:left w:val="nil"/>
              <w:bottom w:val="single" w:sz="4" w:space="0" w:color="auto"/>
              <w:right w:val="nil"/>
            </w:tcBorders>
            <w:shd w:val="clear" w:color="auto" w:fill="auto"/>
            <w:noWrap/>
            <w:vAlign w:val="center"/>
            <w:hideMark/>
          </w:tcPr>
          <w:p w14:paraId="07879393" w14:textId="1FA219D4"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102,0 %</w:t>
            </w:r>
          </w:p>
        </w:tc>
      </w:tr>
      <w:tr w:rsidR="00B64E96" w:rsidRPr="00730B1E" w14:paraId="195A6DCE" w14:textId="77777777" w:rsidTr="00DF373B">
        <w:trPr>
          <w:trHeight w:val="315"/>
        </w:trPr>
        <w:tc>
          <w:tcPr>
            <w:tcW w:w="2020" w:type="dxa"/>
            <w:tcBorders>
              <w:top w:val="nil"/>
              <w:left w:val="nil"/>
              <w:bottom w:val="single" w:sz="4" w:space="0" w:color="auto"/>
              <w:right w:val="nil"/>
            </w:tcBorders>
            <w:shd w:val="clear" w:color="auto" w:fill="auto"/>
            <w:noWrap/>
            <w:vAlign w:val="bottom"/>
            <w:hideMark/>
          </w:tcPr>
          <w:p w14:paraId="4CB7C288" w14:textId="77777777" w:rsidR="00DF373B" w:rsidRPr="00730B1E" w:rsidRDefault="00DF373B" w:rsidP="00DF373B">
            <w:pPr>
              <w:spacing w:line="240" w:lineRule="auto"/>
              <w:jc w:val="left"/>
              <w:rPr>
                <w:rFonts w:eastAsia="Times New Roman"/>
                <w:szCs w:val="24"/>
                <w:lang w:eastAsia="cs-CZ"/>
              </w:rPr>
            </w:pPr>
            <w:r w:rsidRPr="00730B1E">
              <w:rPr>
                <w:rFonts w:eastAsia="Times New Roman"/>
                <w:szCs w:val="24"/>
                <w:lang w:eastAsia="cs-CZ"/>
              </w:rPr>
              <w:t>KS Brno</w:t>
            </w:r>
          </w:p>
        </w:tc>
        <w:tc>
          <w:tcPr>
            <w:tcW w:w="1082" w:type="dxa"/>
            <w:tcBorders>
              <w:top w:val="nil"/>
              <w:left w:val="nil"/>
              <w:bottom w:val="single" w:sz="4" w:space="0" w:color="auto"/>
              <w:right w:val="nil"/>
            </w:tcBorders>
            <w:shd w:val="clear" w:color="auto" w:fill="auto"/>
            <w:noWrap/>
            <w:vAlign w:val="bottom"/>
            <w:hideMark/>
          </w:tcPr>
          <w:p w14:paraId="40AEAC41" w14:textId="1B8EFF2C"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43</w:t>
            </w:r>
            <w:r w:rsidR="0063193E" w:rsidRPr="00730B1E">
              <w:rPr>
                <w:rFonts w:eastAsia="Times New Roman"/>
                <w:szCs w:val="24"/>
                <w:lang w:eastAsia="cs-CZ"/>
              </w:rPr>
              <w:t xml:space="preserve"> </w:t>
            </w:r>
            <w:r w:rsidRPr="00730B1E">
              <w:rPr>
                <w:rFonts w:eastAsia="Times New Roman"/>
                <w:szCs w:val="24"/>
                <w:lang w:eastAsia="cs-CZ"/>
              </w:rPr>
              <w:t>722</w:t>
            </w:r>
          </w:p>
        </w:tc>
        <w:tc>
          <w:tcPr>
            <w:tcW w:w="868" w:type="dxa"/>
            <w:tcBorders>
              <w:top w:val="nil"/>
              <w:left w:val="nil"/>
              <w:bottom w:val="single" w:sz="4" w:space="0" w:color="auto"/>
              <w:right w:val="nil"/>
            </w:tcBorders>
            <w:shd w:val="clear" w:color="auto" w:fill="auto"/>
            <w:noWrap/>
            <w:vAlign w:val="center"/>
            <w:hideMark/>
          </w:tcPr>
          <w:p w14:paraId="08131315"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+2 %  </w:t>
            </w:r>
          </w:p>
        </w:tc>
        <w:tc>
          <w:tcPr>
            <w:tcW w:w="1056" w:type="dxa"/>
            <w:tcBorders>
              <w:top w:val="nil"/>
              <w:left w:val="single" w:sz="4" w:space="0" w:color="auto"/>
              <w:bottom w:val="single" w:sz="4" w:space="0" w:color="auto"/>
              <w:right w:val="nil"/>
            </w:tcBorders>
            <w:shd w:val="clear" w:color="auto" w:fill="auto"/>
            <w:noWrap/>
            <w:vAlign w:val="bottom"/>
            <w:hideMark/>
          </w:tcPr>
          <w:p w14:paraId="5ECFBB75" w14:textId="43A4A1AB"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44</w:t>
            </w:r>
            <w:r w:rsidR="0063193E" w:rsidRPr="00730B1E">
              <w:rPr>
                <w:rFonts w:eastAsia="Times New Roman"/>
                <w:szCs w:val="24"/>
                <w:lang w:eastAsia="cs-CZ"/>
              </w:rPr>
              <w:t xml:space="preserve"> </w:t>
            </w:r>
            <w:r w:rsidRPr="00730B1E">
              <w:rPr>
                <w:rFonts w:eastAsia="Times New Roman"/>
                <w:szCs w:val="24"/>
                <w:lang w:eastAsia="cs-CZ"/>
              </w:rPr>
              <w:t>630</w:t>
            </w:r>
          </w:p>
        </w:tc>
        <w:tc>
          <w:tcPr>
            <w:tcW w:w="759" w:type="dxa"/>
            <w:tcBorders>
              <w:top w:val="nil"/>
              <w:left w:val="nil"/>
              <w:bottom w:val="single" w:sz="4" w:space="0" w:color="auto"/>
              <w:right w:val="single" w:sz="4" w:space="0" w:color="auto"/>
            </w:tcBorders>
            <w:shd w:val="clear" w:color="auto" w:fill="auto"/>
            <w:noWrap/>
            <w:vAlign w:val="center"/>
            <w:hideMark/>
          </w:tcPr>
          <w:p w14:paraId="6257657F"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+2 %  </w:t>
            </w:r>
          </w:p>
        </w:tc>
        <w:tc>
          <w:tcPr>
            <w:tcW w:w="1056" w:type="dxa"/>
            <w:tcBorders>
              <w:top w:val="nil"/>
              <w:left w:val="nil"/>
              <w:bottom w:val="single" w:sz="4" w:space="0" w:color="auto"/>
              <w:right w:val="nil"/>
            </w:tcBorders>
            <w:shd w:val="clear" w:color="auto" w:fill="auto"/>
            <w:noWrap/>
            <w:vAlign w:val="bottom"/>
            <w:hideMark/>
          </w:tcPr>
          <w:p w14:paraId="4DDDABDA" w14:textId="7ECFFD91"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18</w:t>
            </w:r>
            <w:r w:rsidR="0063193E" w:rsidRPr="00730B1E">
              <w:rPr>
                <w:rFonts w:eastAsia="Times New Roman"/>
                <w:szCs w:val="24"/>
                <w:lang w:eastAsia="cs-CZ"/>
              </w:rPr>
              <w:t xml:space="preserve"> </w:t>
            </w:r>
            <w:r w:rsidRPr="00730B1E">
              <w:rPr>
                <w:rFonts w:eastAsia="Times New Roman"/>
                <w:szCs w:val="24"/>
                <w:lang w:eastAsia="cs-CZ"/>
              </w:rPr>
              <w:t>629</w:t>
            </w:r>
          </w:p>
        </w:tc>
        <w:tc>
          <w:tcPr>
            <w:tcW w:w="759" w:type="dxa"/>
            <w:tcBorders>
              <w:top w:val="nil"/>
              <w:left w:val="nil"/>
              <w:bottom w:val="single" w:sz="4" w:space="0" w:color="auto"/>
              <w:right w:val="single" w:sz="4" w:space="0" w:color="auto"/>
            </w:tcBorders>
            <w:shd w:val="clear" w:color="auto" w:fill="auto"/>
            <w:noWrap/>
            <w:vAlign w:val="center"/>
            <w:hideMark/>
          </w:tcPr>
          <w:p w14:paraId="4C16A78E"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1540" w:type="dxa"/>
            <w:tcBorders>
              <w:top w:val="nil"/>
              <w:left w:val="nil"/>
              <w:bottom w:val="single" w:sz="4" w:space="0" w:color="auto"/>
              <w:right w:val="nil"/>
            </w:tcBorders>
            <w:shd w:val="clear" w:color="auto" w:fill="auto"/>
            <w:noWrap/>
            <w:vAlign w:val="center"/>
            <w:hideMark/>
          </w:tcPr>
          <w:p w14:paraId="1C26D8DE" w14:textId="4180C207"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102,1 %</w:t>
            </w:r>
          </w:p>
        </w:tc>
      </w:tr>
      <w:tr w:rsidR="00B64E96" w:rsidRPr="00730B1E" w14:paraId="37EAD3C5" w14:textId="77777777" w:rsidTr="00DF373B">
        <w:trPr>
          <w:trHeight w:val="330"/>
        </w:trPr>
        <w:tc>
          <w:tcPr>
            <w:tcW w:w="2020" w:type="dxa"/>
            <w:tcBorders>
              <w:top w:val="nil"/>
              <w:left w:val="nil"/>
              <w:bottom w:val="double" w:sz="6" w:space="0" w:color="auto"/>
              <w:right w:val="nil"/>
            </w:tcBorders>
            <w:shd w:val="clear" w:color="auto" w:fill="auto"/>
            <w:noWrap/>
            <w:vAlign w:val="bottom"/>
            <w:hideMark/>
          </w:tcPr>
          <w:p w14:paraId="3D33314E" w14:textId="77777777" w:rsidR="00DF373B" w:rsidRPr="00730B1E" w:rsidRDefault="00DF373B" w:rsidP="00DF373B">
            <w:pPr>
              <w:spacing w:line="240" w:lineRule="auto"/>
              <w:jc w:val="left"/>
              <w:rPr>
                <w:rFonts w:eastAsia="Times New Roman"/>
                <w:szCs w:val="24"/>
                <w:lang w:eastAsia="cs-CZ"/>
              </w:rPr>
            </w:pPr>
            <w:r w:rsidRPr="00730B1E">
              <w:rPr>
                <w:rFonts w:eastAsia="Times New Roman"/>
                <w:szCs w:val="24"/>
                <w:lang w:eastAsia="cs-CZ"/>
              </w:rPr>
              <w:t>KS Ostrava</w:t>
            </w:r>
          </w:p>
        </w:tc>
        <w:tc>
          <w:tcPr>
            <w:tcW w:w="1082" w:type="dxa"/>
            <w:tcBorders>
              <w:top w:val="nil"/>
              <w:left w:val="nil"/>
              <w:bottom w:val="double" w:sz="6" w:space="0" w:color="auto"/>
              <w:right w:val="nil"/>
            </w:tcBorders>
            <w:shd w:val="clear" w:color="auto" w:fill="auto"/>
            <w:noWrap/>
            <w:vAlign w:val="bottom"/>
            <w:hideMark/>
          </w:tcPr>
          <w:p w14:paraId="6FF76363" w14:textId="5E99B187"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53</w:t>
            </w:r>
            <w:r w:rsidR="0063193E" w:rsidRPr="00730B1E">
              <w:rPr>
                <w:rFonts w:eastAsia="Times New Roman"/>
                <w:szCs w:val="24"/>
                <w:lang w:eastAsia="cs-CZ"/>
              </w:rPr>
              <w:t xml:space="preserve"> </w:t>
            </w:r>
            <w:r w:rsidRPr="00730B1E">
              <w:rPr>
                <w:rFonts w:eastAsia="Times New Roman"/>
                <w:szCs w:val="24"/>
                <w:lang w:eastAsia="cs-CZ"/>
              </w:rPr>
              <w:t>802</w:t>
            </w:r>
          </w:p>
        </w:tc>
        <w:tc>
          <w:tcPr>
            <w:tcW w:w="868" w:type="dxa"/>
            <w:tcBorders>
              <w:top w:val="nil"/>
              <w:left w:val="nil"/>
              <w:bottom w:val="double" w:sz="6" w:space="0" w:color="auto"/>
              <w:right w:val="nil"/>
            </w:tcBorders>
            <w:shd w:val="clear" w:color="auto" w:fill="auto"/>
            <w:noWrap/>
            <w:vAlign w:val="center"/>
            <w:hideMark/>
          </w:tcPr>
          <w:p w14:paraId="00ACB5F2"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+10 %  </w:t>
            </w:r>
          </w:p>
        </w:tc>
        <w:tc>
          <w:tcPr>
            <w:tcW w:w="1056" w:type="dxa"/>
            <w:tcBorders>
              <w:top w:val="nil"/>
              <w:left w:val="single" w:sz="4" w:space="0" w:color="auto"/>
              <w:bottom w:val="double" w:sz="6" w:space="0" w:color="auto"/>
              <w:right w:val="nil"/>
            </w:tcBorders>
            <w:shd w:val="clear" w:color="auto" w:fill="auto"/>
            <w:noWrap/>
            <w:vAlign w:val="bottom"/>
            <w:hideMark/>
          </w:tcPr>
          <w:p w14:paraId="7CCCA475" w14:textId="45DDDA72"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52</w:t>
            </w:r>
            <w:r w:rsidR="0063193E" w:rsidRPr="00730B1E">
              <w:rPr>
                <w:rFonts w:eastAsia="Times New Roman"/>
                <w:szCs w:val="24"/>
                <w:lang w:eastAsia="cs-CZ"/>
              </w:rPr>
              <w:t xml:space="preserve"> </w:t>
            </w:r>
            <w:r w:rsidRPr="00730B1E">
              <w:rPr>
                <w:rFonts w:eastAsia="Times New Roman"/>
                <w:szCs w:val="24"/>
                <w:lang w:eastAsia="cs-CZ"/>
              </w:rPr>
              <w:t>646</w:t>
            </w:r>
          </w:p>
        </w:tc>
        <w:tc>
          <w:tcPr>
            <w:tcW w:w="759" w:type="dxa"/>
            <w:tcBorders>
              <w:top w:val="nil"/>
              <w:left w:val="nil"/>
              <w:bottom w:val="double" w:sz="6" w:space="0" w:color="auto"/>
              <w:right w:val="single" w:sz="4" w:space="0" w:color="auto"/>
            </w:tcBorders>
            <w:shd w:val="clear" w:color="auto" w:fill="auto"/>
            <w:noWrap/>
            <w:vAlign w:val="center"/>
            <w:hideMark/>
          </w:tcPr>
          <w:p w14:paraId="51CE0867"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+8 %  </w:t>
            </w:r>
          </w:p>
        </w:tc>
        <w:tc>
          <w:tcPr>
            <w:tcW w:w="1056" w:type="dxa"/>
            <w:tcBorders>
              <w:top w:val="nil"/>
              <w:left w:val="nil"/>
              <w:bottom w:val="double" w:sz="6" w:space="0" w:color="auto"/>
              <w:right w:val="nil"/>
            </w:tcBorders>
            <w:shd w:val="clear" w:color="auto" w:fill="auto"/>
            <w:noWrap/>
            <w:vAlign w:val="bottom"/>
            <w:hideMark/>
          </w:tcPr>
          <w:p w14:paraId="68252C03" w14:textId="3E8B9BC3"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19</w:t>
            </w:r>
            <w:r w:rsidR="0063193E" w:rsidRPr="00730B1E">
              <w:rPr>
                <w:rFonts w:eastAsia="Times New Roman"/>
                <w:szCs w:val="24"/>
                <w:lang w:eastAsia="cs-CZ"/>
              </w:rPr>
              <w:t xml:space="preserve"> </w:t>
            </w:r>
            <w:r w:rsidRPr="00730B1E">
              <w:rPr>
                <w:rFonts w:eastAsia="Times New Roman"/>
                <w:szCs w:val="24"/>
                <w:lang w:eastAsia="cs-CZ"/>
              </w:rPr>
              <w:t>433</w:t>
            </w:r>
          </w:p>
        </w:tc>
        <w:tc>
          <w:tcPr>
            <w:tcW w:w="759" w:type="dxa"/>
            <w:tcBorders>
              <w:top w:val="nil"/>
              <w:left w:val="nil"/>
              <w:bottom w:val="double" w:sz="6" w:space="0" w:color="auto"/>
              <w:right w:val="single" w:sz="4" w:space="0" w:color="auto"/>
            </w:tcBorders>
            <w:shd w:val="clear" w:color="auto" w:fill="auto"/>
            <w:noWrap/>
            <w:vAlign w:val="center"/>
            <w:hideMark/>
          </w:tcPr>
          <w:p w14:paraId="75164BB3" w14:textId="77777777" w:rsidR="00DF373B" w:rsidRPr="00730B1E" w:rsidRDefault="00DF373B" w:rsidP="00DF373B">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c>
          <w:tcPr>
            <w:tcW w:w="1540" w:type="dxa"/>
            <w:tcBorders>
              <w:top w:val="nil"/>
              <w:left w:val="nil"/>
              <w:bottom w:val="nil"/>
              <w:right w:val="nil"/>
            </w:tcBorders>
            <w:shd w:val="clear" w:color="auto" w:fill="auto"/>
            <w:noWrap/>
            <w:vAlign w:val="center"/>
            <w:hideMark/>
          </w:tcPr>
          <w:p w14:paraId="7362FF58" w14:textId="39343192" w:rsidR="00DF373B" w:rsidRPr="00730B1E" w:rsidRDefault="00DF373B" w:rsidP="00DF373B">
            <w:pPr>
              <w:spacing w:line="240" w:lineRule="auto"/>
              <w:jc w:val="center"/>
              <w:rPr>
                <w:rFonts w:eastAsia="Times New Roman"/>
                <w:szCs w:val="24"/>
                <w:lang w:eastAsia="cs-CZ"/>
              </w:rPr>
            </w:pPr>
            <w:r w:rsidRPr="00730B1E">
              <w:rPr>
                <w:rFonts w:eastAsia="Times New Roman"/>
                <w:szCs w:val="24"/>
                <w:lang w:eastAsia="cs-CZ"/>
              </w:rPr>
              <w:t>97,9 %</w:t>
            </w:r>
          </w:p>
        </w:tc>
      </w:tr>
      <w:tr w:rsidR="00B64E96" w:rsidRPr="00730B1E" w14:paraId="28AF1DAB" w14:textId="77777777" w:rsidTr="00DF373B">
        <w:trPr>
          <w:trHeight w:val="345"/>
        </w:trPr>
        <w:tc>
          <w:tcPr>
            <w:tcW w:w="2020" w:type="dxa"/>
            <w:tcBorders>
              <w:top w:val="nil"/>
              <w:left w:val="nil"/>
              <w:bottom w:val="double" w:sz="6" w:space="0" w:color="auto"/>
              <w:right w:val="nil"/>
            </w:tcBorders>
            <w:shd w:val="clear" w:color="auto" w:fill="auto"/>
            <w:noWrap/>
            <w:vAlign w:val="bottom"/>
            <w:hideMark/>
          </w:tcPr>
          <w:p w14:paraId="46CB0FB2" w14:textId="77777777" w:rsidR="00DF373B" w:rsidRPr="00730B1E" w:rsidRDefault="00DF373B" w:rsidP="00DF373B">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82" w:type="dxa"/>
            <w:tcBorders>
              <w:top w:val="nil"/>
              <w:left w:val="nil"/>
              <w:bottom w:val="double" w:sz="6" w:space="0" w:color="auto"/>
              <w:right w:val="nil"/>
            </w:tcBorders>
            <w:shd w:val="clear" w:color="auto" w:fill="auto"/>
            <w:noWrap/>
            <w:vAlign w:val="bottom"/>
            <w:hideMark/>
          </w:tcPr>
          <w:p w14:paraId="7726056A" w14:textId="3A475581"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302</w:t>
            </w:r>
            <w:r w:rsidR="0063193E" w:rsidRPr="00730B1E">
              <w:rPr>
                <w:rFonts w:eastAsia="Times New Roman"/>
                <w:b/>
                <w:bCs/>
                <w:szCs w:val="24"/>
                <w:lang w:eastAsia="cs-CZ"/>
              </w:rPr>
              <w:t xml:space="preserve"> </w:t>
            </w:r>
            <w:r w:rsidRPr="00730B1E">
              <w:rPr>
                <w:rFonts w:eastAsia="Times New Roman"/>
                <w:b/>
                <w:bCs/>
                <w:szCs w:val="24"/>
                <w:lang w:eastAsia="cs-CZ"/>
              </w:rPr>
              <w:t>796</w:t>
            </w:r>
          </w:p>
        </w:tc>
        <w:tc>
          <w:tcPr>
            <w:tcW w:w="868" w:type="dxa"/>
            <w:tcBorders>
              <w:top w:val="nil"/>
              <w:left w:val="nil"/>
              <w:bottom w:val="double" w:sz="6" w:space="0" w:color="auto"/>
              <w:right w:val="nil"/>
            </w:tcBorders>
            <w:shd w:val="clear" w:color="auto" w:fill="auto"/>
            <w:noWrap/>
            <w:vAlign w:val="center"/>
            <w:hideMark/>
          </w:tcPr>
          <w:p w14:paraId="08AAA6FA" w14:textId="77777777" w:rsidR="00DF373B" w:rsidRPr="00730B1E" w:rsidRDefault="00DF373B" w:rsidP="00DF373B">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-3 %  </w:t>
            </w:r>
          </w:p>
        </w:tc>
        <w:tc>
          <w:tcPr>
            <w:tcW w:w="1056" w:type="dxa"/>
            <w:tcBorders>
              <w:top w:val="nil"/>
              <w:left w:val="single" w:sz="4" w:space="0" w:color="auto"/>
              <w:bottom w:val="double" w:sz="6" w:space="0" w:color="auto"/>
              <w:right w:val="nil"/>
            </w:tcBorders>
            <w:shd w:val="clear" w:color="auto" w:fill="auto"/>
            <w:noWrap/>
            <w:vAlign w:val="bottom"/>
            <w:hideMark/>
          </w:tcPr>
          <w:p w14:paraId="15D474DA" w14:textId="455D7D93"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310</w:t>
            </w:r>
            <w:r w:rsidR="0063193E" w:rsidRPr="00730B1E">
              <w:rPr>
                <w:rFonts w:eastAsia="Times New Roman"/>
                <w:b/>
                <w:bCs/>
                <w:szCs w:val="24"/>
                <w:lang w:eastAsia="cs-CZ"/>
              </w:rPr>
              <w:t xml:space="preserve"> </w:t>
            </w:r>
            <w:r w:rsidRPr="00730B1E">
              <w:rPr>
                <w:rFonts w:eastAsia="Times New Roman"/>
                <w:b/>
                <w:bCs/>
                <w:szCs w:val="24"/>
                <w:lang w:eastAsia="cs-CZ"/>
              </w:rPr>
              <w:t>946</w:t>
            </w:r>
          </w:p>
        </w:tc>
        <w:tc>
          <w:tcPr>
            <w:tcW w:w="759" w:type="dxa"/>
            <w:tcBorders>
              <w:top w:val="nil"/>
              <w:left w:val="nil"/>
              <w:bottom w:val="double" w:sz="6" w:space="0" w:color="auto"/>
              <w:right w:val="single" w:sz="4" w:space="0" w:color="auto"/>
            </w:tcBorders>
            <w:shd w:val="clear" w:color="auto" w:fill="auto"/>
            <w:noWrap/>
            <w:vAlign w:val="center"/>
            <w:hideMark/>
          </w:tcPr>
          <w:p w14:paraId="1293933C" w14:textId="77777777" w:rsidR="00DF373B" w:rsidRPr="00730B1E" w:rsidRDefault="00DF373B" w:rsidP="00DF373B">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-3 %  </w:t>
            </w:r>
          </w:p>
        </w:tc>
        <w:tc>
          <w:tcPr>
            <w:tcW w:w="1056" w:type="dxa"/>
            <w:tcBorders>
              <w:top w:val="nil"/>
              <w:left w:val="nil"/>
              <w:bottom w:val="double" w:sz="6" w:space="0" w:color="auto"/>
              <w:right w:val="nil"/>
            </w:tcBorders>
            <w:shd w:val="clear" w:color="auto" w:fill="auto"/>
            <w:noWrap/>
            <w:vAlign w:val="bottom"/>
            <w:hideMark/>
          </w:tcPr>
          <w:p w14:paraId="42841593" w14:textId="537685CC"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103</w:t>
            </w:r>
            <w:r w:rsidR="0063193E" w:rsidRPr="00730B1E">
              <w:rPr>
                <w:rFonts w:eastAsia="Times New Roman"/>
                <w:b/>
                <w:bCs/>
                <w:szCs w:val="24"/>
                <w:lang w:eastAsia="cs-CZ"/>
              </w:rPr>
              <w:t xml:space="preserve"> </w:t>
            </w:r>
            <w:r w:rsidRPr="00730B1E">
              <w:rPr>
                <w:rFonts w:eastAsia="Times New Roman"/>
                <w:b/>
                <w:bCs/>
                <w:szCs w:val="24"/>
                <w:lang w:eastAsia="cs-CZ"/>
              </w:rPr>
              <w:t>506</w:t>
            </w:r>
          </w:p>
        </w:tc>
        <w:tc>
          <w:tcPr>
            <w:tcW w:w="759" w:type="dxa"/>
            <w:tcBorders>
              <w:top w:val="nil"/>
              <w:left w:val="nil"/>
              <w:bottom w:val="double" w:sz="6" w:space="0" w:color="auto"/>
              <w:right w:val="single" w:sz="4" w:space="0" w:color="auto"/>
            </w:tcBorders>
            <w:shd w:val="clear" w:color="auto" w:fill="auto"/>
            <w:noWrap/>
            <w:vAlign w:val="center"/>
            <w:hideMark/>
          </w:tcPr>
          <w:p w14:paraId="603C8BC1" w14:textId="77777777" w:rsidR="00DF373B" w:rsidRPr="00730B1E" w:rsidRDefault="00DF373B" w:rsidP="00DF373B">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-7 %  </w:t>
            </w:r>
          </w:p>
        </w:tc>
        <w:tc>
          <w:tcPr>
            <w:tcW w:w="1540" w:type="dxa"/>
            <w:tcBorders>
              <w:top w:val="double" w:sz="6" w:space="0" w:color="auto"/>
              <w:left w:val="nil"/>
              <w:bottom w:val="double" w:sz="6" w:space="0" w:color="auto"/>
              <w:right w:val="nil"/>
            </w:tcBorders>
            <w:shd w:val="clear" w:color="auto" w:fill="auto"/>
            <w:noWrap/>
            <w:vAlign w:val="center"/>
            <w:hideMark/>
          </w:tcPr>
          <w:p w14:paraId="0DCA65C6" w14:textId="1CD233F8" w:rsidR="00DF373B" w:rsidRPr="00730B1E" w:rsidRDefault="00DF373B" w:rsidP="00DF373B">
            <w:pPr>
              <w:spacing w:line="240" w:lineRule="auto"/>
              <w:jc w:val="center"/>
              <w:rPr>
                <w:rFonts w:eastAsia="Times New Roman"/>
                <w:b/>
                <w:bCs/>
                <w:szCs w:val="24"/>
                <w:lang w:eastAsia="cs-CZ"/>
              </w:rPr>
            </w:pPr>
            <w:r w:rsidRPr="00730B1E">
              <w:rPr>
                <w:rFonts w:eastAsia="Times New Roman"/>
                <w:b/>
                <w:bCs/>
                <w:szCs w:val="24"/>
                <w:lang w:eastAsia="cs-CZ"/>
              </w:rPr>
              <w:t>102,7 %</w:t>
            </w:r>
          </w:p>
        </w:tc>
      </w:tr>
      <w:tr w:rsidR="00B64E96" w:rsidRPr="00730B1E" w14:paraId="72C7779A" w14:textId="77777777" w:rsidTr="00DF373B">
        <w:trPr>
          <w:trHeight w:val="330"/>
        </w:trPr>
        <w:tc>
          <w:tcPr>
            <w:tcW w:w="2020" w:type="dxa"/>
            <w:tcBorders>
              <w:top w:val="nil"/>
              <w:left w:val="nil"/>
              <w:bottom w:val="nil"/>
              <w:right w:val="nil"/>
            </w:tcBorders>
            <w:shd w:val="clear" w:color="auto" w:fill="auto"/>
            <w:noWrap/>
            <w:vAlign w:val="bottom"/>
            <w:hideMark/>
          </w:tcPr>
          <w:p w14:paraId="61120090" w14:textId="77777777" w:rsidR="00DF373B" w:rsidRPr="00730B1E" w:rsidRDefault="00DF373B" w:rsidP="00DF373B">
            <w:pPr>
              <w:spacing w:line="240" w:lineRule="auto"/>
              <w:jc w:val="center"/>
              <w:rPr>
                <w:rFonts w:eastAsia="Times New Roman"/>
                <w:b/>
                <w:bCs/>
                <w:szCs w:val="24"/>
                <w:lang w:eastAsia="cs-CZ"/>
              </w:rPr>
            </w:pPr>
          </w:p>
        </w:tc>
        <w:tc>
          <w:tcPr>
            <w:tcW w:w="1082" w:type="dxa"/>
            <w:tcBorders>
              <w:top w:val="nil"/>
              <w:left w:val="nil"/>
              <w:bottom w:val="nil"/>
              <w:right w:val="nil"/>
            </w:tcBorders>
            <w:shd w:val="clear" w:color="auto" w:fill="auto"/>
            <w:noWrap/>
            <w:vAlign w:val="bottom"/>
            <w:hideMark/>
          </w:tcPr>
          <w:p w14:paraId="0AAC6D2E" w14:textId="77777777" w:rsidR="00DF373B" w:rsidRPr="00DF07F3" w:rsidRDefault="00DF373B" w:rsidP="00DF373B">
            <w:pPr>
              <w:spacing w:line="240" w:lineRule="auto"/>
              <w:jc w:val="left"/>
              <w:rPr>
                <w:sz w:val="20"/>
              </w:rPr>
            </w:pPr>
          </w:p>
        </w:tc>
        <w:tc>
          <w:tcPr>
            <w:tcW w:w="868" w:type="dxa"/>
            <w:tcBorders>
              <w:top w:val="nil"/>
              <w:left w:val="nil"/>
              <w:bottom w:val="nil"/>
              <w:right w:val="nil"/>
            </w:tcBorders>
            <w:shd w:val="clear" w:color="auto" w:fill="auto"/>
            <w:noWrap/>
            <w:vAlign w:val="bottom"/>
            <w:hideMark/>
          </w:tcPr>
          <w:p w14:paraId="13E54186" w14:textId="77777777" w:rsidR="00DF373B" w:rsidRPr="00DF07F3" w:rsidRDefault="00DF373B" w:rsidP="00DF373B">
            <w:pPr>
              <w:spacing w:line="240" w:lineRule="auto"/>
              <w:jc w:val="left"/>
              <w:rPr>
                <w:sz w:val="20"/>
              </w:rPr>
            </w:pPr>
          </w:p>
        </w:tc>
        <w:tc>
          <w:tcPr>
            <w:tcW w:w="1056" w:type="dxa"/>
            <w:tcBorders>
              <w:top w:val="nil"/>
              <w:left w:val="nil"/>
              <w:bottom w:val="nil"/>
              <w:right w:val="nil"/>
            </w:tcBorders>
            <w:shd w:val="clear" w:color="auto" w:fill="auto"/>
            <w:noWrap/>
            <w:vAlign w:val="bottom"/>
            <w:hideMark/>
          </w:tcPr>
          <w:p w14:paraId="5D0F73EA" w14:textId="77777777" w:rsidR="00DF373B" w:rsidRPr="00DF07F3" w:rsidRDefault="00DF373B" w:rsidP="00DF373B">
            <w:pPr>
              <w:spacing w:line="240" w:lineRule="auto"/>
              <w:jc w:val="left"/>
              <w:rPr>
                <w:sz w:val="20"/>
              </w:rPr>
            </w:pPr>
          </w:p>
        </w:tc>
        <w:tc>
          <w:tcPr>
            <w:tcW w:w="759" w:type="dxa"/>
            <w:tcBorders>
              <w:top w:val="nil"/>
              <w:left w:val="nil"/>
              <w:bottom w:val="nil"/>
              <w:right w:val="nil"/>
            </w:tcBorders>
            <w:shd w:val="clear" w:color="auto" w:fill="auto"/>
            <w:noWrap/>
            <w:vAlign w:val="bottom"/>
            <w:hideMark/>
          </w:tcPr>
          <w:p w14:paraId="34DEC7BA" w14:textId="77777777" w:rsidR="00DF373B" w:rsidRPr="00DF07F3" w:rsidRDefault="00DF373B" w:rsidP="00DF373B">
            <w:pPr>
              <w:spacing w:line="240" w:lineRule="auto"/>
              <w:jc w:val="left"/>
              <w:rPr>
                <w:sz w:val="20"/>
              </w:rPr>
            </w:pPr>
          </w:p>
        </w:tc>
        <w:tc>
          <w:tcPr>
            <w:tcW w:w="1056" w:type="dxa"/>
            <w:tcBorders>
              <w:top w:val="nil"/>
              <w:left w:val="nil"/>
              <w:bottom w:val="nil"/>
              <w:right w:val="nil"/>
            </w:tcBorders>
            <w:shd w:val="clear" w:color="auto" w:fill="auto"/>
            <w:noWrap/>
            <w:vAlign w:val="bottom"/>
            <w:hideMark/>
          </w:tcPr>
          <w:p w14:paraId="61A0FDBD" w14:textId="77777777" w:rsidR="00DF373B" w:rsidRPr="00DF07F3" w:rsidRDefault="00DF373B" w:rsidP="00DF373B">
            <w:pPr>
              <w:spacing w:line="240" w:lineRule="auto"/>
              <w:jc w:val="left"/>
              <w:rPr>
                <w:sz w:val="20"/>
              </w:rPr>
            </w:pPr>
          </w:p>
        </w:tc>
        <w:tc>
          <w:tcPr>
            <w:tcW w:w="759" w:type="dxa"/>
            <w:tcBorders>
              <w:top w:val="nil"/>
              <w:left w:val="nil"/>
              <w:bottom w:val="nil"/>
              <w:right w:val="nil"/>
            </w:tcBorders>
            <w:shd w:val="clear" w:color="auto" w:fill="auto"/>
            <w:noWrap/>
            <w:vAlign w:val="bottom"/>
            <w:hideMark/>
          </w:tcPr>
          <w:p w14:paraId="78332D53" w14:textId="77777777" w:rsidR="00DF373B" w:rsidRPr="00DF07F3" w:rsidRDefault="00DF373B" w:rsidP="00DF373B">
            <w:pPr>
              <w:spacing w:line="240" w:lineRule="auto"/>
              <w:jc w:val="left"/>
              <w:rPr>
                <w:sz w:val="20"/>
              </w:rPr>
            </w:pPr>
          </w:p>
        </w:tc>
        <w:tc>
          <w:tcPr>
            <w:tcW w:w="1540" w:type="dxa"/>
            <w:tcBorders>
              <w:top w:val="nil"/>
              <w:left w:val="nil"/>
              <w:bottom w:val="nil"/>
              <w:right w:val="nil"/>
            </w:tcBorders>
            <w:shd w:val="clear" w:color="auto" w:fill="auto"/>
            <w:noWrap/>
            <w:vAlign w:val="bottom"/>
            <w:hideMark/>
          </w:tcPr>
          <w:p w14:paraId="5E5EB80B" w14:textId="77777777" w:rsidR="00DF373B" w:rsidRPr="00DF07F3" w:rsidRDefault="00DF373B" w:rsidP="00DF373B">
            <w:pPr>
              <w:spacing w:line="240" w:lineRule="auto"/>
              <w:jc w:val="left"/>
              <w:rPr>
                <w:sz w:val="20"/>
              </w:rPr>
            </w:pPr>
          </w:p>
        </w:tc>
      </w:tr>
    </w:tbl>
    <w:p w14:paraId="41E43985" w14:textId="4C625C50" w:rsidR="00DF373B" w:rsidRPr="00730B1E" w:rsidRDefault="00DF373B" w:rsidP="00DF373B">
      <w:r w:rsidRPr="00730B1E">
        <w:t xml:space="preserve">V tabulce výše vidíme, že nejvyšší míru vyřizování vykázaly soudy v Praze </w:t>
      </w:r>
      <w:r w:rsidR="008E33E0">
        <w:t>–</w:t>
      </w:r>
      <w:r w:rsidRPr="00730B1E">
        <w:t xml:space="preserve"> 108,2 %. Ve všech krajích s výjimkou Severomoravského kraje byl</w:t>
      </w:r>
      <w:r w:rsidR="00B4665B" w:rsidRPr="00730B1E">
        <w:t>a</w:t>
      </w:r>
      <w:r w:rsidRPr="00730B1E">
        <w:t xml:space="preserve"> míra vyřizování přes 100 %. I tato data ukazují, že situace v civilní agendě se povětšinou velmi mírně zlepšuje nebo zůstává víceméně stabilní. </w:t>
      </w:r>
    </w:p>
    <w:p w14:paraId="601A2032" w14:textId="77777777" w:rsidR="00B4665B" w:rsidRPr="00730B1E" w:rsidRDefault="00B4665B" w:rsidP="00DF373B">
      <w:pPr>
        <w:spacing w:after="160" w:line="259" w:lineRule="auto"/>
      </w:pPr>
    </w:p>
    <w:p w14:paraId="29370749" w14:textId="7C647CA7" w:rsidR="00DF373B" w:rsidRPr="00730B1E" w:rsidRDefault="00DF373B" w:rsidP="00DF373B">
      <w:pPr>
        <w:spacing w:after="160" w:line="259" w:lineRule="auto"/>
      </w:pPr>
      <w:r w:rsidRPr="00730B1E">
        <w:t>Počet napadlých, vyřízených a částečně i nevyřízených věc</w:t>
      </w:r>
      <w:r w:rsidR="00EB0EFD" w:rsidRPr="00730B1E">
        <w:t>í</w:t>
      </w:r>
      <w:r w:rsidRPr="00730B1E">
        <w:t xml:space="preserve"> se odvíjí od velikosti soudu. Nelze proto nijak porovnávat zatížení a výkonnost soudů bez toho, že budou data normalizována, tedy dokud nebude zohledněna velikost soudů. K tomu slouží dvě následující části této kapitoly. Z tohoto důvodu dále nezkoumáme jednotlivé okresní soudy pomocí kartogramu a krabicového grafu.</w:t>
      </w:r>
    </w:p>
    <w:p w14:paraId="36143133" w14:textId="43C523E5" w:rsidR="00E62233" w:rsidRPr="00730B1E" w:rsidRDefault="00E62233" w:rsidP="00E62233">
      <w:pPr>
        <w:pStyle w:val="Nadpis3"/>
        <w:numPr>
          <w:ilvl w:val="2"/>
          <w:numId w:val="1"/>
        </w:numPr>
        <w:rPr>
          <w:color w:val="auto"/>
        </w:rPr>
      </w:pPr>
      <w:bookmarkStart w:id="189" w:name="_Toc515871223"/>
      <w:bookmarkStart w:id="190" w:name="_Toc106092720"/>
      <w:bookmarkStart w:id="191" w:name="_Toc169250804"/>
      <w:bookmarkStart w:id="192" w:name="_Ref509226700"/>
      <w:bookmarkStart w:id="193" w:name="_Toc515871441"/>
      <w:bookmarkStart w:id="194" w:name="_Toc11133210"/>
      <w:bookmarkStart w:id="195" w:name="_Toc43931183"/>
      <w:bookmarkStart w:id="196" w:name="_Toc75952313"/>
      <w:bookmarkStart w:id="197" w:name="_Toc106106772"/>
      <w:bookmarkStart w:id="198" w:name="_Toc174080840"/>
      <w:r w:rsidRPr="00730B1E">
        <w:rPr>
          <w:color w:val="auto"/>
        </w:rPr>
        <w:t>Vyřizování věcí v přepočtu na soudce</w:t>
      </w:r>
      <w:bookmarkEnd w:id="189"/>
      <w:bookmarkEnd w:id="190"/>
      <w:bookmarkEnd w:id="191"/>
      <w:bookmarkEnd w:id="198"/>
    </w:p>
    <w:p w14:paraId="00DDE0A7" w14:textId="77777777" w:rsidR="001F7F03" w:rsidRPr="00730B1E" w:rsidRDefault="001F7F03" w:rsidP="001F7F03">
      <w:r w:rsidRPr="00730B1E">
        <w:t xml:space="preserve">Ministerstvo spravedlnosti má od roku 2020 k dispozici přesnější data o počtu soudců, konkrétně data o skutečném počtu úvazků, která budou využita pro přepočet. Skutečný počet úvazků je získáván dotazníkovým šetřením u soudů a zahrnuje pouze soudce, kteří danou agendu v příslušném roce reálně vyřizovali. Na rozdíl od evidenčního počtu soudců nejsou zahrnuti dlouhodobě nepřítomní soudci </w:t>
      </w:r>
      <w:r w:rsidRPr="00730B1E">
        <w:rPr>
          <w:sz w:val="26"/>
          <w:szCs w:val="24"/>
        </w:rPr>
        <w:t>[</w:t>
      </w:r>
      <w:r w:rsidRPr="00730B1E">
        <w:t>na MD/RD, dlouhodobě nemocní, dočasně zproštěni výkonu funkce soudce (§ 99, 100 a 100a zák. č. 6/2002 Sb.) nebo soudci dočasně přeložení k jinému soudu (stáž)]. Údaje jsou s přesností na desetinu soudce a jsou podrobněji členěny dle úseků a agendy, které se věnují.</w:t>
      </w:r>
    </w:p>
    <w:p w14:paraId="5B002382" w14:textId="77777777" w:rsidR="001F7F03" w:rsidRPr="00730B1E" w:rsidRDefault="001F7F03" w:rsidP="001F7F03">
      <w:r w:rsidRPr="00730B1E">
        <w:t>Tato data byla poprvé sbírána k lednu 2020 a nejsou tedy k dispozici v dlouhých časových řadách. Jejich výrazným přínosem je jejich podstatně vyšší přesnost, protože:</w:t>
      </w:r>
    </w:p>
    <w:p w14:paraId="2F5F1EF3" w14:textId="76B7105A" w:rsidR="001F7F03" w:rsidRPr="00730B1E" w:rsidRDefault="001F7F03" w:rsidP="00A94F8F">
      <w:pPr>
        <w:pStyle w:val="Odstavecseseznamem"/>
        <w:numPr>
          <w:ilvl w:val="0"/>
          <w:numId w:val="12"/>
        </w:numPr>
      </w:pPr>
      <w:r w:rsidRPr="00730B1E">
        <w:t xml:space="preserve">Umožňují srovnání nejen relativních údajů mezi jednotlivými soudy, ale výrazně přesnější jsou nyní i absolutní čísla, byť se stále jedná o aproximaci. Především rozlišení opatrovnických soudců výpočet výrazně zpřesnilo. Rovněž fakt, že v počtu nejsou započteni například dlouhodobě nemocní soudci, částečně předsedové a místopředsedové soudů, a především soudkyně či soudci na rodičovské/mateřské dovolené, údaje dále </w:t>
      </w:r>
      <w:r w:rsidR="00B4665B" w:rsidRPr="00730B1E">
        <w:t>zkvalitňuje</w:t>
      </w:r>
      <w:r w:rsidRPr="00730B1E">
        <w:t>.</w:t>
      </w:r>
    </w:p>
    <w:p w14:paraId="6F3324B8" w14:textId="77777777" w:rsidR="001F7F03" w:rsidRPr="00730B1E" w:rsidRDefault="001F7F03" w:rsidP="00A94F8F">
      <w:pPr>
        <w:pStyle w:val="Odstavecseseznamem"/>
        <w:numPr>
          <w:ilvl w:val="0"/>
          <w:numId w:val="12"/>
        </w:numPr>
      </w:pPr>
      <w:r w:rsidRPr="00730B1E">
        <w:t>I samotné relativní srovnání mezi soudy a kraji je přesnější. Především na úrovni soudců se v datech lépe promítnou například dlouhodobé absence.</w:t>
      </w:r>
    </w:p>
    <w:p w14:paraId="58C4CF41" w14:textId="77777777" w:rsidR="001F7F03" w:rsidRPr="00730B1E" w:rsidRDefault="001F7F03" w:rsidP="001F7F03"/>
    <w:p w14:paraId="482812F4" w14:textId="2C80A72C" w:rsidR="001F7F03" w:rsidRPr="00730B1E" w:rsidRDefault="001F7F03" w:rsidP="001F7F03">
      <w:r w:rsidRPr="00730B1E">
        <w:lastRenderedPageBreak/>
        <w:t xml:space="preserve">Je třeba zdůraznit, že i přes výše uvedené přepočet na soudce </w:t>
      </w:r>
      <w:r w:rsidR="00B4665B" w:rsidRPr="00730B1E">
        <w:t xml:space="preserve">není relevantním ukazatelem pro sledování pracovního vytížení jednotlivých soudců. </w:t>
      </w:r>
      <w:r w:rsidR="00FC6AE3" w:rsidRPr="00730B1E">
        <w:t>Jak bylo zmíněno v úvodu této části, s</w:t>
      </w:r>
      <w:r w:rsidRPr="00730B1E">
        <w:t xml:space="preserve">oudci </w:t>
      </w:r>
      <w:r w:rsidR="00FC6AE3" w:rsidRPr="00730B1E">
        <w:t xml:space="preserve">civilního úseku </w:t>
      </w:r>
      <w:r w:rsidR="00B4665B" w:rsidRPr="00730B1E">
        <w:t>totiž</w:t>
      </w:r>
      <w:r w:rsidRPr="00730B1E">
        <w:t xml:space="preserve"> vyřizují i jiné (vedlejší) agendy</w:t>
      </w:r>
      <w:r w:rsidR="00B4665B" w:rsidRPr="00730B1E">
        <w:t>, než (hlavní) agendu C, a přepočet na úvazky tak nepostihuje všechny rozhodované věci; stejně tak samotný počet rozhodnutých věcí v agendě nezohledňuje eventuální rozdíly v</w:t>
      </w:r>
      <w:r w:rsidR="00FC6AE3" w:rsidRPr="00730B1E">
        <w:t xml:space="preserve"> jejich </w:t>
      </w:r>
      <w:r w:rsidR="00B4665B" w:rsidRPr="00730B1E">
        <w:t>obtížnosti</w:t>
      </w:r>
      <w:r w:rsidRPr="00730B1E">
        <w:t xml:space="preserve">. Data ale </w:t>
      </w:r>
      <w:r w:rsidR="00FC6AE3" w:rsidRPr="00730B1E">
        <w:t xml:space="preserve">mají </w:t>
      </w:r>
      <w:r w:rsidRPr="00730B1E">
        <w:t>vypovídající hodnotu</w:t>
      </w:r>
      <w:r w:rsidR="00FC6AE3" w:rsidRPr="00730B1E">
        <w:t xml:space="preserve"> pro relativní srovnání mezi soudy a zejména mezi jednotlivými roky</w:t>
      </w:r>
      <w:r w:rsidRPr="00730B1E">
        <w:t>.</w:t>
      </w:r>
    </w:p>
    <w:p w14:paraId="3E09AFAF" w14:textId="2821A844" w:rsidR="001F7F03" w:rsidRPr="00730B1E" w:rsidRDefault="001F7F03" w:rsidP="001F7F03">
      <w:pPr>
        <w:pStyle w:val="Podnadpis"/>
        <w:rPr>
          <w:color w:val="auto"/>
        </w:rPr>
      </w:pPr>
      <w:bookmarkStart w:id="199" w:name="_Toc75952314"/>
      <w:bookmarkStart w:id="200" w:name="_Toc106106773"/>
      <w:bookmarkStart w:id="201" w:name="_Toc144104250"/>
      <w:bookmarkStart w:id="202" w:name="_Toc169251067"/>
      <w:bookmarkStart w:id="203" w:name="_Toc174080753"/>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10</w:t>
      </w:r>
      <w:r w:rsidRPr="00730B1E">
        <w:rPr>
          <w:noProof/>
          <w:color w:val="auto"/>
        </w:rPr>
        <w:fldChar w:fldCharType="end"/>
      </w:r>
      <w:r w:rsidRPr="00730B1E">
        <w:rPr>
          <w:color w:val="auto"/>
        </w:rPr>
        <w:t>: OS – vyřizování civilních věcí na skutečný úvazek dle krajů</w:t>
      </w:r>
      <w:bookmarkEnd w:id="199"/>
      <w:bookmarkEnd w:id="200"/>
      <w:bookmarkEnd w:id="201"/>
      <w:r w:rsidR="00525C94" w:rsidRPr="00730B1E">
        <w:rPr>
          <w:color w:val="auto"/>
        </w:rPr>
        <w:t>, 2023</w:t>
      </w:r>
      <w:bookmarkEnd w:id="202"/>
      <w:bookmarkEnd w:id="203"/>
      <w:r w:rsidRPr="00730B1E">
        <w:rPr>
          <w:color w:val="auto"/>
        </w:rPr>
        <w:t xml:space="preserve"> </w:t>
      </w:r>
    </w:p>
    <w:tbl>
      <w:tblPr>
        <w:tblW w:w="9114" w:type="dxa"/>
        <w:tblCellMar>
          <w:left w:w="70" w:type="dxa"/>
          <w:right w:w="70" w:type="dxa"/>
        </w:tblCellMar>
        <w:tblLook w:val="04A0" w:firstRow="1" w:lastRow="0" w:firstColumn="1" w:lastColumn="0" w:noHBand="0" w:noVBand="1"/>
      </w:tblPr>
      <w:tblGrid>
        <w:gridCol w:w="1820"/>
        <w:gridCol w:w="1157"/>
        <w:gridCol w:w="1134"/>
        <w:gridCol w:w="929"/>
        <w:gridCol w:w="6"/>
        <w:gridCol w:w="1050"/>
        <w:gridCol w:w="925"/>
        <w:gridCol w:w="10"/>
        <w:gridCol w:w="1146"/>
        <w:gridCol w:w="937"/>
      </w:tblGrid>
      <w:tr w:rsidR="00B64E96" w:rsidRPr="00730B1E" w14:paraId="406CAAF7" w14:textId="77777777" w:rsidTr="00525C94">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7F5DBE5C" w14:textId="77777777" w:rsidR="003B5D5E" w:rsidRPr="00730B1E" w:rsidRDefault="003B5D5E" w:rsidP="003B5D5E">
            <w:pPr>
              <w:spacing w:line="240" w:lineRule="auto"/>
              <w:jc w:val="left"/>
              <w:rPr>
                <w:rFonts w:eastAsia="Times New Roman"/>
                <w:b/>
                <w:bCs/>
                <w:szCs w:val="24"/>
                <w:lang w:eastAsia="cs-CZ"/>
              </w:rPr>
            </w:pPr>
            <w:r w:rsidRPr="00730B1E">
              <w:rPr>
                <w:rFonts w:eastAsia="Times New Roman"/>
                <w:b/>
                <w:bCs/>
                <w:szCs w:val="24"/>
                <w:lang w:eastAsia="cs-CZ"/>
              </w:rPr>
              <w:t>Nadřízený soud</w:t>
            </w:r>
          </w:p>
        </w:tc>
        <w:tc>
          <w:tcPr>
            <w:tcW w:w="1157" w:type="dxa"/>
            <w:vMerge w:val="restart"/>
            <w:tcBorders>
              <w:top w:val="double" w:sz="6" w:space="0" w:color="auto"/>
              <w:left w:val="nil"/>
              <w:bottom w:val="double" w:sz="6" w:space="0" w:color="000000"/>
              <w:right w:val="nil"/>
            </w:tcBorders>
            <w:shd w:val="clear" w:color="auto" w:fill="auto"/>
            <w:noWrap/>
            <w:vAlign w:val="center"/>
            <w:hideMark/>
          </w:tcPr>
          <w:p w14:paraId="4A5CD146" w14:textId="77777777"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6135" w:type="dxa"/>
            <w:gridSpan w:val="8"/>
            <w:tcBorders>
              <w:top w:val="double" w:sz="6" w:space="0" w:color="auto"/>
              <w:left w:val="nil"/>
              <w:bottom w:val="nil"/>
              <w:right w:val="nil"/>
            </w:tcBorders>
            <w:shd w:val="clear" w:color="auto" w:fill="auto"/>
            <w:noWrap/>
            <w:vAlign w:val="center"/>
            <w:hideMark/>
          </w:tcPr>
          <w:p w14:paraId="65D53C06" w14:textId="77777777"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Počet věcí na úvazek</w:t>
            </w:r>
          </w:p>
        </w:tc>
      </w:tr>
      <w:tr w:rsidR="00B64E96" w:rsidRPr="00730B1E" w14:paraId="7343C486" w14:textId="77777777" w:rsidTr="00525C94">
        <w:trPr>
          <w:trHeight w:val="330"/>
        </w:trPr>
        <w:tc>
          <w:tcPr>
            <w:tcW w:w="1820" w:type="dxa"/>
            <w:vMerge/>
            <w:tcBorders>
              <w:top w:val="double" w:sz="6" w:space="0" w:color="auto"/>
              <w:left w:val="nil"/>
              <w:bottom w:val="double" w:sz="6" w:space="0" w:color="000000"/>
              <w:right w:val="nil"/>
            </w:tcBorders>
            <w:vAlign w:val="center"/>
            <w:hideMark/>
          </w:tcPr>
          <w:p w14:paraId="23E79814" w14:textId="77777777" w:rsidR="003B5D5E" w:rsidRPr="00730B1E" w:rsidRDefault="003B5D5E" w:rsidP="003B5D5E">
            <w:pPr>
              <w:spacing w:line="240" w:lineRule="auto"/>
              <w:jc w:val="left"/>
              <w:rPr>
                <w:rFonts w:eastAsia="Times New Roman"/>
                <w:b/>
                <w:bCs/>
                <w:szCs w:val="24"/>
                <w:lang w:eastAsia="cs-CZ"/>
              </w:rPr>
            </w:pPr>
          </w:p>
        </w:tc>
        <w:tc>
          <w:tcPr>
            <w:tcW w:w="1157" w:type="dxa"/>
            <w:vMerge/>
            <w:tcBorders>
              <w:top w:val="double" w:sz="6" w:space="0" w:color="auto"/>
              <w:left w:val="nil"/>
              <w:bottom w:val="double" w:sz="6" w:space="0" w:color="000000"/>
              <w:right w:val="nil"/>
            </w:tcBorders>
            <w:vAlign w:val="center"/>
            <w:hideMark/>
          </w:tcPr>
          <w:p w14:paraId="06C202A6" w14:textId="77777777" w:rsidR="003B5D5E" w:rsidRPr="00730B1E" w:rsidRDefault="003B5D5E" w:rsidP="003B5D5E">
            <w:pPr>
              <w:spacing w:line="240" w:lineRule="auto"/>
              <w:jc w:val="left"/>
              <w:rPr>
                <w:rFonts w:eastAsia="Times New Roman"/>
                <w:b/>
                <w:bCs/>
                <w:szCs w:val="24"/>
                <w:lang w:eastAsia="cs-CZ"/>
              </w:rPr>
            </w:pPr>
          </w:p>
        </w:tc>
        <w:tc>
          <w:tcPr>
            <w:tcW w:w="2063" w:type="dxa"/>
            <w:gridSpan w:val="2"/>
            <w:tcBorders>
              <w:top w:val="nil"/>
              <w:left w:val="nil"/>
              <w:bottom w:val="double" w:sz="6" w:space="0" w:color="auto"/>
              <w:right w:val="nil"/>
            </w:tcBorders>
            <w:shd w:val="clear" w:color="auto" w:fill="auto"/>
            <w:noWrap/>
            <w:vAlign w:val="center"/>
            <w:hideMark/>
          </w:tcPr>
          <w:p w14:paraId="5BEC4370" w14:textId="4CB33253"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981" w:type="dxa"/>
            <w:gridSpan w:val="3"/>
            <w:tcBorders>
              <w:top w:val="nil"/>
              <w:left w:val="single" w:sz="4" w:space="0" w:color="auto"/>
              <w:bottom w:val="double" w:sz="6" w:space="0" w:color="auto"/>
              <w:right w:val="single" w:sz="4" w:space="0" w:color="000000"/>
            </w:tcBorders>
            <w:shd w:val="clear" w:color="auto" w:fill="auto"/>
            <w:noWrap/>
            <w:vAlign w:val="center"/>
            <w:hideMark/>
          </w:tcPr>
          <w:p w14:paraId="11E4152E" w14:textId="77777777"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2091" w:type="dxa"/>
            <w:gridSpan w:val="3"/>
            <w:tcBorders>
              <w:top w:val="nil"/>
              <w:left w:val="nil"/>
              <w:bottom w:val="double" w:sz="6" w:space="0" w:color="auto"/>
              <w:right w:val="nil"/>
            </w:tcBorders>
            <w:shd w:val="clear" w:color="auto" w:fill="auto"/>
            <w:noWrap/>
            <w:vAlign w:val="center"/>
            <w:hideMark/>
          </w:tcPr>
          <w:p w14:paraId="760D31FE" w14:textId="77777777"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69013ED2" w14:textId="77777777" w:rsidTr="00525C94">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09D72E36" w14:textId="77777777" w:rsidR="003B5D5E" w:rsidRPr="00730B1E" w:rsidRDefault="003B5D5E" w:rsidP="003B5D5E">
            <w:pPr>
              <w:spacing w:line="240" w:lineRule="auto"/>
              <w:jc w:val="left"/>
              <w:rPr>
                <w:rFonts w:eastAsia="Times New Roman"/>
                <w:szCs w:val="24"/>
                <w:lang w:eastAsia="cs-CZ"/>
              </w:rPr>
            </w:pPr>
            <w:r w:rsidRPr="00730B1E">
              <w:rPr>
                <w:rFonts w:eastAsia="Times New Roman"/>
                <w:szCs w:val="24"/>
                <w:lang w:eastAsia="cs-CZ"/>
              </w:rPr>
              <w:t>MS Praha</w:t>
            </w:r>
          </w:p>
        </w:tc>
        <w:tc>
          <w:tcPr>
            <w:tcW w:w="1157" w:type="dxa"/>
            <w:tcBorders>
              <w:top w:val="single" w:sz="4" w:space="0" w:color="auto"/>
              <w:left w:val="nil"/>
              <w:bottom w:val="single" w:sz="4" w:space="0" w:color="auto"/>
              <w:right w:val="nil"/>
            </w:tcBorders>
            <w:shd w:val="clear" w:color="auto" w:fill="auto"/>
            <w:noWrap/>
            <w:vAlign w:val="bottom"/>
            <w:hideMark/>
          </w:tcPr>
          <w:p w14:paraId="1F1485E4" w14:textId="7A4AD9E6"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175,2</w:t>
            </w:r>
          </w:p>
        </w:tc>
        <w:tc>
          <w:tcPr>
            <w:tcW w:w="1134" w:type="dxa"/>
            <w:tcBorders>
              <w:top w:val="single" w:sz="4" w:space="0" w:color="auto"/>
              <w:left w:val="nil"/>
              <w:bottom w:val="single" w:sz="4" w:space="0" w:color="auto"/>
              <w:right w:val="nil"/>
            </w:tcBorders>
            <w:shd w:val="clear" w:color="auto" w:fill="auto"/>
            <w:noWrap/>
            <w:vAlign w:val="bottom"/>
            <w:hideMark/>
          </w:tcPr>
          <w:p w14:paraId="71613F1C" w14:textId="35EBB623"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291,63</w:t>
            </w:r>
          </w:p>
        </w:tc>
        <w:tc>
          <w:tcPr>
            <w:tcW w:w="935" w:type="dxa"/>
            <w:gridSpan w:val="2"/>
            <w:tcBorders>
              <w:top w:val="single" w:sz="4" w:space="0" w:color="auto"/>
              <w:left w:val="nil"/>
              <w:bottom w:val="single" w:sz="4" w:space="0" w:color="auto"/>
              <w:right w:val="nil"/>
            </w:tcBorders>
            <w:shd w:val="clear" w:color="auto" w:fill="auto"/>
            <w:noWrap/>
            <w:vAlign w:val="center"/>
            <w:hideMark/>
          </w:tcPr>
          <w:p w14:paraId="3ABF19B8"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1050" w:type="dxa"/>
            <w:tcBorders>
              <w:top w:val="nil"/>
              <w:left w:val="single" w:sz="4" w:space="0" w:color="auto"/>
              <w:bottom w:val="single" w:sz="4" w:space="0" w:color="auto"/>
              <w:right w:val="nil"/>
            </w:tcBorders>
            <w:shd w:val="clear" w:color="auto" w:fill="auto"/>
            <w:noWrap/>
            <w:vAlign w:val="bottom"/>
            <w:hideMark/>
          </w:tcPr>
          <w:p w14:paraId="504A8E1F" w14:textId="44812518"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315,66</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573B12C7"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1146" w:type="dxa"/>
            <w:tcBorders>
              <w:top w:val="single" w:sz="4" w:space="0" w:color="auto"/>
              <w:left w:val="nil"/>
              <w:bottom w:val="single" w:sz="4" w:space="0" w:color="auto"/>
              <w:right w:val="nil"/>
            </w:tcBorders>
            <w:shd w:val="clear" w:color="auto" w:fill="auto"/>
            <w:noWrap/>
            <w:vAlign w:val="bottom"/>
            <w:hideMark/>
          </w:tcPr>
          <w:p w14:paraId="104C3C21" w14:textId="2084B6AE"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123,17</w:t>
            </w:r>
          </w:p>
        </w:tc>
        <w:tc>
          <w:tcPr>
            <w:tcW w:w="937" w:type="dxa"/>
            <w:tcBorders>
              <w:top w:val="single" w:sz="4" w:space="0" w:color="auto"/>
              <w:left w:val="nil"/>
              <w:bottom w:val="single" w:sz="4" w:space="0" w:color="auto"/>
              <w:right w:val="nil"/>
            </w:tcBorders>
            <w:shd w:val="clear" w:color="auto" w:fill="auto"/>
            <w:noWrap/>
            <w:vAlign w:val="center"/>
            <w:hideMark/>
          </w:tcPr>
          <w:p w14:paraId="57AB7DAD"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-21 %  </w:t>
            </w:r>
          </w:p>
        </w:tc>
      </w:tr>
      <w:tr w:rsidR="00B64E96" w:rsidRPr="00730B1E" w14:paraId="7C58E489" w14:textId="77777777" w:rsidTr="00CF5DA7">
        <w:trPr>
          <w:trHeight w:val="315"/>
        </w:trPr>
        <w:tc>
          <w:tcPr>
            <w:tcW w:w="1820" w:type="dxa"/>
            <w:tcBorders>
              <w:top w:val="nil"/>
              <w:left w:val="nil"/>
              <w:bottom w:val="single" w:sz="4" w:space="0" w:color="auto"/>
              <w:right w:val="nil"/>
            </w:tcBorders>
            <w:shd w:val="clear" w:color="auto" w:fill="auto"/>
            <w:noWrap/>
            <w:vAlign w:val="bottom"/>
            <w:hideMark/>
          </w:tcPr>
          <w:p w14:paraId="6FD3EA7C" w14:textId="77777777" w:rsidR="003B5D5E" w:rsidRPr="00730B1E" w:rsidRDefault="003B5D5E" w:rsidP="003B5D5E">
            <w:pPr>
              <w:spacing w:line="240" w:lineRule="auto"/>
              <w:jc w:val="left"/>
              <w:rPr>
                <w:rFonts w:eastAsia="Times New Roman"/>
                <w:szCs w:val="24"/>
                <w:lang w:eastAsia="cs-CZ"/>
              </w:rPr>
            </w:pPr>
            <w:r w:rsidRPr="00730B1E">
              <w:rPr>
                <w:rFonts w:eastAsia="Times New Roman"/>
                <w:szCs w:val="24"/>
                <w:lang w:eastAsia="cs-CZ"/>
              </w:rPr>
              <w:t>KS Praha</w:t>
            </w:r>
          </w:p>
        </w:tc>
        <w:tc>
          <w:tcPr>
            <w:tcW w:w="1157" w:type="dxa"/>
            <w:tcBorders>
              <w:top w:val="nil"/>
              <w:left w:val="nil"/>
              <w:bottom w:val="single" w:sz="4" w:space="0" w:color="auto"/>
              <w:right w:val="nil"/>
            </w:tcBorders>
            <w:shd w:val="clear" w:color="auto" w:fill="auto"/>
            <w:noWrap/>
            <w:vAlign w:val="bottom"/>
            <w:hideMark/>
          </w:tcPr>
          <w:p w14:paraId="2FD77BFA" w14:textId="08CFC77B"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97,72</w:t>
            </w:r>
          </w:p>
        </w:tc>
        <w:tc>
          <w:tcPr>
            <w:tcW w:w="1134" w:type="dxa"/>
            <w:tcBorders>
              <w:top w:val="nil"/>
              <w:left w:val="nil"/>
              <w:bottom w:val="single" w:sz="4" w:space="0" w:color="auto"/>
              <w:right w:val="nil"/>
            </w:tcBorders>
            <w:shd w:val="clear" w:color="auto" w:fill="auto"/>
            <w:noWrap/>
            <w:vAlign w:val="bottom"/>
            <w:hideMark/>
          </w:tcPr>
          <w:p w14:paraId="78BBF311" w14:textId="5E403248"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362,56</w:t>
            </w:r>
          </w:p>
        </w:tc>
        <w:tc>
          <w:tcPr>
            <w:tcW w:w="935" w:type="dxa"/>
            <w:gridSpan w:val="2"/>
            <w:tcBorders>
              <w:top w:val="nil"/>
              <w:left w:val="nil"/>
              <w:bottom w:val="single" w:sz="4" w:space="0" w:color="auto"/>
              <w:right w:val="nil"/>
            </w:tcBorders>
            <w:shd w:val="clear" w:color="auto" w:fill="auto"/>
            <w:noWrap/>
            <w:vAlign w:val="center"/>
            <w:hideMark/>
          </w:tcPr>
          <w:p w14:paraId="5D68DDCB"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1050" w:type="dxa"/>
            <w:tcBorders>
              <w:top w:val="nil"/>
              <w:left w:val="single" w:sz="4" w:space="0" w:color="auto"/>
              <w:bottom w:val="single" w:sz="4" w:space="0" w:color="auto"/>
              <w:right w:val="nil"/>
            </w:tcBorders>
            <w:shd w:val="clear" w:color="auto" w:fill="auto"/>
            <w:noWrap/>
            <w:vAlign w:val="bottom"/>
            <w:hideMark/>
          </w:tcPr>
          <w:p w14:paraId="1B119016" w14:textId="29B3D125"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367,65</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0BD15F95"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1146" w:type="dxa"/>
            <w:tcBorders>
              <w:top w:val="nil"/>
              <w:left w:val="nil"/>
              <w:bottom w:val="single" w:sz="4" w:space="0" w:color="auto"/>
              <w:right w:val="nil"/>
            </w:tcBorders>
            <w:shd w:val="clear" w:color="auto" w:fill="auto"/>
            <w:noWrap/>
            <w:vAlign w:val="bottom"/>
            <w:hideMark/>
          </w:tcPr>
          <w:p w14:paraId="7A4C8475" w14:textId="17B9A2EE"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89,85</w:t>
            </w:r>
          </w:p>
        </w:tc>
        <w:tc>
          <w:tcPr>
            <w:tcW w:w="937" w:type="dxa"/>
            <w:tcBorders>
              <w:top w:val="nil"/>
              <w:left w:val="nil"/>
              <w:bottom w:val="single" w:sz="4" w:space="0" w:color="auto"/>
              <w:right w:val="nil"/>
            </w:tcBorders>
            <w:shd w:val="clear" w:color="auto" w:fill="auto"/>
            <w:noWrap/>
            <w:vAlign w:val="center"/>
            <w:hideMark/>
          </w:tcPr>
          <w:p w14:paraId="64827895"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r>
      <w:tr w:rsidR="00B64E96" w:rsidRPr="00730B1E" w14:paraId="062C3ABE" w14:textId="77777777" w:rsidTr="00CF5DA7">
        <w:trPr>
          <w:trHeight w:val="315"/>
        </w:trPr>
        <w:tc>
          <w:tcPr>
            <w:tcW w:w="1820" w:type="dxa"/>
            <w:tcBorders>
              <w:top w:val="nil"/>
              <w:left w:val="nil"/>
              <w:bottom w:val="single" w:sz="4" w:space="0" w:color="auto"/>
              <w:right w:val="nil"/>
            </w:tcBorders>
            <w:shd w:val="clear" w:color="auto" w:fill="auto"/>
            <w:noWrap/>
            <w:vAlign w:val="bottom"/>
            <w:hideMark/>
          </w:tcPr>
          <w:p w14:paraId="794457FF" w14:textId="77777777" w:rsidR="003B5D5E" w:rsidRPr="00730B1E" w:rsidRDefault="003B5D5E" w:rsidP="003B5D5E">
            <w:pPr>
              <w:spacing w:line="240" w:lineRule="auto"/>
              <w:jc w:val="left"/>
              <w:rPr>
                <w:rFonts w:eastAsia="Times New Roman"/>
                <w:szCs w:val="24"/>
                <w:lang w:eastAsia="cs-CZ"/>
              </w:rPr>
            </w:pPr>
            <w:r w:rsidRPr="00730B1E">
              <w:rPr>
                <w:rFonts w:eastAsia="Times New Roman"/>
                <w:szCs w:val="24"/>
                <w:lang w:eastAsia="cs-CZ"/>
              </w:rPr>
              <w:t>KS Č. Budějovice</w:t>
            </w:r>
          </w:p>
        </w:tc>
        <w:tc>
          <w:tcPr>
            <w:tcW w:w="1157" w:type="dxa"/>
            <w:tcBorders>
              <w:top w:val="nil"/>
              <w:left w:val="nil"/>
              <w:bottom w:val="single" w:sz="4" w:space="0" w:color="auto"/>
              <w:right w:val="nil"/>
            </w:tcBorders>
            <w:shd w:val="clear" w:color="auto" w:fill="auto"/>
            <w:noWrap/>
            <w:vAlign w:val="bottom"/>
            <w:hideMark/>
          </w:tcPr>
          <w:p w14:paraId="4DF0D822" w14:textId="35D67941"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43,61</w:t>
            </w:r>
          </w:p>
        </w:tc>
        <w:tc>
          <w:tcPr>
            <w:tcW w:w="1134" w:type="dxa"/>
            <w:tcBorders>
              <w:top w:val="nil"/>
              <w:left w:val="nil"/>
              <w:bottom w:val="single" w:sz="4" w:space="0" w:color="auto"/>
              <w:right w:val="nil"/>
            </w:tcBorders>
            <w:shd w:val="clear" w:color="auto" w:fill="auto"/>
            <w:noWrap/>
            <w:vAlign w:val="bottom"/>
            <w:hideMark/>
          </w:tcPr>
          <w:p w14:paraId="2BA06BFE" w14:textId="317F83EA"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356,82</w:t>
            </w:r>
          </w:p>
        </w:tc>
        <w:tc>
          <w:tcPr>
            <w:tcW w:w="935" w:type="dxa"/>
            <w:gridSpan w:val="2"/>
            <w:tcBorders>
              <w:top w:val="nil"/>
              <w:left w:val="nil"/>
              <w:bottom w:val="single" w:sz="4" w:space="0" w:color="auto"/>
              <w:right w:val="nil"/>
            </w:tcBorders>
            <w:shd w:val="clear" w:color="auto" w:fill="auto"/>
            <w:noWrap/>
            <w:vAlign w:val="center"/>
            <w:hideMark/>
          </w:tcPr>
          <w:p w14:paraId="445BA85E"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50" w:type="dxa"/>
            <w:tcBorders>
              <w:top w:val="nil"/>
              <w:left w:val="single" w:sz="4" w:space="0" w:color="auto"/>
              <w:bottom w:val="single" w:sz="4" w:space="0" w:color="auto"/>
              <w:right w:val="nil"/>
            </w:tcBorders>
            <w:shd w:val="clear" w:color="auto" w:fill="auto"/>
            <w:noWrap/>
            <w:vAlign w:val="bottom"/>
            <w:hideMark/>
          </w:tcPr>
          <w:p w14:paraId="0B5707BA" w14:textId="56C72C43"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361,04</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24D01B6D"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146" w:type="dxa"/>
            <w:tcBorders>
              <w:top w:val="nil"/>
              <w:left w:val="nil"/>
              <w:bottom w:val="single" w:sz="4" w:space="0" w:color="auto"/>
              <w:right w:val="nil"/>
            </w:tcBorders>
            <w:shd w:val="clear" w:color="auto" w:fill="auto"/>
            <w:noWrap/>
            <w:vAlign w:val="bottom"/>
            <w:hideMark/>
          </w:tcPr>
          <w:p w14:paraId="5EB8E88E" w14:textId="59F1D831"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73,61</w:t>
            </w:r>
          </w:p>
        </w:tc>
        <w:tc>
          <w:tcPr>
            <w:tcW w:w="937" w:type="dxa"/>
            <w:tcBorders>
              <w:top w:val="nil"/>
              <w:left w:val="nil"/>
              <w:bottom w:val="single" w:sz="4" w:space="0" w:color="auto"/>
              <w:right w:val="nil"/>
            </w:tcBorders>
            <w:shd w:val="clear" w:color="auto" w:fill="auto"/>
            <w:noWrap/>
            <w:vAlign w:val="center"/>
            <w:hideMark/>
          </w:tcPr>
          <w:p w14:paraId="76BE861F"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10B60EB2" w14:textId="77777777" w:rsidTr="00CF5DA7">
        <w:trPr>
          <w:trHeight w:val="315"/>
        </w:trPr>
        <w:tc>
          <w:tcPr>
            <w:tcW w:w="1820" w:type="dxa"/>
            <w:tcBorders>
              <w:top w:val="nil"/>
              <w:left w:val="nil"/>
              <w:bottom w:val="single" w:sz="4" w:space="0" w:color="auto"/>
              <w:right w:val="nil"/>
            </w:tcBorders>
            <w:shd w:val="clear" w:color="auto" w:fill="auto"/>
            <w:noWrap/>
            <w:vAlign w:val="bottom"/>
            <w:hideMark/>
          </w:tcPr>
          <w:p w14:paraId="69D638A7" w14:textId="77777777" w:rsidR="003B5D5E" w:rsidRPr="00730B1E" w:rsidRDefault="003B5D5E" w:rsidP="003B5D5E">
            <w:pPr>
              <w:spacing w:line="240" w:lineRule="auto"/>
              <w:jc w:val="left"/>
              <w:rPr>
                <w:rFonts w:eastAsia="Times New Roman"/>
                <w:szCs w:val="24"/>
                <w:lang w:eastAsia="cs-CZ"/>
              </w:rPr>
            </w:pPr>
            <w:r w:rsidRPr="00730B1E">
              <w:rPr>
                <w:rFonts w:eastAsia="Times New Roman"/>
                <w:szCs w:val="24"/>
                <w:lang w:eastAsia="cs-CZ"/>
              </w:rPr>
              <w:t>KS Plzeň</w:t>
            </w:r>
          </w:p>
        </w:tc>
        <w:tc>
          <w:tcPr>
            <w:tcW w:w="1157" w:type="dxa"/>
            <w:tcBorders>
              <w:top w:val="nil"/>
              <w:left w:val="nil"/>
              <w:bottom w:val="single" w:sz="4" w:space="0" w:color="auto"/>
              <w:right w:val="nil"/>
            </w:tcBorders>
            <w:shd w:val="clear" w:color="auto" w:fill="auto"/>
            <w:noWrap/>
            <w:vAlign w:val="bottom"/>
            <w:hideMark/>
          </w:tcPr>
          <w:p w14:paraId="5A485042" w14:textId="46F029A9"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78,5</w:t>
            </w:r>
          </w:p>
        </w:tc>
        <w:tc>
          <w:tcPr>
            <w:tcW w:w="1134" w:type="dxa"/>
            <w:tcBorders>
              <w:top w:val="nil"/>
              <w:left w:val="nil"/>
              <w:bottom w:val="single" w:sz="4" w:space="0" w:color="auto"/>
              <w:right w:val="nil"/>
            </w:tcBorders>
            <w:shd w:val="clear" w:color="auto" w:fill="auto"/>
            <w:noWrap/>
            <w:vAlign w:val="bottom"/>
            <w:hideMark/>
          </w:tcPr>
          <w:p w14:paraId="233BDBE7" w14:textId="39FE9EE7"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368,05</w:t>
            </w:r>
          </w:p>
        </w:tc>
        <w:tc>
          <w:tcPr>
            <w:tcW w:w="935" w:type="dxa"/>
            <w:gridSpan w:val="2"/>
            <w:tcBorders>
              <w:top w:val="nil"/>
              <w:left w:val="nil"/>
              <w:bottom w:val="single" w:sz="4" w:space="0" w:color="auto"/>
              <w:right w:val="nil"/>
            </w:tcBorders>
            <w:shd w:val="clear" w:color="auto" w:fill="auto"/>
            <w:noWrap/>
            <w:vAlign w:val="center"/>
            <w:hideMark/>
          </w:tcPr>
          <w:p w14:paraId="4A700449"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050" w:type="dxa"/>
            <w:tcBorders>
              <w:top w:val="nil"/>
              <w:left w:val="single" w:sz="4" w:space="0" w:color="auto"/>
              <w:bottom w:val="single" w:sz="4" w:space="0" w:color="auto"/>
              <w:right w:val="nil"/>
            </w:tcBorders>
            <w:shd w:val="clear" w:color="auto" w:fill="auto"/>
            <w:noWrap/>
            <w:vAlign w:val="bottom"/>
            <w:hideMark/>
          </w:tcPr>
          <w:p w14:paraId="4661366B" w14:textId="69C24E41"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379,64</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1A716ECE"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1146" w:type="dxa"/>
            <w:tcBorders>
              <w:top w:val="nil"/>
              <w:left w:val="nil"/>
              <w:bottom w:val="single" w:sz="4" w:space="0" w:color="auto"/>
              <w:right w:val="nil"/>
            </w:tcBorders>
            <w:shd w:val="clear" w:color="auto" w:fill="auto"/>
            <w:noWrap/>
            <w:vAlign w:val="bottom"/>
            <w:hideMark/>
          </w:tcPr>
          <w:p w14:paraId="0CB496B4" w14:textId="7EB6AC38"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101,16</w:t>
            </w:r>
          </w:p>
        </w:tc>
        <w:tc>
          <w:tcPr>
            <w:tcW w:w="937" w:type="dxa"/>
            <w:tcBorders>
              <w:top w:val="nil"/>
              <w:left w:val="nil"/>
              <w:bottom w:val="single" w:sz="4" w:space="0" w:color="auto"/>
              <w:right w:val="nil"/>
            </w:tcBorders>
            <w:shd w:val="clear" w:color="auto" w:fill="auto"/>
            <w:noWrap/>
            <w:vAlign w:val="center"/>
            <w:hideMark/>
          </w:tcPr>
          <w:p w14:paraId="07061DE8"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r>
      <w:tr w:rsidR="00B64E96" w:rsidRPr="00730B1E" w14:paraId="4AE59B66" w14:textId="77777777" w:rsidTr="00CF5DA7">
        <w:trPr>
          <w:trHeight w:val="315"/>
        </w:trPr>
        <w:tc>
          <w:tcPr>
            <w:tcW w:w="1820" w:type="dxa"/>
            <w:tcBorders>
              <w:top w:val="nil"/>
              <w:left w:val="nil"/>
              <w:bottom w:val="single" w:sz="4" w:space="0" w:color="auto"/>
              <w:right w:val="nil"/>
            </w:tcBorders>
            <w:shd w:val="clear" w:color="auto" w:fill="auto"/>
            <w:noWrap/>
            <w:vAlign w:val="bottom"/>
            <w:hideMark/>
          </w:tcPr>
          <w:p w14:paraId="335E8C18" w14:textId="77777777" w:rsidR="003B5D5E" w:rsidRPr="00730B1E" w:rsidRDefault="003B5D5E" w:rsidP="003B5D5E">
            <w:pPr>
              <w:spacing w:line="240" w:lineRule="auto"/>
              <w:jc w:val="left"/>
              <w:rPr>
                <w:rFonts w:eastAsia="Times New Roman"/>
                <w:szCs w:val="24"/>
                <w:lang w:eastAsia="cs-CZ"/>
              </w:rPr>
            </w:pPr>
            <w:r w:rsidRPr="00730B1E">
              <w:rPr>
                <w:rFonts w:eastAsia="Times New Roman"/>
                <w:szCs w:val="24"/>
                <w:lang w:eastAsia="cs-CZ"/>
              </w:rPr>
              <w:t>KS Ústí n. Labem</w:t>
            </w:r>
          </w:p>
        </w:tc>
        <w:tc>
          <w:tcPr>
            <w:tcW w:w="1157" w:type="dxa"/>
            <w:tcBorders>
              <w:top w:val="nil"/>
              <w:left w:val="nil"/>
              <w:bottom w:val="single" w:sz="4" w:space="0" w:color="auto"/>
              <w:right w:val="nil"/>
            </w:tcBorders>
            <w:shd w:val="clear" w:color="auto" w:fill="auto"/>
            <w:noWrap/>
            <w:vAlign w:val="bottom"/>
            <w:hideMark/>
          </w:tcPr>
          <w:p w14:paraId="4D314EDB" w14:textId="4CAF720A"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121,45</w:t>
            </w:r>
          </w:p>
        </w:tc>
        <w:tc>
          <w:tcPr>
            <w:tcW w:w="1134" w:type="dxa"/>
            <w:tcBorders>
              <w:top w:val="nil"/>
              <w:left w:val="nil"/>
              <w:bottom w:val="single" w:sz="4" w:space="0" w:color="auto"/>
              <w:right w:val="nil"/>
            </w:tcBorders>
            <w:shd w:val="clear" w:color="auto" w:fill="auto"/>
            <w:noWrap/>
            <w:vAlign w:val="bottom"/>
            <w:hideMark/>
          </w:tcPr>
          <w:p w14:paraId="77AB151A" w14:textId="59A13FB5"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386,55</w:t>
            </w:r>
          </w:p>
        </w:tc>
        <w:tc>
          <w:tcPr>
            <w:tcW w:w="935" w:type="dxa"/>
            <w:gridSpan w:val="2"/>
            <w:tcBorders>
              <w:top w:val="nil"/>
              <w:left w:val="nil"/>
              <w:bottom w:val="single" w:sz="4" w:space="0" w:color="auto"/>
              <w:right w:val="nil"/>
            </w:tcBorders>
            <w:shd w:val="clear" w:color="auto" w:fill="auto"/>
            <w:noWrap/>
            <w:vAlign w:val="center"/>
            <w:hideMark/>
          </w:tcPr>
          <w:p w14:paraId="795575B6"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050" w:type="dxa"/>
            <w:tcBorders>
              <w:top w:val="nil"/>
              <w:left w:val="single" w:sz="4" w:space="0" w:color="auto"/>
              <w:bottom w:val="single" w:sz="4" w:space="0" w:color="auto"/>
              <w:right w:val="nil"/>
            </w:tcBorders>
            <w:shd w:val="clear" w:color="auto" w:fill="auto"/>
            <w:noWrap/>
            <w:vAlign w:val="bottom"/>
            <w:hideMark/>
          </w:tcPr>
          <w:p w14:paraId="5E91BD47" w14:textId="56999AEA"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403,48</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181737DE"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1146" w:type="dxa"/>
            <w:tcBorders>
              <w:top w:val="nil"/>
              <w:left w:val="nil"/>
              <w:bottom w:val="single" w:sz="4" w:space="0" w:color="auto"/>
              <w:right w:val="nil"/>
            </w:tcBorders>
            <w:shd w:val="clear" w:color="auto" w:fill="auto"/>
            <w:noWrap/>
            <w:vAlign w:val="bottom"/>
            <w:hideMark/>
          </w:tcPr>
          <w:p w14:paraId="4DC708C7" w14:textId="65AE2AB5"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128,75</w:t>
            </w:r>
          </w:p>
        </w:tc>
        <w:tc>
          <w:tcPr>
            <w:tcW w:w="937" w:type="dxa"/>
            <w:tcBorders>
              <w:top w:val="nil"/>
              <w:left w:val="nil"/>
              <w:bottom w:val="single" w:sz="4" w:space="0" w:color="auto"/>
              <w:right w:val="nil"/>
            </w:tcBorders>
            <w:shd w:val="clear" w:color="auto" w:fill="auto"/>
            <w:noWrap/>
            <w:vAlign w:val="center"/>
            <w:hideMark/>
          </w:tcPr>
          <w:p w14:paraId="67A89EEB"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r>
      <w:tr w:rsidR="00B64E96" w:rsidRPr="00730B1E" w14:paraId="347663AB" w14:textId="77777777" w:rsidTr="00CF5DA7">
        <w:trPr>
          <w:trHeight w:val="315"/>
        </w:trPr>
        <w:tc>
          <w:tcPr>
            <w:tcW w:w="1820" w:type="dxa"/>
            <w:tcBorders>
              <w:top w:val="nil"/>
              <w:left w:val="nil"/>
              <w:bottom w:val="single" w:sz="4" w:space="0" w:color="auto"/>
              <w:right w:val="nil"/>
            </w:tcBorders>
            <w:shd w:val="clear" w:color="auto" w:fill="auto"/>
            <w:noWrap/>
            <w:vAlign w:val="bottom"/>
            <w:hideMark/>
          </w:tcPr>
          <w:p w14:paraId="658785D3" w14:textId="77777777" w:rsidR="003B5D5E" w:rsidRPr="00730B1E" w:rsidRDefault="003B5D5E" w:rsidP="003B5D5E">
            <w:pPr>
              <w:spacing w:line="240" w:lineRule="auto"/>
              <w:jc w:val="left"/>
              <w:rPr>
                <w:rFonts w:eastAsia="Times New Roman"/>
                <w:szCs w:val="24"/>
                <w:lang w:eastAsia="cs-CZ"/>
              </w:rPr>
            </w:pPr>
            <w:r w:rsidRPr="00730B1E">
              <w:rPr>
                <w:rFonts w:eastAsia="Times New Roman"/>
                <w:szCs w:val="24"/>
                <w:lang w:eastAsia="cs-CZ"/>
              </w:rPr>
              <w:t>KS Hr. Králové</w:t>
            </w:r>
          </w:p>
        </w:tc>
        <w:tc>
          <w:tcPr>
            <w:tcW w:w="1157" w:type="dxa"/>
            <w:tcBorders>
              <w:top w:val="nil"/>
              <w:left w:val="nil"/>
              <w:bottom w:val="single" w:sz="4" w:space="0" w:color="auto"/>
              <w:right w:val="nil"/>
            </w:tcBorders>
            <w:shd w:val="clear" w:color="auto" w:fill="auto"/>
            <w:noWrap/>
            <w:vAlign w:val="bottom"/>
            <w:hideMark/>
          </w:tcPr>
          <w:p w14:paraId="1B25CD77" w14:textId="29A7B926"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77,6</w:t>
            </w:r>
          </w:p>
        </w:tc>
        <w:tc>
          <w:tcPr>
            <w:tcW w:w="1134" w:type="dxa"/>
            <w:tcBorders>
              <w:top w:val="nil"/>
              <w:left w:val="nil"/>
              <w:bottom w:val="single" w:sz="4" w:space="0" w:color="auto"/>
              <w:right w:val="nil"/>
            </w:tcBorders>
            <w:shd w:val="clear" w:color="auto" w:fill="auto"/>
            <w:noWrap/>
            <w:vAlign w:val="bottom"/>
            <w:hideMark/>
          </w:tcPr>
          <w:p w14:paraId="14481198" w14:textId="3F4DDCAF"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352,44</w:t>
            </w:r>
          </w:p>
        </w:tc>
        <w:tc>
          <w:tcPr>
            <w:tcW w:w="935" w:type="dxa"/>
            <w:gridSpan w:val="2"/>
            <w:tcBorders>
              <w:top w:val="nil"/>
              <w:left w:val="nil"/>
              <w:bottom w:val="single" w:sz="4" w:space="0" w:color="auto"/>
              <w:right w:val="nil"/>
            </w:tcBorders>
            <w:shd w:val="clear" w:color="auto" w:fill="auto"/>
            <w:noWrap/>
            <w:vAlign w:val="center"/>
            <w:hideMark/>
          </w:tcPr>
          <w:p w14:paraId="2BD7B303"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50" w:type="dxa"/>
            <w:tcBorders>
              <w:top w:val="nil"/>
              <w:left w:val="single" w:sz="4" w:space="0" w:color="auto"/>
              <w:bottom w:val="single" w:sz="4" w:space="0" w:color="auto"/>
              <w:right w:val="nil"/>
            </w:tcBorders>
            <w:shd w:val="clear" w:color="auto" w:fill="auto"/>
            <w:noWrap/>
            <w:vAlign w:val="bottom"/>
            <w:hideMark/>
          </w:tcPr>
          <w:p w14:paraId="0CFB35D0" w14:textId="19A58C0F"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359,39</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1C4C1720"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146" w:type="dxa"/>
            <w:tcBorders>
              <w:top w:val="nil"/>
              <w:left w:val="nil"/>
              <w:bottom w:val="single" w:sz="4" w:space="0" w:color="auto"/>
              <w:right w:val="nil"/>
            </w:tcBorders>
            <w:shd w:val="clear" w:color="auto" w:fill="auto"/>
            <w:noWrap/>
            <w:vAlign w:val="bottom"/>
            <w:hideMark/>
          </w:tcPr>
          <w:p w14:paraId="2E1FE0B2" w14:textId="7B30FA1B"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106,91</w:t>
            </w:r>
          </w:p>
        </w:tc>
        <w:tc>
          <w:tcPr>
            <w:tcW w:w="937" w:type="dxa"/>
            <w:tcBorders>
              <w:top w:val="nil"/>
              <w:left w:val="nil"/>
              <w:bottom w:val="single" w:sz="4" w:space="0" w:color="auto"/>
              <w:right w:val="nil"/>
            </w:tcBorders>
            <w:shd w:val="clear" w:color="auto" w:fill="auto"/>
            <w:noWrap/>
            <w:vAlign w:val="center"/>
            <w:hideMark/>
          </w:tcPr>
          <w:p w14:paraId="17FBDDBD"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662804EB" w14:textId="77777777" w:rsidTr="00CF5DA7">
        <w:trPr>
          <w:trHeight w:val="315"/>
        </w:trPr>
        <w:tc>
          <w:tcPr>
            <w:tcW w:w="1820" w:type="dxa"/>
            <w:tcBorders>
              <w:top w:val="nil"/>
              <w:left w:val="nil"/>
              <w:bottom w:val="single" w:sz="4" w:space="0" w:color="auto"/>
              <w:right w:val="nil"/>
            </w:tcBorders>
            <w:shd w:val="clear" w:color="auto" w:fill="auto"/>
            <w:noWrap/>
            <w:vAlign w:val="bottom"/>
            <w:hideMark/>
          </w:tcPr>
          <w:p w14:paraId="3CDA5FF4" w14:textId="77777777" w:rsidR="003B5D5E" w:rsidRPr="00730B1E" w:rsidRDefault="003B5D5E" w:rsidP="003B5D5E">
            <w:pPr>
              <w:spacing w:line="240" w:lineRule="auto"/>
              <w:jc w:val="left"/>
              <w:rPr>
                <w:rFonts w:eastAsia="Times New Roman"/>
                <w:szCs w:val="24"/>
                <w:lang w:eastAsia="cs-CZ"/>
              </w:rPr>
            </w:pPr>
            <w:r w:rsidRPr="00730B1E">
              <w:rPr>
                <w:rFonts w:eastAsia="Times New Roman"/>
                <w:szCs w:val="24"/>
                <w:lang w:eastAsia="cs-CZ"/>
              </w:rPr>
              <w:t>KS Brno</w:t>
            </w:r>
          </w:p>
        </w:tc>
        <w:tc>
          <w:tcPr>
            <w:tcW w:w="1157" w:type="dxa"/>
            <w:tcBorders>
              <w:top w:val="nil"/>
              <w:left w:val="nil"/>
              <w:bottom w:val="single" w:sz="4" w:space="0" w:color="auto"/>
              <w:right w:val="nil"/>
            </w:tcBorders>
            <w:shd w:val="clear" w:color="auto" w:fill="auto"/>
            <w:noWrap/>
            <w:vAlign w:val="bottom"/>
            <w:hideMark/>
          </w:tcPr>
          <w:p w14:paraId="209FDC66" w14:textId="5E917BE8"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142,7</w:t>
            </w:r>
          </w:p>
        </w:tc>
        <w:tc>
          <w:tcPr>
            <w:tcW w:w="1134" w:type="dxa"/>
            <w:tcBorders>
              <w:top w:val="nil"/>
              <w:left w:val="nil"/>
              <w:bottom w:val="single" w:sz="4" w:space="0" w:color="auto"/>
              <w:right w:val="nil"/>
            </w:tcBorders>
            <w:shd w:val="clear" w:color="auto" w:fill="auto"/>
            <w:noWrap/>
            <w:vAlign w:val="bottom"/>
            <w:hideMark/>
          </w:tcPr>
          <w:p w14:paraId="2FD6F6D8" w14:textId="7BDCF8C8"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306,39</w:t>
            </w:r>
          </w:p>
        </w:tc>
        <w:tc>
          <w:tcPr>
            <w:tcW w:w="935" w:type="dxa"/>
            <w:gridSpan w:val="2"/>
            <w:tcBorders>
              <w:top w:val="nil"/>
              <w:left w:val="nil"/>
              <w:bottom w:val="single" w:sz="4" w:space="0" w:color="auto"/>
              <w:right w:val="nil"/>
            </w:tcBorders>
            <w:shd w:val="clear" w:color="auto" w:fill="auto"/>
            <w:noWrap/>
            <w:vAlign w:val="center"/>
            <w:hideMark/>
          </w:tcPr>
          <w:p w14:paraId="64C88260"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050" w:type="dxa"/>
            <w:tcBorders>
              <w:top w:val="nil"/>
              <w:left w:val="single" w:sz="4" w:space="0" w:color="auto"/>
              <w:bottom w:val="single" w:sz="4" w:space="0" w:color="auto"/>
              <w:right w:val="nil"/>
            </w:tcBorders>
            <w:shd w:val="clear" w:color="auto" w:fill="auto"/>
            <w:noWrap/>
            <w:vAlign w:val="bottom"/>
            <w:hideMark/>
          </w:tcPr>
          <w:p w14:paraId="7B3E88C5" w14:textId="44CF0980"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312,75</w:t>
            </w:r>
          </w:p>
        </w:tc>
        <w:tc>
          <w:tcPr>
            <w:tcW w:w="935" w:type="dxa"/>
            <w:gridSpan w:val="2"/>
            <w:tcBorders>
              <w:top w:val="nil"/>
              <w:left w:val="nil"/>
              <w:bottom w:val="single" w:sz="4" w:space="0" w:color="auto"/>
              <w:right w:val="single" w:sz="4" w:space="0" w:color="auto"/>
            </w:tcBorders>
            <w:shd w:val="clear" w:color="auto" w:fill="auto"/>
            <w:noWrap/>
            <w:vAlign w:val="center"/>
            <w:hideMark/>
          </w:tcPr>
          <w:p w14:paraId="2911DCFD"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146" w:type="dxa"/>
            <w:tcBorders>
              <w:top w:val="nil"/>
              <w:left w:val="nil"/>
              <w:bottom w:val="single" w:sz="4" w:space="0" w:color="auto"/>
              <w:right w:val="nil"/>
            </w:tcBorders>
            <w:shd w:val="clear" w:color="auto" w:fill="auto"/>
            <w:noWrap/>
            <w:vAlign w:val="bottom"/>
            <w:hideMark/>
          </w:tcPr>
          <w:p w14:paraId="2D578D49" w14:textId="4F47E6F5"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130,55</w:t>
            </w:r>
          </w:p>
        </w:tc>
        <w:tc>
          <w:tcPr>
            <w:tcW w:w="937" w:type="dxa"/>
            <w:tcBorders>
              <w:top w:val="nil"/>
              <w:left w:val="nil"/>
              <w:bottom w:val="single" w:sz="4" w:space="0" w:color="auto"/>
              <w:right w:val="nil"/>
            </w:tcBorders>
            <w:shd w:val="clear" w:color="auto" w:fill="auto"/>
            <w:noWrap/>
            <w:vAlign w:val="center"/>
            <w:hideMark/>
          </w:tcPr>
          <w:p w14:paraId="12D3E5EA"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699567A8" w14:textId="77777777" w:rsidTr="00525C94">
        <w:trPr>
          <w:trHeight w:val="330"/>
        </w:trPr>
        <w:tc>
          <w:tcPr>
            <w:tcW w:w="1820" w:type="dxa"/>
            <w:tcBorders>
              <w:top w:val="nil"/>
              <w:left w:val="nil"/>
              <w:bottom w:val="double" w:sz="6" w:space="0" w:color="auto"/>
              <w:right w:val="nil"/>
            </w:tcBorders>
            <w:shd w:val="clear" w:color="auto" w:fill="auto"/>
            <w:noWrap/>
            <w:vAlign w:val="bottom"/>
            <w:hideMark/>
          </w:tcPr>
          <w:p w14:paraId="28518D14" w14:textId="77777777" w:rsidR="003B5D5E" w:rsidRPr="00730B1E" w:rsidRDefault="003B5D5E" w:rsidP="003B5D5E">
            <w:pPr>
              <w:spacing w:line="240" w:lineRule="auto"/>
              <w:jc w:val="left"/>
              <w:rPr>
                <w:rFonts w:eastAsia="Times New Roman"/>
                <w:szCs w:val="24"/>
                <w:lang w:eastAsia="cs-CZ"/>
              </w:rPr>
            </w:pPr>
            <w:r w:rsidRPr="00730B1E">
              <w:rPr>
                <w:rFonts w:eastAsia="Times New Roman"/>
                <w:szCs w:val="24"/>
                <w:lang w:eastAsia="cs-CZ"/>
              </w:rPr>
              <w:t>KS Ostrava</w:t>
            </w:r>
          </w:p>
        </w:tc>
        <w:tc>
          <w:tcPr>
            <w:tcW w:w="1157" w:type="dxa"/>
            <w:tcBorders>
              <w:top w:val="nil"/>
              <w:left w:val="nil"/>
              <w:bottom w:val="double" w:sz="6" w:space="0" w:color="auto"/>
              <w:right w:val="nil"/>
            </w:tcBorders>
            <w:shd w:val="clear" w:color="auto" w:fill="auto"/>
            <w:noWrap/>
            <w:vAlign w:val="bottom"/>
            <w:hideMark/>
          </w:tcPr>
          <w:p w14:paraId="5B9E0CB5" w14:textId="455FFB2F"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149,65</w:t>
            </w:r>
          </w:p>
        </w:tc>
        <w:tc>
          <w:tcPr>
            <w:tcW w:w="1134" w:type="dxa"/>
            <w:tcBorders>
              <w:top w:val="nil"/>
              <w:left w:val="nil"/>
              <w:bottom w:val="double" w:sz="6" w:space="0" w:color="auto"/>
              <w:right w:val="nil"/>
            </w:tcBorders>
            <w:shd w:val="clear" w:color="auto" w:fill="auto"/>
            <w:noWrap/>
            <w:vAlign w:val="bottom"/>
            <w:hideMark/>
          </w:tcPr>
          <w:p w14:paraId="595A70CA" w14:textId="7FF25DE8"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359,52</w:t>
            </w:r>
          </w:p>
        </w:tc>
        <w:tc>
          <w:tcPr>
            <w:tcW w:w="935" w:type="dxa"/>
            <w:gridSpan w:val="2"/>
            <w:tcBorders>
              <w:top w:val="nil"/>
              <w:left w:val="nil"/>
              <w:bottom w:val="double" w:sz="6" w:space="0" w:color="auto"/>
              <w:right w:val="nil"/>
            </w:tcBorders>
            <w:shd w:val="clear" w:color="auto" w:fill="auto"/>
            <w:noWrap/>
            <w:vAlign w:val="center"/>
            <w:hideMark/>
          </w:tcPr>
          <w:p w14:paraId="7DA5EAF1"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050" w:type="dxa"/>
            <w:tcBorders>
              <w:top w:val="nil"/>
              <w:left w:val="single" w:sz="4" w:space="0" w:color="auto"/>
              <w:bottom w:val="double" w:sz="6" w:space="0" w:color="auto"/>
              <w:right w:val="nil"/>
            </w:tcBorders>
            <w:shd w:val="clear" w:color="auto" w:fill="auto"/>
            <w:noWrap/>
            <w:vAlign w:val="bottom"/>
            <w:hideMark/>
          </w:tcPr>
          <w:p w14:paraId="61331F87" w14:textId="1EA0BA31"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351,79</w:t>
            </w:r>
          </w:p>
        </w:tc>
        <w:tc>
          <w:tcPr>
            <w:tcW w:w="935" w:type="dxa"/>
            <w:gridSpan w:val="2"/>
            <w:tcBorders>
              <w:top w:val="nil"/>
              <w:left w:val="nil"/>
              <w:bottom w:val="double" w:sz="6" w:space="0" w:color="auto"/>
              <w:right w:val="single" w:sz="4" w:space="0" w:color="auto"/>
            </w:tcBorders>
            <w:shd w:val="clear" w:color="auto" w:fill="auto"/>
            <w:noWrap/>
            <w:vAlign w:val="center"/>
            <w:hideMark/>
          </w:tcPr>
          <w:p w14:paraId="014D612D"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146" w:type="dxa"/>
            <w:tcBorders>
              <w:top w:val="nil"/>
              <w:left w:val="nil"/>
              <w:bottom w:val="double" w:sz="6" w:space="0" w:color="auto"/>
              <w:right w:val="nil"/>
            </w:tcBorders>
            <w:shd w:val="clear" w:color="auto" w:fill="auto"/>
            <w:noWrap/>
            <w:vAlign w:val="bottom"/>
            <w:hideMark/>
          </w:tcPr>
          <w:p w14:paraId="1095BABD" w14:textId="7198051F" w:rsidR="003B5D5E" w:rsidRPr="00730B1E" w:rsidRDefault="003B5D5E" w:rsidP="003B5D5E">
            <w:pPr>
              <w:spacing w:line="240" w:lineRule="auto"/>
              <w:jc w:val="center"/>
              <w:rPr>
                <w:rFonts w:eastAsia="Times New Roman"/>
                <w:szCs w:val="24"/>
                <w:lang w:eastAsia="cs-CZ"/>
              </w:rPr>
            </w:pPr>
            <w:r w:rsidRPr="00730B1E">
              <w:rPr>
                <w:rFonts w:eastAsia="Times New Roman"/>
                <w:szCs w:val="24"/>
                <w:lang w:eastAsia="cs-CZ"/>
              </w:rPr>
              <w:t>129,86</w:t>
            </w:r>
          </w:p>
        </w:tc>
        <w:tc>
          <w:tcPr>
            <w:tcW w:w="937" w:type="dxa"/>
            <w:tcBorders>
              <w:top w:val="nil"/>
              <w:left w:val="nil"/>
              <w:bottom w:val="double" w:sz="6" w:space="0" w:color="auto"/>
              <w:right w:val="nil"/>
            </w:tcBorders>
            <w:shd w:val="clear" w:color="auto" w:fill="auto"/>
            <w:noWrap/>
            <w:vAlign w:val="center"/>
            <w:hideMark/>
          </w:tcPr>
          <w:p w14:paraId="5B29B1C3" w14:textId="77777777" w:rsidR="003B5D5E" w:rsidRPr="00730B1E" w:rsidRDefault="003B5D5E" w:rsidP="003B5D5E">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r>
      <w:tr w:rsidR="00B64E96" w:rsidRPr="00730B1E" w14:paraId="28997A5F" w14:textId="77777777" w:rsidTr="00525C94">
        <w:trPr>
          <w:trHeight w:val="345"/>
        </w:trPr>
        <w:tc>
          <w:tcPr>
            <w:tcW w:w="1820" w:type="dxa"/>
            <w:tcBorders>
              <w:top w:val="nil"/>
              <w:left w:val="nil"/>
              <w:bottom w:val="double" w:sz="6" w:space="0" w:color="auto"/>
              <w:right w:val="nil"/>
            </w:tcBorders>
            <w:shd w:val="clear" w:color="auto" w:fill="auto"/>
            <w:noWrap/>
            <w:vAlign w:val="bottom"/>
            <w:hideMark/>
          </w:tcPr>
          <w:p w14:paraId="23B68A13" w14:textId="77777777" w:rsidR="003B5D5E" w:rsidRPr="00730B1E" w:rsidRDefault="003B5D5E" w:rsidP="003B5D5E">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157" w:type="dxa"/>
            <w:tcBorders>
              <w:top w:val="nil"/>
              <w:left w:val="nil"/>
              <w:bottom w:val="double" w:sz="6" w:space="0" w:color="auto"/>
              <w:right w:val="nil"/>
            </w:tcBorders>
            <w:shd w:val="clear" w:color="auto" w:fill="auto"/>
            <w:noWrap/>
            <w:vAlign w:val="bottom"/>
            <w:hideMark/>
          </w:tcPr>
          <w:p w14:paraId="2CDBBFEA" w14:textId="33ED7D9B"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886,43</w:t>
            </w:r>
          </w:p>
        </w:tc>
        <w:tc>
          <w:tcPr>
            <w:tcW w:w="1134" w:type="dxa"/>
            <w:tcBorders>
              <w:top w:val="nil"/>
              <w:left w:val="nil"/>
              <w:bottom w:val="double" w:sz="6" w:space="0" w:color="auto"/>
              <w:right w:val="nil"/>
            </w:tcBorders>
            <w:shd w:val="clear" w:color="auto" w:fill="auto"/>
            <w:noWrap/>
            <w:vAlign w:val="bottom"/>
            <w:hideMark/>
          </w:tcPr>
          <w:p w14:paraId="055E32A7" w14:textId="2D118D11"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341,59</w:t>
            </w:r>
          </w:p>
        </w:tc>
        <w:tc>
          <w:tcPr>
            <w:tcW w:w="935" w:type="dxa"/>
            <w:gridSpan w:val="2"/>
            <w:tcBorders>
              <w:top w:val="nil"/>
              <w:left w:val="nil"/>
              <w:bottom w:val="double" w:sz="6" w:space="0" w:color="auto"/>
              <w:right w:val="nil"/>
            </w:tcBorders>
            <w:shd w:val="clear" w:color="auto" w:fill="auto"/>
            <w:noWrap/>
            <w:vAlign w:val="center"/>
            <w:hideMark/>
          </w:tcPr>
          <w:p w14:paraId="09C9DE74" w14:textId="77777777" w:rsidR="003B5D5E" w:rsidRPr="00730B1E" w:rsidRDefault="003B5D5E" w:rsidP="003B5D5E">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-7 %  </w:t>
            </w:r>
          </w:p>
        </w:tc>
        <w:tc>
          <w:tcPr>
            <w:tcW w:w="1050" w:type="dxa"/>
            <w:tcBorders>
              <w:top w:val="nil"/>
              <w:left w:val="single" w:sz="4" w:space="0" w:color="auto"/>
              <w:bottom w:val="double" w:sz="6" w:space="0" w:color="auto"/>
              <w:right w:val="nil"/>
            </w:tcBorders>
            <w:shd w:val="clear" w:color="auto" w:fill="auto"/>
            <w:noWrap/>
            <w:vAlign w:val="bottom"/>
            <w:hideMark/>
          </w:tcPr>
          <w:p w14:paraId="2067BAF2" w14:textId="44006A3F"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350,78</w:t>
            </w:r>
          </w:p>
        </w:tc>
        <w:tc>
          <w:tcPr>
            <w:tcW w:w="935" w:type="dxa"/>
            <w:gridSpan w:val="2"/>
            <w:tcBorders>
              <w:top w:val="nil"/>
              <w:left w:val="nil"/>
              <w:bottom w:val="double" w:sz="6" w:space="0" w:color="auto"/>
              <w:right w:val="single" w:sz="4" w:space="0" w:color="auto"/>
            </w:tcBorders>
            <w:shd w:val="clear" w:color="auto" w:fill="auto"/>
            <w:noWrap/>
            <w:vAlign w:val="center"/>
            <w:hideMark/>
          </w:tcPr>
          <w:p w14:paraId="467B8F3C" w14:textId="77777777" w:rsidR="003B5D5E" w:rsidRPr="00730B1E" w:rsidRDefault="003B5D5E" w:rsidP="003B5D5E">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-7 %  </w:t>
            </w:r>
          </w:p>
        </w:tc>
        <w:tc>
          <w:tcPr>
            <w:tcW w:w="1146" w:type="dxa"/>
            <w:tcBorders>
              <w:top w:val="nil"/>
              <w:left w:val="nil"/>
              <w:bottom w:val="double" w:sz="6" w:space="0" w:color="auto"/>
              <w:right w:val="nil"/>
            </w:tcBorders>
            <w:shd w:val="clear" w:color="auto" w:fill="auto"/>
            <w:noWrap/>
            <w:vAlign w:val="bottom"/>
            <w:hideMark/>
          </w:tcPr>
          <w:p w14:paraId="0D32C8EA" w14:textId="0879DCC4" w:rsidR="003B5D5E" w:rsidRPr="00730B1E" w:rsidRDefault="003B5D5E" w:rsidP="003B5D5E">
            <w:pPr>
              <w:spacing w:line="240" w:lineRule="auto"/>
              <w:jc w:val="center"/>
              <w:rPr>
                <w:rFonts w:eastAsia="Times New Roman"/>
                <w:b/>
                <w:bCs/>
                <w:szCs w:val="24"/>
                <w:lang w:eastAsia="cs-CZ"/>
              </w:rPr>
            </w:pPr>
            <w:r w:rsidRPr="00730B1E">
              <w:rPr>
                <w:rFonts w:eastAsia="Times New Roman"/>
                <w:b/>
                <w:bCs/>
                <w:szCs w:val="24"/>
                <w:lang w:eastAsia="cs-CZ"/>
              </w:rPr>
              <w:t>116,77</w:t>
            </w:r>
          </w:p>
        </w:tc>
        <w:tc>
          <w:tcPr>
            <w:tcW w:w="937" w:type="dxa"/>
            <w:tcBorders>
              <w:top w:val="nil"/>
              <w:left w:val="nil"/>
              <w:bottom w:val="double" w:sz="6" w:space="0" w:color="auto"/>
              <w:right w:val="nil"/>
            </w:tcBorders>
            <w:shd w:val="clear" w:color="auto" w:fill="auto"/>
            <w:noWrap/>
            <w:vAlign w:val="center"/>
            <w:hideMark/>
          </w:tcPr>
          <w:p w14:paraId="705283DC" w14:textId="77777777" w:rsidR="003B5D5E" w:rsidRPr="00730B1E" w:rsidRDefault="003B5D5E" w:rsidP="003B5D5E">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-11 %  </w:t>
            </w:r>
          </w:p>
        </w:tc>
      </w:tr>
      <w:tr w:rsidR="00B64E96" w:rsidRPr="00730B1E" w14:paraId="3059C336" w14:textId="77777777" w:rsidTr="00525C94">
        <w:trPr>
          <w:trHeight w:val="330"/>
        </w:trPr>
        <w:tc>
          <w:tcPr>
            <w:tcW w:w="1820" w:type="dxa"/>
            <w:tcBorders>
              <w:top w:val="nil"/>
              <w:left w:val="nil"/>
              <w:bottom w:val="nil"/>
              <w:right w:val="nil"/>
            </w:tcBorders>
            <w:shd w:val="clear" w:color="auto" w:fill="auto"/>
            <w:noWrap/>
            <w:vAlign w:val="bottom"/>
            <w:hideMark/>
          </w:tcPr>
          <w:p w14:paraId="22F85446" w14:textId="77777777" w:rsidR="003B5D5E" w:rsidRPr="00730B1E" w:rsidRDefault="003B5D5E" w:rsidP="003B5D5E">
            <w:pPr>
              <w:spacing w:line="240" w:lineRule="auto"/>
              <w:jc w:val="center"/>
              <w:rPr>
                <w:rFonts w:eastAsia="Times New Roman"/>
                <w:b/>
                <w:bCs/>
                <w:sz w:val="20"/>
                <w:szCs w:val="20"/>
                <w:lang w:eastAsia="cs-CZ"/>
              </w:rPr>
            </w:pPr>
          </w:p>
        </w:tc>
        <w:tc>
          <w:tcPr>
            <w:tcW w:w="1157" w:type="dxa"/>
            <w:tcBorders>
              <w:top w:val="nil"/>
              <w:left w:val="nil"/>
              <w:bottom w:val="nil"/>
              <w:right w:val="nil"/>
            </w:tcBorders>
            <w:shd w:val="clear" w:color="auto" w:fill="auto"/>
            <w:noWrap/>
            <w:vAlign w:val="bottom"/>
            <w:hideMark/>
          </w:tcPr>
          <w:p w14:paraId="2BC5B907" w14:textId="77777777" w:rsidR="003B5D5E" w:rsidRPr="00DF07F3" w:rsidRDefault="003B5D5E" w:rsidP="003B5D5E">
            <w:pPr>
              <w:spacing w:line="240" w:lineRule="auto"/>
              <w:jc w:val="left"/>
              <w:rPr>
                <w:sz w:val="20"/>
              </w:rPr>
            </w:pPr>
          </w:p>
        </w:tc>
        <w:tc>
          <w:tcPr>
            <w:tcW w:w="1134" w:type="dxa"/>
            <w:tcBorders>
              <w:top w:val="nil"/>
              <w:left w:val="nil"/>
              <w:bottom w:val="nil"/>
              <w:right w:val="nil"/>
            </w:tcBorders>
            <w:shd w:val="clear" w:color="auto" w:fill="auto"/>
            <w:noWrap/>
            <w:vAlign w:val="bottom"/>
            <w:hideMark/>
          </w:tcPr>
          <w:p w14:paraId="5B5812D7" w14:textId="77777777" w:rsidR="003B5D5E" w:rsidRPr="00DF07F3" w:rsidRDefault="003B5D5E" w:rsidP="003B5D5E">
            <w:pPr>
              <w:spacing w:line="240" w:lineRule="auto"/>
              <w:jc w:val="left"/>
              <w:rPr>
                <w:sz w:val="20"/>
              </w:rPr>
            </w:pPr>
          </w:p>
        </w:tc>
        <w:tc>
          <w:tcPr>
            <w:tcW w:w="935" w:type="dxa"/>
            <w:gridSpan w:val="2"/>
            <w:tcBorders>
              <w:top w:val="nil"/>
              <w:left w:val="nil"/>
              <w:bottom w:val="nil"/>
              <w:right w:val="nil"/>
            </w:tcBorders>
            <w:shd w:val="clear" w:color="auto" w:fill="auto"/>
            <w:noWrap/>
            <w:vAlign w:val="bottom"/>
            <w:hideMark/>
          </w:tcPr>
          <w:p w14:paraId="5CD79F04" w14:textId="77777777" w:rsidR="003B5D5E" w:rsidRPr="00DF07F3" w:rsidRDefault="003B5D5E" w:rsidP="003B5D5E">
            <w:pPr>
              <w:spacing w:line="240" w:lineRule="auto"/>
              <w:jc w:val="left"/>
              <w:rPr>
                <w:sz w:val="20"/>
              </w:rPr>
            </w:pPr>
          </w:p>
        </w:tc>
        <w:tc>
          <w:tcPr>
            <w:tcW w:w="1050" w:type="dxa"/>
            <w:tcBorders>
              <w:top w:val="nil"/>
              <w:left w:val="nil"/>
              <w:bottom w:val="nil"/>
              <w:right w:val="nil"/>
            </w:tcBorders>
            <w:shd w:val="clear" w:color="auto" w:fill="auto"/>
            <w:noWrap/>
            <w:vAlign w:val="bottom"/>
            <w:hideMark/>
          </w:tcPr>
          <w:p w14:paraId="56FC3F48" w14:textId="77777777" w:rsidR="003B5D5E" w:rsidRPr="00DF07F3" w:rsidRDefault="003B5D5E" w:rsidP="003B5D5E">
            <w:pPr>
              <w:spacing w:line="240" w:lineRule="auto"/>
              <w:jc w:val="left"/>
              <w:rPr>
                <w:sz w:val="20"/>
              </w:rPr>
            </w:pPr>
          </w:p>
        </w:tc>
        <w:tc>
          <w:tcPr>
            <w:tcW w:w="935" w:type="dxa"/>
            <w:gridSpan w:val="2"/>
            <w:tcBorders>
              <w:top w:val="nil"/>
              <w:left w:val="nil"/>
              <w:bottom w:val="nil"/>
              <w:right w:val="nil"/>
            </w:tcBorders>
            <w:shd w:val="clear" w:color="auto" w:fill="auto"/>
            <w:noWrap/>
            <w:vAlign w:val="bottom"/>
            <w:hideMark/>
          </w:tcPr>
          <w:p w14:paraId="26149D67" w14:textId="77777777" w:rsidR="003B5D5E" w:rsidRPr="00DF07F3" w:rsidRDefault="003B5D5E" w:rsidP="003B5D5E">
            <w:pPr>
              <w:spacing w:line="240" w:lineRule="auto"/>
              <w:jc w:val="left"/>
              <w:rPr>
                <w:sz w:val="20"/>
              </w:rPr>
            </w:pPr>
          </w:p>
        </w:tc>
        <w:tc>
          <w:tcPr>
            <w:tcW w:w="1146" w:type="dxa"/>
            <w:tcBorders>
              <w:top w:val="nil"/>
              <w:left w:val="nil"/>
              <w:bottom w:val="nil"/>
              <w:right w:val="nil"/>
            </w:tcBorders>
            <w:shd w:val="clear" w:color="auto" w:fill="auto"/>
            <w:noWrap/>
            <w:vAlign w:val="bottom"/>
            <w:hideMark/>
          </w:tcPr>
          <w:p w14:paraId="7FE72FA3" w14:textId="77777777" w:rsidR="003B5D5E" w:rsidRPr="00DF07F3" w:rsidRDefault="003B5D5E" w:rsidP="003B5D5E">
            <w:pPr>
              <w:spacing w:line="240" w:lineRule="auto"/>
              <w:jc w:val="left"/>
              <w:rPr>
                <w:sz w:val="20"/>
              </w:rPr>
            </w:pPr>
          </w:p>
        </w:tc>
        <w:tc>
          <w:tcPr>
            <w:tcW w:w="937" w:type="dxa"/>
            <w:tcBorders>
              <w:top w:val="nil"/>
              <w:left w:val="nil"/>
              <w:bottom w:val="nil"/>
              <w:right w:val="nil"/>
            </w:tcBorders>
            <w:shd w:val="clear" w:color="auto" w:fill="auto"/>
            <w:noWrap/>
            <w:vAlign w:val="bottom"/>
            <w:hideMark/>
          </w:tcPr>
          <w:p w14:paraId="631B7B65" w14:textId="77777777" w:rsidR="003B5D5E" w:rsidRPr="00DF07F3" w:rsidRDefault="003B5D5E" w:rsidP="003B5D5E">
            <w:pPr>
              <w:spacing w:line="240" w:lineRule="auto"/>
              <w:jc w:val="left"/>
              <w:rPr>
                <w:sz w:val="20"/>
              </w:rPr>
            </w:pPr>
          </w:p>
        </w:tc>
      </w:tr>
    </w:tbl>
    <w:p w14:paraId="0CAD5446" w14:textId="3E6EC8CD" w:rsidR="003B5D5E" w:rsidRPr="00730B1E" w:rsidRDefault="003B5D5E" w:rsidP="003B5D5E">
      <w:pPr>
        <w:pStyle w:val="OdstavecASR"/>
      </w:pPr>
      <w:r w:rsidRPr="00730B1E">
        <w:t xml:space="preserve">Pokud srovnáme data s předchozím rokem, vidíme, že počet příchozích věcí, vyřízených i nevyřízených věcí na soudce (na skutečný počet úvazků) klesl, což plyne z mírného růstu v počtu skutečných úvazků. U počtu nevyřízených věcí to také plyne z poklesu celkového počtu nevyřízených věcí. </w:t>
      </w:r>
    </w:p>
    <w:p w14:paraId="7086B880" w14:textId="788D0AF7" w:rsidR="003B5D5E" w:rsidRPr="00730B1E" w:rsidRDefault="003B5D5E" w:rsidP="003B5D5E">
      <w:pPr>
        <w:pStyle w:val="Podnadpis"/>
        <w:rPr>
          <w:color w:val="auto"/>
        </w:rPr>
      </w:pPr>
      <w:bookmarkStart w:id="204" w:name="_Toc515871336"/>
      <w:bookmarkStart w:id="205" w:name="_Toc11135072"/>
      <w:bookmarkStart w:id="206" w:name="_Toc43841391"/>
      <w:bookmarkStart w:id="207" w:name="_Toc75952192"/>
      <w:bookmarkStart w:id="208" w:name="_Toc106106645"/>
      <w:bookmarkStart w:id="209" w:name="_Toc144104123"/>
      <w:bookmarkStart w:id="210" w:name="_Toc169250931"/>
      <w:bookmarkStart w:id="211" w:name="_Toc17408061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w:t>
      </w:r>
      <w:r w:rsidRPr="00730B1E">
        <w:rPr>
          <w:color w:val="auto"/>
        </w:rPr>
        <w:fldChar w:fldCharType="end"/>
      </w:r>
      <w:r w:rsidRPr="00730B1E">
        <w:rPr>
          <w:color w:val="auto"/>
        </w:rPr>
        <w:t>: OS – počet nevyř. civilních věcí na úvazek u jednotlivých soudů</w:t>
      </w:r>
      <w:bookmarkEnd w:id="204"/>
      <w:bookmarkEnd w:id="205"/>
      <w:bookmarkEnd w:id="206"/>
      <w:bookmarkEnd w:id="207"/>
      <w:bookmarkEnd w:id="208"/>
      <w:bookmarkEnd w:id="209"/>
      <w:r w:rsidR="00525C94" w:rsidRPr="00730B1E">
        <w:rPr>
          <w:color w:val="auto"/>
        </w:rPr>
        <w:t>, 2023</w:t>
      </w:r>
      <w:bookmarkEnd w:id="210"/>
      <w:bookmarkEnd w:id="211"/>
    </w:p>
    <w:p w14:paraId="327EEC13" w14:textId="1A04D0B6" w:rsidR="001F7F03" w:rsidRPr="00730B1E" w:rsidRDefault="003F265C" w:rsidP="001F7F03">
      <w:r w:rsidRPr="00730B1E">
        <w:rPr>
          <w:noProof/>
          <w:lang w:eastAsia="cs-CZ"/>
        </w:rPr>
        <w:drawing>
          <wp:anchor distT="0" distB="0" distL="114300" distR="114300" simplePos="0" relativeHeight="251664384" behindDoc="0" locked="0" layoutInCell="1" allowOverlap="1" wp14:anchorId="158B04CB" wp14:editId="00CCC463">
            <wp:simplePos x="0" y="0"/>
            <wp:positionH relativeFrom="margin">
              <wp:posOffset>4457217</wp:posOffset>
            </wp:positionH>
            <wp:positionV relativeFrom="paragraph">
              <wp:posOffset>5715</wp:posOffset>
            </wp:positionV>
            <wp:extent cx="1288800" cy="936000"/>
            <wp:effectExtent l="0" t="0" r="6985"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8800" cy="93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B1E">
        <w:rPr>
          <w:noProof/>
          <w:lang w:eastAsia="cs-CZ"/>
        </w:rPr>
        <w:drawing>
          <wp:inline distT="0" distB="0" distL="0" distR="0" wp14:anchorId="22C0BE4E" wp14:editId="057DB5CF">
            <wp:extent cx="5760720" cy="329692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A72FB86" w14:textId="77777777" w:rsidR="001F7F03" w:rsidRPr="00730B1E" w:rsidRDefault="001F7F03" w:rsidP="001F7F03"/>
    <w:p w14:paraId="28DB494D" w14:textId="0AC115FA" w:rsidR="005231F1" w:rsidRPr="00730B1E" w:rsidRDefault="005231F1" w:rsidP="005231F1">
      <w:pPr>
        <w:pStyle w:val="OdstavecASR"/>
      </w:pPr>
      <w:r w:rsidRPr="00730B1E">
        <w:lastRenderedPageBreak/>
        <w:t xml:space="preserve">Nejvyšší počet nevyřízených věcí na soudce mají OS pro Prahu </w:t>
      </w:r>
      <w:r w:rsidR="00C8390D" w:rsidRPr="00730B1E">
        <w:t>8</w:t>
      </w:r>
      <w:r w:rsidRPr="00730B1E">
        <w:t xml:space="preserve"> (</w:t>
      </w:r>
      <w:r w:rsidR="00C8390D" w:rsidRPr="00730B1E">
        <w:t>210</w:t>
      </w:r>
      <w:r w:rsidRPr="00730B1E">
        <w:t xml:space="preserve"> věcí), OS </w:t>
      </w:r>
      <w:r w:rsidR="00C8390D" w:rsidRPr="00730B1E">
        <w:t>Ostrava</w:t>
      </w:r>
      <w:r w:rsidRPr="00730B1E">
        <w:t xml:space="preserve"> (</w:t>
      </w:r>
      <w:r w:rsidR="00C8390D" w:rsidRPr="00730B1E">
        <w:t>195</w:t>
      </w:r>
      <w:r w:rsidRPr="00730B1E">
        <w:t xml:space="preserve"> věcí) a OS </w:t>
      </w:r>
      <w:r w:rsidR="00C8390D" w:rsidRPr="00730B1E">
        <w:t>Litoměřice</w:t>
      </w:r>
      <w:r w:rsidRPr="00730B1E">
        <w:t xml:space="preserve"> (</w:t>
      </w:r>
      <w:r w:rsidR="00C8390D" w:rsidRPr="00730B1E">
        <w:t>190</w:t>
      </w:r>
      <w:r w:rsidRPr="00730B1E">
        <w:t> věcí). Soudy s nejmenším počtem nevyřízených věcí na soudce jsou OS Náchod (4</w:t>
      </w:r>
      <w:r w:rsidR="00C8390D" w:rsidRPr="00730B1E">
        <w:t>9</w:t>
      </w:r>
      <w:r w:rsidRPr="00730B1E">
        <w:t> věcí), OS Strakonice (</w:t>
      </w:r>
      <w:r w:rsidR="00C8390D" w:rsidRPr="00730B1E">
        <w:t>57</w:t>
      </w:r>
      <w:r w:rsidRPr="00730B1E">
        <w:t xml:space="preserve"> věcí) a OS Jindřichův Hradec (</w:t>
      </w:r>
      <w:r w:rsidR="00C8390D" w:rsidRPr="00730B1E">
        <w:t>58</w:t>
      </w:r>
      <w:r w:rsidRPr="00730B1E">
        <w:t xml:space="preserve"> věcí).</w:t>
      </w:r>
    </w:p>
    <w:p w14:paraId="421BABDB" w14:textId="77777777" w:rsidR="00DF373B" w:rsidRPr="00730B1E" w:rsidRDefault="00DF373B" w:rsidP="00DF373B"/>
    <w:p w14:paraId="496D60D4" w14:textId="23A55D9B" w:rsidR="00D97669" w:rsidRPr="00730B1E" w:rsidRDefault="00D5538C" w:rsidP="00D5538C">
      <w:pPr>
        <w:pStyle w:val="Nadpis3"/>
        <w:numPr>
          <w:ilvl w:val="2"/>
          <w:numId w:val="1"/>
        </w:numPr>
        <w:rPr>
          <w:color w:val="auto"/>
        </w:rPr>
      </w:pPr>
      <w:bookmarkStart w:id="212" w:name="_Toc43903027"/>
      <w:bookmarkStart w:id="213" w:name="_Toc106092721"/>
      <w:bookmarkStart w:id="214" w:name="_Toc169250805"/>
      <w:bookmarkStart w:id="215" w:name="_Toc174080841"/>
      <w:bookmarkEnd w:id="192"/>
      <w:bookmarkEnd w:id="193"/>
      <w:bookmarkEnd w:id="194"/>
      <w:bookmarkEnd w:id="195"/>
      <w:bookmarkEnd w:id="196"/>
      <w:bookmarkEnd w:id="197"/>
      <w:r w:rsidRPr="00730B1E">
        <w:rPr>
          <w:color w:val="auto"/>
        </w:rPr>
        <w:t>Disposition time</w:t>
      </w:r>
      <w:bookmarkEnd w:id="212"/>
      <w:r w:rsidRPr="00730B1E">
        <w:rPr>
          <w:color w:val="auto"/>
        </w:rPr>
        <w:t xml:space="preserve"> (dispoziční čas)</w:t>
      </w:r>
      <w:bookmarkEnd w:id="213"/>
      <w:bookmarkEnd w:id="214"/>
      <w:bookmarkEnd w:id="215"/>
      <w:r w:rsidR="003F265C" w:rsidRPr="00730B1E">
        <w:rPr>
          <w:b w:val="0"/>
          <w:bCs w:val="0"/>
          <w:color w:val="auto"/>
        </w:rPr>
        <w:t xml:space="preserve"> </w:t>
      </w:r>
    </w:p>
    <w:p w14:paraId="47ED123F" w14:textId="77777777" w:rsidR="0022231D" w:rsidRPr="00730B1E" w:rsidRDefault="0022231D" w:rsidP="0022231D">
      <w:pPr>
        <w:pStyle w:val="OdstavecASR"/>
      </w:pPr>
      <w:r w:rsidRPr="00730B1E">
        <w:t>Disposition time je vypočítán podle metodiky CEPEJ</w:t>
      </w:r>
      <w:r w:rsidRPr="00730B1E">
        <w:rPr>
          <w:rStyle w:val="Znakapoznpodarou"/>
        </w:rPr>
        <w:footnoteReference w:id="6"/>
      </w:r>
      <w:r w:rsidRPr="00730B1E">
        <w:t xml:space="preserve"> jako (počet nevyřízených věcí na konci daného období) / (počet vyřízených věcí v daném období) × 365. Tento údaj tedy v podstatě ukazuje, za kolik dní by při stejném tempu soud vyřídil všechny nevyřízené věci, které u něj dnes „leží“, kdyby k němu již žádné další nenapadaly. Nejedná se o délku řízení, jak by se mohlo podle názvu zdát. Délka řízení je vypočtena z jiného zdroje dat a jedná se o jiný ukazatel. Disposition time (DT) se od délky řízení tedy může výrazně lišit. V případě DT je však spíše než absolutní hodnota důležité relativní srovnání mezi roky a soudy.</w:t>
      </w:r>
    </w:p>
    <w:p w14:paraId="6CE1C417" w14:textId="77777777" w:rsidR="0022231D" w:rsidRPr="00730B1E" w:rsidRDefault="0022231D" w:rsidP="0022231D">
      <w:pPr>
        <w:pStyle w:val="OdstavecASR"/>
      </w:pPr>
      <w:r w:rsidRPr="00730B1E">
        <w:t>Účel DT je podobný jako u přepočtu věcí na jednoho soudce – tedy zohlednit velikost soudů. Mezi ukazateli je ale jeden podstatný rozdíl. Počet nevyřízených věcí na soudce se zaměřuje čistě na to, jak je daný soud zatížený, a u méně zatížených soudů tedy bude vždy vykazovat příznivé hodnoty. Na druhou stranu DT zohledňuje i počet vyřízených věcí, a může tedy teoreticky vyjít vysoký i u soudů s malým počtem nevyřízených věcí, byť tomu tak většinou není.</w:t>
      </w:r>
    </w:p>
    <w:p w14:paraId="2C2C91F4" w14:textId="7A28FFFF" w:rsidR="0022231D" w:rsidRPr="00730B1E" w:rsidRDefault="0022231D" w:rsidP="0022231D">
      <w:pPr>
        <w:pStyle w:val="OdstavecASR"/>
      </w:pPr>
      <w:r w:rsidRPr="00730B1E">
        <w:t>Pokud by hodnota DT byla vyšší než 365, soud by měl více nevyřízených než vyřízených věcí.</w:t>
      </w:r>
      <w:r w:rsidR="007736CB" w:rsidRPr="00730B1E">
        <w:t xml:space="preserve"> Pro zajímavost, v roce 2021 bylo takových států </w:t>
      </w:r>
      <w:r w:rsidR="00D577B2" w:rsidRPr="00730B1E">
        <w:t>u soudů 1. stupně</w:t>
      </w:r>
      <w:r w:rsidR="007736CB" w:rsidRPr="00730B1E">
        <w:t xml:space="preserve"> </w:t>
      </w:r>
      <w:r w:rsidR="00CE6CF7" w:rsidRPr="00730B1E">
        <w:t xml:space="preserve">v Evropské unii </w:t>
      </w:r>
      <w:r w:rsidR="007736CB" w:rsidRPr="00730B1E">
        <w:t xml:space="preserve">pět (Řecko = 728, Itálie = 560, Chorvatsko = 559, </w:t>
      </w:r>
      <w:r w:rsidR="00CE6CF7" w:rsidRPr="00730B1E">
        <w:t xml:space="preserve">Malta = 529, </w:t>
      </w:r>
      <w:r w:rsidR="007736CB" w:rsidRPr="00730B1E">
        <w:t>Francie = 495) a další dva se přiblížily (Španělsko = 344, Slovinsko = 330); Česká republika obsadila 3. místo</w:t>
      </w:r>
      <w:r w:rsidR="00EB0EFD" w:rsidRPr="00730B1E">
        <w:t>. M</w:t>
      </w:r>
      <w:r w:rsidR="001F4EAF" w:rsidRPr="00730B1E">
        <w:t>á třetí nejnižší hodnotu DT</w:t>
      </w:r>
      <w:r w:rsidR="007736CB" w:rsidRPr="00730B1E">
        <w:t xml:space="preserve"> za Litvou a Rakouskem (data pro sporné občanské a obchodní věci</w:t>
      </w:r>
      <w:r w:rsidR="00FE72A3" w:rsidRPr="00730B1E">
        <w:t xml:space="preserve">, </w:t>
      </w:r>
      <w:r w:rsidR="001F4EAF" w:rsidRPr="00730B1E">
        <w:t xml:space="preserve">soudy 1. stupně, rok 2021 = </w:t>
      </w:r>
      <w:r w:rsidR="00FE72A3" w:rsidRPr="00730B1E">
        <w:t>poslední dostupná data</w:t>
      </w:r>
      <w:r w:rsidR="007736CB" w:rsidRPr="00730B1E">
        <w:t>).</w:t>
      </w:r>
      <w:r w:rsidR="00CE6CF7" w:rsidRPr="00730B1E">
        <w:t xml:space="preserve"> </w:t>
      </w:r>
    </w:p>
    <w:p w14:paraId="44E81130" w14:textId="7CA5A00E" w:rsidR="0022231D" w:rsidRPr="00730B1E" w:rsidRDefault="0022231D" w:rsidP="0022231D">
      <w:pPr>
        <w:pStyle w:val="OdstavecASR"/>
      </w:pPr>
      <w:r w:rsidRPr="00730B1E">
        <w:t>Oba ukazatele tak mají poměrně dobrou vypovídající hodnotu o vyřizování věcí u soudů, ale každý vypovídá o jiném aspektu takového porovnání. Srovnání grafů 12 a 14 ukazuje, že výsledky jednotlivých soudů v obou ukazatelích se mírně liší.</w:t>
      </w:r>
    </w:p>
    <w:p w14:paraId="68D478E7" w14:textId="3ED0BEB7" w:rsidR="0022231D" w:rsidRPr="00730B1E" w:rsidRDefault="0022231D" w:rsidP="0022231D">
      <w:pPr>
        <w:pStyle w:val="OdstavecASR"/>
        <w:rPr>
          <w:szCs w:val="24"/>
        </w:rPr>
      </w:pPr>
      <w:r w:rsidRPr="00730B1E">
        <w:rPr>
          <w:szCs w:val="24"/>
        </w:rPr>
        <w:t xml:space="preserve">Disposition time je samozřejmě silně ovlivněn změnami v nápadu a v počtu vyřízených věcí. Tyto změny jsou okomentovány v podkapitole 2.2.2. Celkově </w:t>
      </w:r>
      <w:r w:rsidRPr="00730B1E">
        <w:t>se dá</w:t>
      </w:r>
      <w:r w:rsidRPr="00730B1E">
        <w:rPr>
          <w:szCs w:val="24"/>
        </w:rPr>
        <w:t xml:space="preserve"> konstatovat, že DT v letech 2014 až 2019 pozvolna klesal. V roce 2020 ale došlo k prudkému nárůstu DT o 25 </w:t>
      </w:r>
      <w:r w:rsidR="00FC6AE3" w:rsidRPr="00730B1E">
        <w:rPr>
          <w:szCs w:val="24"/>
        </w:rPr>
        <w:t>dnů</w:t>
      </w:r>
      <w:r w:rsidRPr="00730B1E">
        <w:rPr>
          <w:szCs w:val="24"/>
        </w:rPr>
        <w:t xml:space="preserve"> (+19 %).</w:t>
      </w:r>
      <w:r w:rsidR="008E33E0">
        <w:rPr>
          <w:szCs w:val="24"/>
        </w:rPr>
        <w:t xml:space="preserve"> </w:t>
      </w:r>
      <w:r w:rsidR="00FC6AE3" w:rsidRPr="00730B1E">
        <w:rPr>
          <w:szCs w:val="24"/>
        </w:rPr>
        <w:t>Důvodem je</w:t>
      </w:r>
      <w:r w:rsidRPr="00730B1E">
        <w:rPr>
          <w:szCs w:val="24"/>
        </w:rPr>
        <w:t>, že klesl počet vyřízených věcí a zároveň vzrostl počet věcí nevyřízených. Při detailnějším pohledu je důležitý klesající trend DT v letech 2014–2016, a to i přes klesající nápad a počet vyřízených věcí. V roce 2021 DT opět klesl na 134</w:t>
      </w:r>
      <w:r w:rsidR="00FC6AE3" w:rsidRPr="00730B1E">
        <w:rPr>
          <w:szCs w:val="24"/>
        </w:rPr>
        <w:t xml:space="preserve"> dnů</w:t>
      </w:r>
      <w:r w:rsidRPr="00730B1E">
        <w:rPr>
          <w:szCs w:val="24"/>
        </w:rPr>
        <w:t xml:space="preserve">, tedy stejnou hodnotu, jaké dosáhl v roce 2019, což je zapříčiněno nárůstem v počtu vyřízených věcí za stejného nápadu – </w:t>
      </w:r>
      <w:r w:rsidRPr="00730B1E">
        <w:t xml:space="preserve">tato kombinace faktorů vedla </w:t>
      </w:r>
      <w:r w:rsidRPr="00730B1E">
        <w:rPr>
          <w:szCs w:val="24"/>
        </w:rPr>
        <w:t>k poklesu v počtu nevyřízených věcí. V letech 2022 a 2023 DT dále klesal, protože dále klesal počet nevyřízených věcí.</w:t>
      </w:r>
      <w:r w:rsidR="00F13014" w:rsidRPr="00730B1E">
        <w:rPr>
          <w:szCs w:val="24"/>
        </w:rPr>
        <w:t xml:space="preserve"> </w:t>
      </w:r>
    </w:p>
    <w:p w14:paraId="3A6B0A21" w14:textId="77777777" w:rsidR="00D97669" w:rsidRPr="00730B1E" w:rsidRDefault="00D97669">
      <w:pPr>
        <w:spacing w:after="160" w:line="259" w:lineRule="auto"/>
        <w:jc w:val="left"/>
      </w:pPr>
      <w:bookmarkStart w:id="216" w:name="_Toc43841408"/>
      <w:bookmarkStart w:id="217" w:name="_Toc75952211"/>
      <w:bookmarkStart w:id="218" w:name="_Toc106106663"/>
      <w:bookmarkStart w:id="219" w:name="_Toc144104140"/>
    </w:p>
    <w:p w14:paraId="6EC7D478" w14:textId="706D9E67" w:rsidR="00D97669" w:rsidRPr="00730B1E" w:rsidRDefault="00D97669" w:rsidP="00D97669">
      <w:pPr>
        <w:pStyle w:val="Podnadpis"/>
        <w:rPr>
          <w:color w:val="auto"/>
        </w:rPr>
      </w:pPr>
      <w:bookmarkStart w:id="220" w:name="_Toc515871340"/>
      <w:bookmarkStart w:id="221" w:name="_Toc11135075"/>
      <w:bookmarkStart w:id="222" w:name="_Toc43841392"/>
      <w:bookmarkStart w:id="223" w:name="_Toc75952193"/>
      <w:bookmarkStart w:id="224" w:name="_Toc106106646"/>
      <w:bookmarkStart w:id="225" w:name="_Toc144104124"/>
      <w:bookmarkStart w:id="226" w:name="_Toc169250932"/>
      <w:bookmarkStart w:id="227" w:name="_Toc174080618"/>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w:t>
      </w:r>
      <w:r w:rsidRPr="00730B1E">
        <w:rPr>
          <w:color w:val="auto"/>
        </w:rPr>
        <w:fldChar w:fldCharType="end"/>
      </w:r>
      <w:r w:rsidRPr="00730B1E">
        <w:rPr>
          <w:color w:val="auto"/>
        </w:rPr>
        <w:t>: OS – disposition time civilního řízení v letech 2014–20</w:t>
      </w:r>
      <w:bookmarkEnd w:id="220"/>
      <w:bookmarkEnd w:id="221"/>
      <w:bookmarkEnd w:id="222"/>
      <w:r w:rsidRPr="00730B1E">
        <w:rPr>
          <w:color w:val="auto"/>
        </w:rPr>
        <w:t>2</w:t>
      </w:r>
      <w:bookmarkEnd w:id="223"/>
      <w:bookmarkEnd w:id="224"/>
      <w:bookmarkEnd w:id="225"/>
      <w:r w:rsidRPr="00730B1E">
        <w:rPr>
          <w:color w:val="auto"/>
        </w:rPr>
        <w:t>3</w:t>
      </w:r>
      <w:bookmarkEnd w:id="226"/>
      <w:bookmarkEnd w:id="227"/>
    </w:p>
    <w:p w14:paraId="69635FDF" w14:textId="77777777" w:rsidR="0022231D" w:rsidRPr="00730B1E" w:rsidRDefault="00D97669">
      <w:pPr>
        <w:spacing w:after="160" w:line="259" w:lineRule="auto"/>
        <w:jc w:val="left"/>
      </w:pPr>
      <w:r w:rsidRPr="00730B1E">
        <w:rPr>
          <w:noProof/>
          <w:lang w:eastAsia="cs-CZ"/>
        </w:rPr>
        <w:drawing>
          <wp:inline distT="0" distB="0" distL="0" distR="0" wp14:anchorId="4469BDBC" wp14:editId="3C16F1D7">
            <wp:extent cx="5029200" cy="365760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66EE024" w14:textId="77777777" w:rsidR="00C17FA6" w:rsidRPr="00730B1E" w:rsidRDefault="00C17FA6" w:rsidP="0022231D">
      <w:pPr>
        <w:pStyle w:val="OdstavecASR"/>
      </w:pPr>
    </w:p>
    <w:p w14:paraId="4B08FF18" w14:textId="2B0B3A86" w:rsidR="0022231D" w:rsidRPr="00730B1E" w:rsidRDefault="0022231D" w:rsidP="0022231D">
      <w:pPr>
        <w:pStyle w:val="OdstavecASR"/>
      </w:pPr>
      <w:r w:rsidRPr="00730B1E">
        <w:t>Následující tabulka a graf opět ukazují srovnání mezi kraji a jednotlivými soudy v roce 202</w:t>
      </w:r>
      <w:r w:rsidR="00C17FA6" w:rsidRPr="00730B1E">
        <w:t>3</w:t>
      </w:r>
      <w:r w:rsidRPr="00730B1E">
        <w:t>. DT klesl v </w:t>
      </w:r>
      <w:r w:rsidR="00C17FA6" w:rsidRPr="00730B1E">
        <w:t>7</w:t>
      </w:r>
      <w:r w:rsidRPr="00730B1E">
        <w:t xml:space="preserve"> z 8 krajů, většinou se </w:t>
      </w:r>
      <w:r w:rsidR="00FC6AE3" w:rsidRPr="00730B1E">
        <w:t xml:space="preserve">nicméně </w:t>
      </w:r>
      <w:r w:rsidRPr="00730B1E">
        <w:t xml:space="preserve">jedná o malé změny. </w:t>
      </w:r>
      <w:r w:rsidR="00C17FA6" w:rsidRPr="00730B1E">
        <w:t>Nepatrně narostl jen v Jihočeském kraji, tedy kraji, kde je DT dlouhodobě nejnižší.</w:t>
      </w:r>
      <w:r w:rsidRPr="00730B1E">
        <w:t xml:space="preserve"> </w:t>
      </w:r>
    </w:p>
    <w:p w14:paraId="25034B5D" w14:textId="39F419F0" w:rsidR="00C17FA6" w:rsidRPr="00730B1E" w:rsidRDefault="00C17FA6" w:rsidP="00C17FA6">
      <w:pPr>
        <w:pStyle w:val="Podnadpis"/>
        <w:rPr>
          <w:color w:val="auto"/>
        </w:rPr>
      </w:pPr>
      <w:bookmarkStart w:id="228" w:name="_Toc75952316"/>
      <w:bookmarkStart w:id="229" w:name="_Toc106106775"/>
      <w:bookmarkStart w:id="230" w:name="_Toc144104252"/>
      <w:bookmarkStart w:id="231" w:name="_Toc169251068"/>
      <w:bookmarkStart w:id="232" w:name="_Toc174080754"/>
      <w:r w:rsidRPr="00730B1E">
        <w:rPr>
          <w:color w:val="auto"/>
        </w:rPr>
        <w:t xml:space="preserve">Tabulka </w:t>
      </w:r>
      <w:r w:rsidRPr="00730B1E">
        <w:rPr>
          <w:color w:val="auto"/>
        </w:rPr>
        <w:fldChar w:fldCharType="begin"/>
      </w:r>
      <w:r w:rsidRPr="00730B1E">
        <w:rPr>
          <w:noProof/>
          <w:color w:val="auto"/>
        </w:rPr>
        <w:instrText xml:space="preserve"> SEQ Tabulka \* ARABIC </w:instrText>
      </w:r>
      <w:r w:rsidRPr="00730B1E">
        <w:rPr>
          <w:color w:val="auto"/>
        </w:rPr>
        <w:fldChar w:fldCharType="separate"/>
      </w:r>
      <w:r w:rsidR="00056825">
        <w:rPr>
          <w:noProof/>
          <w:color w:val="auto"/>
        </w:rPr>
        <w:t>11</w:t>
      </w:r>
      <w:r w:rsidRPr="00730B1E">
        <w:rPr>
          <w:color w:val="auto"/>
        </w:rPr>
        <w:fldChar w:fldCharType="end"/>
      </w:r>
      <w:r w:rsidRPr="00730B1E">
        <w:rPr>
          <w:color w:val="auto"/>
        </w:rPr>
        <w:t>: OS – disposition time v civilním řízení dle krajů</w:t>
      </w:r>
      <w:bookmarkEnd w:id="228"/>
      <w:bookmarkEnd w:id="229"/>
      <w:bookmarkEnd w:id="230"/>
      <w:r w:rsidR="00955E6B" w:rsidRPr="00730B1E">
        <w:rPr>
          <w:color w:val="auto"/>
        </w:rPr>
        <w:t>, 2023</w:t>
      </w:r>
      <w:bookmarkEnd w:id="231"/>
      <w:bookmarkEnd w:id="232"/>
    </w:p>
    <w:tbl>
      <w:tblPr>
        <w:tblW w:w="5020" w:type="dxa"/>
        <w:tblCellMar>
          <w:left w:w="0" w:type="dxa"/>
          <w:right w:w="0" w:type="dxa"/>
        </w:tblCellMar>
        <w:tblLook w:val="04A0" w:firstRow="1" w:lastRow="0" w:firstColumn="1" w:lastColumn="0" w:noHBand="0" w:noVBand="1"/>
      </w:tblPr>
      <w:tblGrid>
        <w:gridCol w:w="2780"/>
        <w:gridCol w:w="955"/>
        <w:gridCol w:w="1285"/>
      </w:tblGrid>
      <w:tr w:rsidR="00B64E96" w:rsidRPr="00730B1E" w14:paraId="6366D262" w14:textId="77777777" w:rsidTr="00C17FA6">
        <w:trPr>
          <w:trHeight w:val="345"/>
        </w:trPr>
        <w:tc>
          <w:tcPr>
            <w:tcW w:w="27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24B0F93B" w14:textId="77777777" w:rsidR="00C17FA6" w:rsidRPr="00730B1E" w:rsidRDefault="00C17FA6">
            <w:pPr>
              <w:spacing w:line="240" w:lineRule="auto"/>
              <w:jc w:val="center"/>
              <w:rPr>
                <w:rFonts w:eastAsia="Times New Roman"/>
                <w:b/>
                <w:bCs/>
              </w:rPr>
            </w:pPr>
            <w:r w:rsidRPr="00730B1E">
              <w:rPr>
                <w:b/>
                <w:bCs/>
              </w:rPr>
              <w:t>Nadřízený soud</w:t>
            </w:r>
          </w:p>
        </w:tc>
        <w:tc>
          <w:tcPr>
            <w:tcW w:w="2240" w:type="dxa"/>
            <w:gridSpan w:val="2"/>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34560767" w14:textId="77777777" w:rsidR="00C17FA6" w:rsidRPr="00730B1E" w:rsidRDefault="00C17FA6">
            <w:pPr>
              <w:jc w:val="center"/>
              <w:rPr>
                <w:b/>
                <w:bCs/>
              </w:rPr>
            </w:pPr>
            <w:r w:rsidRPr="00730B1E">
              <w:rPr>
                <w:b/>
                <w:bCs/>
              </w:rPr>
              <w:t>Disposition time</w:t>
            </w:r>
          </w:p>
        </w:tc>
      </w:tr>
      <w:tr w:rsidR="00B64E96" w:rsidRPr="00730B1E" w14:paraId="5A391E5B" w14:textId="77777777" w:rsidTr="00C17FA6">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AA1DCE1" w14:textId="77777777" w:rsidR="00C17FA6" w:rsidRPr="00730B1E" w:rsidRDefault="00C17FA6">
            <w:pPr>
              <w:jc w:val="left"/>
            </w:pPr>
            <w:r w:rsidRPr="00730B1E">
              <w:t>MS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EA3976E" w14:textId="77777777" w:rsidR="00C17FA6" w:rsidRPr="00730B1E" w:rsidRDefault="00C17FA6">
            <w:pPr>
              <w:jc w:val="center"/>
            </w:pPr>
            <w:r w:rsidRPr="00730B1E">
              <w:t>142</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4F51BD2" w14:textId="77777777" w:rsidR="00C17FA6" w:rsidRPr="00730B1E" w:rsidRDefault="00C17FA6">
            <w:pPr>
              <w:jc w:val="right"/>
              <w:rPr>
                <w:sz w:val="20"/>
                <w:szCs w:val="20"/>
              </w:rPr>
            </w:pPr>
            <w:r w:rsidRPr="00730B1E">
              <w:rPr>
                <w:sz w:val="20"/>
                <w:szCs w:val="20"/>
              </w:rPr>
              <w:t xml:space="preserve">-2 %  </w:t>
            </w:r>
          </w:p>
        </w:tc>
      </w:tr>
      <w:tr w:rsidR="00B64E96" w:rsidRPr="00730B1E" w14:paraId="1CAD80FD" w14:textId="77777777" w:rsidTr="00C17FA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C4E6572" w14:textId="77777777" w:rsidR="00C17FA6" w:rsidRPr="00730B1E" w:rsidRDefault="00C17FA6">
            <w:pPr>
              <w:jc w:val="left"/>
              <w:rPr>
                <w:szCs w:val="24"/>
              </w:rPr>
            </w:pPr>
            <w:r w:rsidRPr="00730B1E">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6969ED4" w14:textId="77777777" w:rsidR="00C17FA6" w:rsidRPr="00730B1E" w:rsidRDefault="00C17FA6">
            <w:pPr>
              <w:jc w:val="center"/>
            </w:pPr>
            <w:r w:rsidRPr="00730B1E">
              <w:t>89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B5811BF" w14:textId="77777777" w:rsidR="00C17FA6" w:rsidRPr="00730B1E" w:rsidRDefault="00C17FA6">
            <w:pPr>
              <w:jc w:val="right"/>
              <w:rPr>
                <w:sz w:val="20"/>
                <w:szCs w:val="20"/>
              </w:rPr>
            </w:pPr>
            <w:r w:rsidRPr="00730B1E">
              <w:rPr>
                <w:sz w:val="20"/>
                <w:szCs w:val="20"/>
              </w:rPr>
              <w:t xml:space="preserve">-1 %  </w:t>
            </w:r>
          </w:p>
        </w:tc>
      </w:tr>
      <w:tr w:rsidR="00B64E96" w:rsidRPr="00730B1E" w14:paraId="5DF83BA8" w14:textId="77777777" w:rsidTr="00C17FA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73A3104" w14:textId="77777777" w:rsidR="00C17FA6" w:rsidRPr="00730B1E" w:rsidRDefault="00C17FA6">
            <w:pPr>
              <w:jc w:val="left"/>
              <w:rPr>
                <w:szCs w:val="24"/>
              </w:rPr>
            </w:pPr>
            <w:r w:rsidRPr="00730B1E">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E774EC1" w14:textId="77777777" w:rsidR="00C17FA6" w:rsidRPr="00730B1E" w:rsidRDefault="00C17FA6">
            <w:pPr>
              <w:jc w:val="center"/>
            </w:pPr>
            <w:r w:rsidRPr="00730B1E">
              <w:t>74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21515F5" w14:textId="77777777" w:rsidR="00C17FA6" w:rsidRPr="00730B1E" w:rsidRDefault="00C17FA6">
            <w:pPr>
              <w:jc w:val="right"/>
              <w:rPr>
                <w:sz w:val="20"/>
                <w:szCs w:val="20"/>
              </w:rPr>
            </w:pPr>
            <w:r w:rsidRPr="00730B1E">
              <w:rPr>
                <w:sz w:val="20"/>
                <w:szCs w:val="20"/>
              </w:rPr>
              <w:t xml:space="preserve">+2 %  </w:t>
            </w:r>
          </w:p>
        </w:tc>
      </w:tr>
      <w:tr w:rsidR="00B64E96" w:rsidRPr="00730B1E" w14:paraId="7F511D60" w14:textId="77777777" w:rsidTr="00C17FA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7158C34" w14:textId="77777777" w:rsidR="00C17FA6" w:rsidRPr="00730B1E" w:rsidRDefault="00C17FA6">
            <w:pPr>
              <w:jc w:val="left"/>
              <w:rPr>
                <w:szCs w:val="24"/>
              </w:rPr>
            </w:pPr>
            <w:r w:rsidRPr="00730B1E">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0B05725" w14:textId="77777777" w:rsidR="00C17FA6" w:rsidRPr="00730B1E" w:rsidRDefault="00C17FA6">
            <w:pPr>
              <w:jc w:val="center"/>
            </w:pPr>
            <w:r w:rsidRPr="00730B1E">
              <w:t>97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80BFF61" w14:textId="77777777" w:rsidR="00C17FA6" w:rsidRPr="00730B1E" w:rsidRDefault="00C17FA6">
            <w:pPr>
              <w:jc w:val="right"/>
              <w:rPr>
                <w:sz w:val="20"/>
                <w:szCs w:val="20"/>
              </w:rPr>
            </w:pPr>
            <w:r w:rsidRPr="00730B1E">
              <w:rPr>
                <w:sz w:val="20"/>
                <w:szCs w:val="20"/>
              </w:rPr>
              <w:t xml:space="preserve">-8 %  </w:t>
            </w:r>
          </w:p>
        </w:tc>
      </w:tr>
      <w:tr w:rsidR="00B64E96" w:rsidRPr="00730B1E" w14:paraId="59B0FF15" w14:textId="77777777" w:rsidTr="00C17FA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E0F6DD" w14:textId="77777777" w:rsidR="00C17FA6" w:rsidRPr="00730B1E" w:rsidRDefault="00C17FA6">
            <w:pPr>
              <w:jc w:val="left"/>
              <w:rPr>
                <w:szCs w:val="24"/>
              </w:rPr>
            </w:pPr>
            <w:r w:rsidRPr="00730B1E">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26B7A65" w14:textId="77777777" w:rsidR="00C17FA6" w:rsidRPr="00730B1E" w:rsidRDefault="00C17FA6">
            <w:pPr>
              <w:jc w:val="center"/>
            </w:pPr>
            <w:r w:rsidRPr="00730B1E">
              <w:t>116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0431CB3" w14:textId="77777777" w:rsidR="00C17FA6" w:rsidRPr="00730B1E" w:rsidRDefault="00C17FA6">
            <w:pPr>
              <w:jc w:val="right"/>
              <w:rPr>
                <w:sz w:val="20"/>
                <w:szCs w:val="20"/>
              </w:rPr>
            </w:pPr>
            <w:r w:rsidRPr="00730B1E">
              <w:rPr>
                <w:sz w:val="20"/>
                <w:szCs w:val="20"/>
              </w:rPr>
              <w:t xml:space="preserve">-10 %  </w:t>
            </w:r>
          </w:p>
        </w:tc>
      </w:tr>
      <w:tr w:rsidR="00B64E96" w:rsidRPr="00730B1E" w14:paraId="04ADAA1F" w14:textId="77777777" w:rsidTr="00C17FA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636A35D" w14:textId="77777777" w:rsidR="00C17FA6" w:rsidRPr="00730B1E" w:rsidRDefault="00C17FA6">
            <w:pPr>
              <w:jc w:val="left"/>
              <w:rPr>
                <w:szCs w:val="24"/>
              </w:rPr>
            </w:pPr>
            <w:r w:rsidRPr="00730B1E">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2625B7" w14:textId="77777777" w:rsidR="00C17FA6" w:rsidRPr="00730B1E" w:rsidRDefault="00C17FA6">
            <w:pPr>
              <w:jc w:val="center"/>
            </w:pPr>
            <w:r w:rsidRPr="00730B1E">
              <w:t>109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781ABEE" w14:textId="77777777" w:rsidR="00C17FA6" w:rsidRPr="00730B1E" w:rsidRDefault="00C17FA6">
            <w:pPr>
              <w:jc w:val="right"/>
              <w:rPr>
                <w:sz w:val="20"/>
                <w:szCs w:val="20"/>
              </w:rPr>
            </w:pPr>
            <w:r w:rsidRPr="00730B1E">
              <w:rPr>
                <w:sz w:val="20"/>
                <w:szCs w:val="20"/>
              </w:rPr>
              <w:t xml:space="preserve">-9 %  </w:t>
            </w:r>
          </w:p>
        </w:tc>
      </w:tr>
      <w:tr w:rsidR="00B64E96" w:rsidRPr="00730B1E" w14:paraId="72172A23" w14:textId="77777777" w:rsidTr="00C17FA6">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56426E1" w14:textId="77777777" w:rsidR="00C17FA6" w:rsidRPr="00730B1E" w:rsidRDefault="00C17FA6">
            <w:pPr>
              <w:jc w:val="left"/>
              <w:rPr>
                <w:szCs w:val="24"/>
              </w:rPr>
            </w:pPr>
            <w:r w:rsidRPr="00730B1E">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E344162" w14:textId="77777777" w:rsidR="00C17FA6" w:rsidRPr="00730B1E" w:rsidRDefault="00C17FA6">
            <w:pPr>
              <w:jc w:val="center"/>
            </w:pPr>
            <w:r w:rsidRPr="00730B1E">
              <w:t>152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5BD168E" w14:textId="77777777" w:rsidR="00C17FA6" w:rsidRPr="00730B1E" w:rsidRDefault="00C17FA6">
            <w:pPr>
              <w:jc w:val="right"/>
              <w:rPr>
                <w:sz w:val="20"/>
                <w:szCs w:val="20"/>
              </w:rPr>
            </w:pPr>
            <w:r w:rsidRPr="00730B1E">
              <w:rPr>
                <w:sz w:val="20"/>
                <w:szCs w:val="20"/>
              </w:rPr>
              <w:t xml:space="preserve">-7 %  </w:t>
            </w:r>
          </w:p>
        </w:tc>
      </w:tr>
      <w:tr w:rsidR="00B64E96" w:rsidRPr="00730B1E" w14:paraId="17B4099F" w14:textId="77777777" w:rsidTr="00C17FA6">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DB877EC" w14:textId="77777777" w:rsidR="00C17FA6" w:rsidRPr="00730B1E" w:rsidRDefault="00C17FA6">
            <w:pPr>
              <w:jc w:val="left"/>
              <w:rPr>
                <w:szCs w:val="24"/>
              </w:rPr>
            </w:pPr>
            <w:r w:rsidRPr="00730B1E">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8DD98A4" w14:textId="77777777" w:rsidR="00C17FA6" w:rsidRPr="00730B1E" w:rsidRDefault="00C17FA6">
            <w:pPr>
              <w:jc w:val="center"/>
            </w:pPr>
            <w:r w:rsidRPr="00730B1E">
              <w:t>135</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58358173" w14:textId="77777777" w:rsidR="00C17FA6" w:rsidRPr="00730B1E" w:rsidRDefault="00C17FA6">
            <w:pPr>
              <w:jc w:val="right"/>
              <w:rPr>
                <w:sz w:val="20"/>
                <w:szCs w:val="20"/>
              </w:rPr>
            </w:pPr>
            <w:r w:rsidRPr="00730B1E">
              <w:rPr>
                <w:sz w:val="20"/>
                <w:szCs w:val="20"/>
              </w:rPr>
              <w:t xml:space="preserve">-1 %  </w:t>
            </w:r>
          </w:p>
        </w:tc>
      </w:tr>
      <w:tr w:rsidR="00B64E96" w:rsidRPr="00730B1E" w14:paraId="467D39F9" w14:textId="77777777" w:rsidTr="00C17FA6">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0E1E15D" w14:textId="77777777" w:rsidR="00C17FA6" w:rsidRPr="00730B1E" w:rsidRDefault="00C17FA6">
            <w:pPr>
              <w:jc w:val="left"/>
              <w:rPr>
                <w:b/>
                <w:bCs/>
                <w:szCs w:val="24"/>
              </w:rPr>
            </w:pPr>
            <w:r w:rsidRPr="00730B1E">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48FAD5D" w14:textId="77777777" w:rsidR="00C17FA6" w:rsidRPr="00730B1E" w:rsidRDefault="00C17FA6">
            <w:pPr>
              <w:jc w:val="center"/>
              <w:rPr>
                <w:b/>
                <w:bCs/>
              </w:rPr>
            </w:pPr>
            <w:r w:rsidRPr="00730B1E">
              <w:rPr>
                <w:b/>
                <w:bCs/>
              </w:rPr>
              <w:t>121</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36FA96F0" w14:textId="77777777" w:rsidR="00C17FA6" w:rsidRPr="00730B1E" w:rsidRDefault="00C17FA6">
            <w:pPr>
              <w:jc w:val="right"/>
              <w:rPr>
                <w:b/>
                <w:bCs/>
                <w:sz w:val="20"/>
                <w:szCs w:val="20"/>
              </w:rPr>
            </w:pPr>
            <w:r w:rsidRPr="00730B1E">
              <w:rPr>
                <w:b/>
                <w:bCs/>
                <w:sz w:val="20"/>
                <w:szCs w:val="20"/>
              </w:rPr>
              <w:t xml:space="preserve">-5 %  </w:t>
            </w:r>
          </w:p>
        </w:tc>
      </w:tr>
      <w:tr w:rsidR="00B64E96" w:rsidRPr="00730B1E" w14:paraId="5D413DB9" w14:textId="77777777" w:rsidTr="00C17FA6">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25D58E" w14:textId="77777777" w:rsidR="00C17FA6" w:rsidRPr="00730B1E" w:rsidRDefault="00C17FA6">
            <w:pPr>
              <w:jc w:val="right"/>
              <w:rPr>
                <w:b/>
                <w:bCs/>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7E8918" w14:textId="77777777" w:rsidR="00C17FA6" w:rsidRPr="00730B1E" w:rsidRDefault="00C17FA6">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5E35C2" w14:textId="77777777" w:rsidR="00C17FA6" w:rsidRPr="00730B1E" w:rsidRDefault="00C17FA6">
            <w:pPr>
              <w:rPr>
                <w:sz w:val="20"/>
                <w:szCs w:val="20"/>
              </w:rPr>
            </w:pPr>
          </w:p>
        </w:tc>
      </w:tr>
    </w:tbl>
    <w:p w14:paraId="7DC2725A" w14:textId="2AE9D1ED" w:rsidR="00D97669" w:rsidRPr="00730B1E" w:rsidRDefault="00C17FA6">
      <w:pPr>
        <w:spacing w:after="160" w:line="259" w:lineRule="auto"/>
        <w:jc w:val="left"/>
        <w:rPr>
          <w:rFonts w:eastAsia="Times New Roman"/>
          <w:b/>
          <w:iCs/>
          <w:spacing w:val="15"/>
          <w:szCs w:val="24"/>
        </w:rPr>
      </w:pPr>
      <w:r w:rsidRPr="00730B1E">
        <w:t xml:space="preserve"> </w:t>
      </w:r>
      <w:r w:rsidR="00D97669" w:rsidRPr="00730B1E">
        <w:br w:type="page"/>
      </w:r>
    </w:p>
    <w:p w14:paraId="5FF9558E" w14:textId="399109FA" w:rsidR="00B141C2" w:rsidRPr="00730B1E" w:rsidRDefault="00B141C2" w:rsidP="00B141C2">
      <w:pPr>
        <w:pStyle w:val="Podnadpis"/>
        <w:rPr>
          <w:color w:val="auto"/>
        </w:rPr>
      </w:pPr>
      <w:bookmarkStart w:id="233" w:name="_Toc515871341"/>
      <w:bookmarkStart w:id="234" w:name="_Toc11135076"/>
      <w:bookmarkStart w:id="235" w:name="_Toc43841393"/>
      <w:bookmarkStart w:id="236" w:name="_Toc75952194"/>
      <w:bookmarkStart w:id="237" w:name="_Toc106106647"/>
      <w:bookmarkStart w:id="238" w:name="_Toc144104125"/>
      <w:bookmarkStart w:id="239" w:name="_Toc169250933"/>
      <w:bookmarkStart w:id="240" w:name="_Toc174080619"/>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14</w:t>
      </w:r>
      <w:r w:rsidRPr="00730B1E">
        <w:rPr>
          <w:color w:val="auto"/>
        </w:rPr>
        <w:fldChar w:fldCharType="end"/>
      </w:r>
      <w:r w:rsidRPr="00730B1E">
        <w:rPr>
          <w:color w:val="auto"/>
        </w:rPr>
        <w:t>: OS – disposition time civilního řízení u jednotlivých soudů</w:t>
      </w:r>
      <w:bookmarkEnd w:id="233"/>
      <w:bookmarkEnd w:id="234"/>
      <w:bookmarkEnd w:id="235"/>
      <w:bookmarkEnd w:id="236"/>
      <w:bookmarkEnd w:id="237"/>
      <w:bookmarkEnd w:id="238"/>
      <w:r w:rsidR="00955E6B" w:rsidRPr="00730B1E">
        <w:rPr>
          <w:color w:val="auto"/>
        </w:rPr>
        <w:t>, 2023</w:t>
      </w:r>
      <w:bookmarkEnd w:id="239"/>
      <w:bookmarkEnd w:id="240"/>
    </w:p>
    <w:p w14:paraId="19D5FBD7" w14:textId="1995B428" w:rsidR="00B141C2" w:rsidRPr="00730B1E" w:rsidRDefault="009B0C88" w:rsidP="00D97669">
      <w:pPr>
        <w:pStyle w:val="Podnadpis"/>
        <w:rPr>
          <w:color w:val="auto"/>
        </w:rPr>
      </w:pPr>
      <w:r w:rsidRPr="00730B1E">
        <w:rPr>
          <w:noProof/>
          <w:color w:val="auto"/>
          <w:lang w:eastAsia="cs-CZ"/>
        </w:rPr>
        <w:drawing>
          <wp:anchor distT="0" distB="0" distL="114300" distR="114300" simplePos="0" relativeHeight="251665408" behindDoc="0" locked="0" layoutInCell="1" allowOverlap="1" wp14:anchorId="29D5EDBC" wp14:editId="71143ED0">
            <wp:simplePos x="0" y="0"/>
            <wp:positionH relativeFrom="margin">
              <wp:align>right</wp:align>
            </wp:positionH>
            <wp:positionV relativeFrom="paragraph">
              <wp:posOffset>81049</wp:posOffset>
            </wp:positionV>
            <wp:extent cx="1296591" cy="942975"/>
            <wp:effectExtent l="0" t="0" r="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96591" cy="942975"/>
                    </a:xfrm>
                    <a:prstGeom prst="rect">
                      <a:avLst/>
                    </a:prstGeom>
                    <a:noFill/>
                    <a:ln>
                      <a:noFill/>
                    </a:ln>
                  </pic:spPr>
                </pic:pic>
              </a:graphicData>
            </a:graphic>
          </wp:anchor>
        </w:drawing>
      </w:r>
      <w:r w:rsidRPr="00730B1E">
        <w:rPr>
          <w:noProof/>
          <w:color w:val="auto"/>
          <w:lang w:eastAsia="cs-CZ"/>
        </w:rPr>
        <w:drawing>
          <wp:inline distT="0" distB="0" distL="0" distR="0" wp14:anchorId="5967B307" wp14:editId="7FEB71CD">
            <wp:extent cx="5760720" cy="329692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2F3A05B2" w14:textId="77777777" w:rsidR="00B141C2" w:rsidRPr="00730B1E" w:rsidRDefault="00B141C2" w:rsidP="00D97669">
      <w:pPr>
        <w:pStyle w:val="Podnadpis"/>
        <w:rPr>
          <w:color w:val="auto"/>
        </w:rPr>
      </w:pPr>
    </w:p>
    <w:p w14:paraId="49DAE63D" w14:textId="3EB77347" w:rsidR="00D97669" w:rsidRPr="00730B1E" w:rsidRDefault="00D97669" w:rsidP="00D97669">
      <w:pPr>
        <w:pStyle w:val="Podnadpis"/>
        <w:rPr>
          <w:color w:val="auto"/>
        </w:rPr>
      </w:pPr>
      <w:bookmarkStart w:id="241" w:name="_Toc169250934"/>
      <w:bookmarkStart w:id="242" w:name="_Toc17408062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15</w:t>
      </w:r>
      <w:r w:rsidRPr="00730B1E">
        <w:rPr>
          <w:color w:val="auto"/>
        </w:rPr>
        <w:fldChar w:fldCharType="end"/>
      </w:r>
      <w:r w:rsidRPr="00730B1E">
        <w:rPr>
          <w:color w:val="auto"/>
        </w:rPr>
        <w:t>: OS – krabicové grafy, DT civilního řízení</w:t>
      </w:r>
      <w:bookmarkEnd w:id="216"/>
      <w:bookmarkEnd w:id="217"/>
      <w:bookmarkEnd w:id="218"/>
      <w:bookmarkEnd w:id="219"/>
      <w:r w:rsidR="00955E6B" w:rsidRPr="00730B1E">
        <w:rPr>
          <w:color w:val="auto"/>
        </w:rPr>
        <w:t>m, 2023</w:t>
      </w:r>
      <w:bookmarkEnd w:id="241"/>
      <w:bookmarkEnd w:id="242"/>
    </w:p>
    <w:p w14:paraId="69988017" w14:textId="7C49527C" w:rsidR="00D97669" w:rsidRPr="00730B1E" w:rsidRDefault="00D97669" w:rsidP="00D97669">
      <w:r w:rsidRPr="00730B1E">
        <w:rPr>
          <w:noProof/>
          <w:lang w:eastAsia="cs-CZ"/>
        </w:rPr>
        <w:drawing>
          <wp:inline distT="0" distB="0" distL="0" distR="0" wp14:anchorId="436B5BD5" wp14:editId="342B4D82">
            <wp:extent cx="5029200" cy="365760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8979BBA" w14:textId="77777777" w:rsidR="00C17FA6" w:rsidRPr="00730B1E" w:rsidRDefault="00C17FA6" w:rsidP="00C17FA6"/>
    <w:p w14:paraId="2FF867A0" w14:textId="228DB6D7" w:rsidR="00C17FA6" w:rsidRPr="00730B1E" w:rsidRDefault="00C17FA6" w:rsidP="00C17FA6">
      <w:r w:rsidRPr="00730B1E">
        <w:t xml:space="preserve">Krabicový graf </w:t>
      </w:r>
      <w:r w:rsidR="00FC6AE3" w:rsidRPr="00730B1E">
        <w:t xml:space="preserve">ilustruje </w:t>
      </w:r>
      <w:r w:rsidRPr="00730B1E">
        <w:t xml:space="preserve">to, co už víme z předchozích dat – </w:t>
      </w:r>
      <w:r w:rsidR="00FC6AE3" w:rsidRPr="00730B1E">
        <w:t xml:space="preserve">po zlepšení v letech 2014-2019 se </w:t>
      </w:r>
      <w:r w:rsidRPr="00730B1E">
        <w:t xml:space="preserve">situace v roce 2020 celkově zhoršila, protože DT vzrostl. </w:t>
      </w:r>
      <w:r w:rsidR="00FC6AE3" w:rsidRPr="00730B1E">
        <w:t>V</w:t>
      </w:r>
      <w:r w:rsidRPr="00730B1E">
        <w:t xml:space="preserve">ariabilita mezi soudy se </w:t>
      </w:r>
      <w:r w:rsidR="00FC6AE3" w:rsidRPr="00730B1E">
        <w:t xml:space="preserve">nicméně </w:t>
      </w:r>
      <w:r w:rsidRPr="00730B1E">
        <w:t xml:space="preserve">nezvýšila, neboť ke zhoršení došlo v rámci celé ČR. V roce 2021 vidíme opět zlepšení situace jako celku, protože celý box se přiblížil k ose </w:t>
      </w:r>
      <w:r w:rsidRPr="00730B1E">
        <w:rPr>
          <w:i/>
        </w:rPr>
        <w:t>x</w:t>
      </w:r>
      <w:r w:rsidR="00FC6AE3" w:rsidRPr="00730B1E">
        <w:t>;</w:t>
      </w:r>
      <w:r w:rsidRPr="00730B1E">
        <w:t xml:space="preserve"> </w:t>
      </w:r>
      <w:r w:rsidR="00512893" w:rsidRPr="00730B1E">
        <w:t>totéž platí pro rok</w:t>
      </w:r>
      <w:r w:rsidRPr="00730B1E">
        <w:t xml:space="preserve"> 2022. Jako pozitivní rozhodně lze hodnotit fakt, že poprvé za celé sledované období není v krabicovém grafu jediná odlehlá hodnota. </w:t>
      </w:r>
      <w:r w:rsidRPr="00730B1E">
        <w:lastRenderedPageBreak/>
        <w:t xml:space="preserve">To znamená, že variabilita mezi soudy se zmenšila </w:t>
      </w:r>
      <w:r w:rsidR="00512893" w:rsidRPr="00730B1E">
        <w:t xml:space="preserve">natolik, že žádný </w:t>
      </w:r>
      <w:r w:rsidRPr="00730B1E">
        <w:t xml:space="preserve">soud v DT </w:t>
      </w:r>
      <w:r w:rsidR="00512893" w:rsidRPr="00730B1E">
        <w:t>nevykazoval mimořádně vysoké hodnoty</w:t>
      </w:r>
      <w:r w:rsidRPr="00730B1E">
        <w:t>. V roce 2023 se sice objevily dvě odlehlé hodnoty, ale box se zmenšil a vousy</w:t>
      </w:r>
      <w:r w:rsidR="00871EDD" w:rsidRPr="00730B1E">
        <w:t xml:space="preserve"> se </w:t>
      </w:r>
      <w:r w:rsidR="00512893" w:rsidRPr="00730B1E">
        <w:t xml:space="preserve">dále </w:t>
      </w:r>
      <w:r w:rsidR="00871EDD" w:rsidRPr="00730B1E">
        <w:t>zkrátily.</w:t>
      </w:r>
    </w:p>
    <w:p w14:paraId="67AC4508" w14:textId="5AC1F774" w:rsidR="00C17FA6" w:rsidRPr="00730B1E" w:rsidRDefault="00C17FA6" w:rsidP="00C17FA6">
      <w:pPr>
        <w:pStyle w:val="OdstavecASR"/>
      </w:pPr>
      <w:r w:rsidRPr="00730B1E">
        <w:t xml:space="preserve">Na základě přechozích ukazatelů můžeme shrnout, že celkově se situace v civilním řízení u okresních soudů </w:t>
      </w:r>
      <w:r w:rsidR="00512893" w:rsidRPr="00730B1E">
        <w:t xml:space="preserve">v letech </w:t>
      </w:r>
      <w:r w:rsidRPr="00730B1E">
        <w:t>2014 až 2019 výrazně zlepšila – výrazně klesl počet nevyřízených věcí i délky řízení. To bylo dáno především zmenšováním rozdílů mezi soudy, tj</w:t>
      </w:r>
      <w:r w:rsidR="00512893" w:rsidRPr="00730B1E">
        <w:t>. </w:t>
      </w:r>
      <w:r w:rsidRPr="00730B1E">
        <w:t>zlepšováním situace u nejpomalejších a nejzatíženějších soudů. Zlepšování situace ale postupně stagnovalo. V roce 2020 došlo ve všech krajích ke zhoršení, nijak závratnému, ale rozhodně statisticky zachytitelnému. Důvodem byla zřejmě pandemie onemocnění COVID</w:t>
      </w:r>
      <w:r w:rsidRPr="00730B1E">
        <w:noBreakHyphen/>
        <w:t xml:space="preserve">19 a s tím související vládní restrikce. </w:t>
      </w:r>
      <w:bookmarkStart w:id="243" w:name="_Hlk104290540"/>
      <w:r w:rsidRPr="00730B1E">
        <w:t xml:space="preserve">V roce 2021 se i přes pokračování pandemie situace zlepšila – v zásadě se vrátila na úroveň roku 2019. Zdá se tedy, že soudy již byly civilní agendy schopny v plném rozsahu organizačně i personálně zvládnout. </w:t>
      </w:r>
      <w:r w:rsidR="00871EDD" w:rsidRPr="00730B1E">
        <w:t xml:space="preserve">Data za roky 2022 a 2023 ukázala, že situace se </w:t>
      </w:r>
      <w:r w:rsidR="00512893" w:rsidRPr="00730B1E">
        <w:t xml:space="preserve">dále </w:t>
      </w:r>
      <w:r w:rsidR="00871EDD" w:rsidRPr="00730B1E">
        <w:t>mírně zlepšuje nebo je stabilní.</w:t>
      </w:r>
      <w:r w:rsidRPr="00730B1E">
        <w:t xml:space="preserve"> </w:t>
      </w:r>
    </w:p>
    <w:p w14:paraId="141E1FA1" w14:textId="7AB02E2F" w:rsidR="00E02D12" w:rsidRPr="00730B1E" w:rsidRDefault="00AA6138" w:rsidP="00AA6138">
      <w:pPr>
        <w:pStyle w:val="Nadpis3"/>
        <w:numPr>
          <w:ilvl w:val="2"/>
          <w:numId w:val="1"/>
        </w:numPr>
        <w:rPr>
          <w:color w:val="auto"/>
        </w:rPr>
      </w:pPr>
      <w:bookmarkStart w:id="244" w:name="_Ref509563330"/>
      <w:bookmarkStart w:id="245" w:name="_Toc515871225"/>
      <w:bookmarkStart w:id="246" w:name="_Toc41546302"/>
      <w:bookmarkStart w:id="247" w:name="_Toc106092722"/>
      <w:bookmarkStart w:id="248" w:name="_Toc169250806"/>
      <w:bookmarkStart w:id="249" w:name="_Toc43903029"/>
      <w:bookmarkStart w:id="250" w:name="_Toc174080842"/>
      <w:bookmarkEnd w:id="243"/>
      <w:r w:rsidRPr="00730B1E">
        <w:rPr>
          <w:color w:val="auto"/>
        </w:rPr>
        <w:t>Další statistiky</w:t>
      </w:r>
      <w:bookmarkEnd w:id="244"/>
      <w:bookmarkEnd w:id="245"/>
      <w:bookmarkEnd w:id="246"/>
      <w:bookmarkEnd w:id="247"/>
      <w:bookmarkEnd w:id="248"/>
      <w:bookmarkEnd w:id="250"/>
    </w:p>
    <w:p w14:paraId="061E7977" w14:textId="1615419E" w:rsidR="00871EDD" w:rsidRPr="00730B1E" w:rsidRDefault="00871EDD" w:rsidP="00871EDD">
      <w:pPr>
        <w:shd w:val="clear" w:color="auto" w:fill="FFFFFF" w:themeFill="background1"/>
        <w:spacing w:after="160" w:line="259" w:lineRule="auto"/>
      </w:pPr>
      <w:r w:rsidRPr="00730B1E">
        <w:t xml:space="preserve">Kromě výše uvedených ukazatelů výkonnosti soudů sleduje Ministerstvo spravedlnosti řadu dalších údajů. Tato podkapitola se věnuje </w:t>
      </w:r>
      <w:r w:rsidR="00F24EAA" w:rsidRPr="00730B1E">
        <w:t>třem</w:t>
      </w:r>
      <w:r w:rsidRPr="00730B1E">
        <w:t xml:space="preserve"> příkladům, a to míře odvolání, míře změny rozsudku</w:t>
      </w:r>
      <w:r w:rsidR="00F24EAA" w:rsidRPr="00730B1E">
        <w:t xml:space="preserve"> a </w:t>
      </w:r>
      <w:r w:rsidRPr="00730B1E">
        <w:t>výši přiznaných nároků</w:t>
      </w:r>
      <w:r w:rsidR="00F24EAA" w:rsidRPr="00730B1E">
        <w:t>.</w:t>
      </w:r>
    </w:p>
    <w:p w14:paraId="05E714D8" w14:textId="6DF1429A" w:rsidR="002624CC" w:rsidRPr="00730B1E" w:rsidRDefault="002624CC" w:rsidP="002624CC">
      <w:pPr>
        <w:pStyle w:val="OdstavecASR"/>
        <w:keepNext/>
        <w:outlineLvl w:val="3"/>
        <w:rPr>
          <w:b/>
          <w:bCs/>
        </w:rPr>
      </w:pPr>
      <w:r w:rsidRPr="00730B1E">
        <w:rPr>
          <w:b/>
          <w:bCs/>
        </w:rPr>
        <w:t>Míra odvolání</w:t>
      </w:r>
    </w:p>
    <w:p w14:paraId="178D68FC" w14:textId="13DCB045" w:rsidR="00871EDD" w:rsidRPr="00730B1E" w:rsidRDefault="00871EDD" w:rsidP="00871EDD">
      <w:pPr>
        <w:pStyle w:val="OdstavecASR"/>
      </w:pPr>
      <w:r w:rsidRPr="00730B1E">
        <w:t>Míra odvolání udává, jak často podávají účastníci sporu odvolání. Závisí na mnoha faktorech</w:t>
      </w:r>
      <w:r w:rsidR="00512893" w:rsidRPr="00730B1E">
        <w:t>,</w:t>
      </w:r>
      <w:r w:rsidRPr="00730B1E">
        <w:t xml:space="preserve"> jako je například složení agendy soudu nebo charakteristika účastníků sporu. Do určité míry může vypovídat o složitosti sporů, neboť u velmi jednoduchých sporů (typicky s procesně pasivní žalovanou stranou) je podání odvolání méně pravděpodobné. Výpočty zahrnují i věci, ve kterých odvolací soud zrušil rozhodnutí soudu I. stupně, věc mu vrátil a následně již nebylo odvolání podáno.</w:t>
      </w:r>
    </w:p>
    <w:p w14:paraId="75ED92C5" w14:textId="4AA9BBDA" w:rsidR="000C2981" w:rsidRPr="00730B1E" w:rsidRDefault="000C2981" w:rsidP="000C2981">
      <w:pPr>
        <w:pStyle w:val="Podnadpis"/>
        <w:rPr>
          <w:color w:val="auto"/>
        </w:rPr>
      </w:pPr>
      <w:bookmarkStart w:id="251" w:name="_Toc169251069"/>
      <w:bookmarkStart w:id="252" w:name="_Toc174080755"/>
      <w:bookmarkStart w:id="253" w:name="_Hlk160103529"/>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12</w:t>
      </w:r>
      <w:r w:rsidRPr="00730B1E">
        <w:rPr>
          <w:noProof/>
          <w:color w:val="auto"/>
        </w:rPr>
        <w:fldChar w:fldCharType="end"/>
      </w:r>
      <w:r w:rsidRPr="00730B1E">
        <w:rPr>
          <w:color w:val="auto"/>
        </w:rPr>
        <w:t>: OS – míra odvolání dle krajů v civilním řízení</w:t>
      </w:r>
      <w:r w:rsidR="00955E6B" w:rsidRPr="00730B1E">
        <w:rPr>
          <w:color w:val="auto"/>
        </w:rPr>
        <w:t>, 2023</w:t>
      </w:r>
      <w:bookmarkEnd w:id="251"/>
      <w:bookmarkEnd w:id="252"/>
    </w:p>
    <w:tbl>
      <w:tblPr>
        <w:tblW w:w="5620" w:type="dxa"/>
        <w:tblCellMar>
          <w:left w:w="70" w:type="dxa"/>
          <w:right w:w="70" w:type="dxa"/>
        </w:tblCellMar>
        <w:tblLook w:val="04A0" w:firstRow="1" w:lastRow="0" w:firstColumn="1" w:lastColumn="0" w:noHBand="0" w:noVBand="1"/>
      </w:tblPr>
      <w:tblGrid>
        <w:gridCol w:w="2780"/>
        <w:gridCol w:w="1494"/>
        <w:gridCol w:w="1346"/>
      </w:tblGrid>
      <w:tr w:rsidR="00B64E96" w:rsidRPr="00730B1E" w14:paraId="051958DB" w14:textId="77777777" w:rsidTr="000C2981">
        <w:trPr>
          <w:trHeight w:val="345"/>
        </w:trPr>
        <w:tc>
          <w:tcPr>
            <w:tcW w:w="2780" w:type="dxa"/>
            <w:tcBorders>
              <w:top w:val="double" w:sz="6" w:space="0" w:color="auto"/>
              <w:left w:val="nil"/>
              <w:bottom w:val="double" w:sz="6" w:space="0" w:color="auto"/>
              <w:right w:val="nil"/>
            </w:tcBorders>
            <w:shd w:val="clear" w:color="auto" w:fill="auto"/>
            <w:noWrap/>
            <w:vAlign w:val="center"/>
            <w:hideMark/>
          </w:tcPr>
          <w:bookmarkEnd w:id="253"/>
          <w:p w14:paraId="3BB8CEFC" w14:textId="77777777" w:rsidR="000C2981" w:rsidRPr="00730B1E" w:rsidRDefault="000C2981" w:rsidP="000C2981">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2840" w:type="dxa"/>
            <w:gridSpan w:val="2"/>
            <w:tcBorders>
              <w:top w:val="double" w:sz="6" w:space="0" w:color="auto"/>
              <w:left w:val="nil"/>
              <w:bottom w:val="double" w:sz="6" w:space="0" w:color="auto"/>
              <w:right w:val="nil"/>
            </w:tcBorders>
            <w:shd w:val="clear" w:color="auto" w:fill="auto"/>
            <w:noWrap/>
            <w:vAlign w:val="center"/>
            <w:hideMark/>
          </w:tcPr>
          <w:p w14:paraId="3BE96D78" w14:textId="77777777" w:rsidR="000C2981" w:rsidRPr="00730B1E" w:rsidRDefault="000C2981" w:rsidP="000C2981">
            <w:pPr>
              <w:spacing w:line="240" w:lineRule="auto"/>
              <w:jc w:val="center"/>
              <w:rPr>
                <w:rFonts w:eastAsia="Times New Roman"/>
                <w:b/>
                <w:bCs/>
                <w:szCs w:val="24"/>
                <w:lang w:eastAsia="cs-CZ"/>
              </w:rPr>
            </w:pPr>
            <w:r w:rsidRPr="00730B1E">
              <w:rPr>
                <w:rFonts w:eastAsia="Times New Roman"/>
                <w:b/>
                <w:bCs/>
                <w:szCs w:val="24"/>
                <w:lang w:eastAsia="cs-CZ"/>
              </w:rPr>
              <w:t>Míra odvolání</w:t>
            </w:r>
          </w:p>
        </w:tc>
      </w:tr>
      <w:tr w:rsidR="00B64E96" w:rsidRPr="00730B1E" w14:paraId="7DF3D60B" w14:textId="77777777" w:rsidTr="000C2981">
        <w:trPr>
          <w:trHeight w:val="330"/>
        </w:trPr>
        <w:tc>
          <w:tcPr>
            <w:tcW w:w="2780" w:type="dxa"/>
            <w:tcBorders>
              <w:top w:val="nil"/>
              <w:left w:val="nil"/>
              <w:bottom w:val="single" w:sz="4" w:space="0" w:color="auto"/>
              <w:right w:val="nil"/>
            </w:tcBorders>
            <w:shd w:val="clear" w:color="auto" w:fill="auto"/>
            <w:noWrap/>
            <w:vAlign w:val="bottom"/>
            <w:hideMark/>
          </w:tcPr>
          <w:p w14:paraId="38728F3E" w14:textId="77777777" w:rsidR="000C2981" w:rsidRPr="00730B1E" w:rsidRDefault="000C2981" w:rsidP="000C2981">
            <w:pPr>
              <w:spacing w:line="240" w:lineRule="auto"/>
              <w:jc w:val="left"/>
              <w:rPr>
                <w:rFonts w:eastAsia="Times New Roman"/>
                <w:szCs w:val="24"/>
                <w:lang w:eastAsia="cs-CZ"/>
              </w:rPr>
            </w:pPr>
            <w:r w:rsidRPr="00730B1E">
              <w:rPr>
                <w:rFonts w:eastAsia="Times New Roman"/>
                <w:szCs w:val="24"/>
                <w:lang w:eastAsia="cs-CZ"/>
              </w:rPr>
              <w:t>MS Praha</w:t>
            </w:r>
          </w:p>
        </w:tc>
        <w:tc>
          <w:tcPr>
            <w:tcW w:w="1494" w:type="dxa"/>
            <w:tcBorders>
              <w:top w:val="nil"/>
              <w:left w:val="nil"/>
              <w:bottom w:val="single" w:sz="4" w:space="0" w:color="auto"/>
              <w:right w:val="nil"/>
            </w:tcBorders>
            <w:shd w:val="clear" w:color="auto" w:fill="auto"/>
            <w:noWrap/>
            <w:vAlign w:val="bottom"/>
            <w:hideMark/>
          </w:tcPr>
          <w:p w14:paraId="1DEE1485" w14:textId="70D96CB1" w:rsidR="000C2981" w:rsidRPr="00730B1E" w:rsidRDefault="000C2981" w:rsidP="000C2981">
            <w:pPr>
              <w:spacing w:line="240" w:lineRule="auto"/>
              <w:jc w:val="center"/>
              <w:rPr>
                <w:rFonts w:eastAsia="Times New Roman"/>
                <w:szCs w:val="24"/>
                <w:lang w:eastAsia="cs-CZ"/>
              </w:rPr>
            </w:pPr>
            <w:r w:rsidRPr="00730B1E">
              <w:rPr>
                <w:rFonts w:eastAsia="Times New Roman"/>
                <w:szCs w:val="24"/>
                <w:lang w:eastAsia="cs-CZ"/>
              </w:rPr>
              <w:t>11,70 %</w:t>
            </w:r>
          </w:p>
        </w:tc>
        <w:tc>
          <w:tcPr>
            <w:tcW w:w="1346" w:type="dxa"/>
            <w:tcBorders>
              <w:top w:val="single" w:sz="4" w:space="0" w:color="auto"/>
              <w:left w:val="nil"/>
              <w:bottom w:val="single" w:sz="4" w:space="0" w:color="auto"/>
              <w:right w:val="nil"/>
            </w:tcBorders>
            <w:shd w:val="clear" w:color="auto" w:fill="auto"/>
            <w:noWrap/>
            <w:vAlign w:val="center"/>
            <w:hideMark/>
          </w:tcPr>
          <w:p w14:paraId="5195E15F" w14:textId="4CDDC162" w:rsidR="000C2981" w:rsidRPr="00730B1E" w:rsidRDefault="000C2981" w:rsidP="000C2981">
            <w:pPr>
              <w:spacing w:line="240" w:lineRule="auto"/>
              <w:jc w:val="center"/>
              <w:rPr>
                <w:rFonts w:eastAsia="Times New Roman"/>
                <w:sz w:val="20"/>
                <w:szCs w:val="20"/>
                <w:lang w:eastAsia="cs-CZ"/>
              </w:rPr>
            </w:pPr>
            <w:r w:rsidRPr="00730B1E">
              <w:rPr>
                <w:rFonts w:eastAsia="Times New Roman"/>
                <w:sz w:val="20"/>
                <w:szCs w:val="20"/>
                <w:lang w:eastAsia="cs-CZ"/>
              </w:rPr>
              <w:t>-0,0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r w:rsidRPr="00730B1E">
              <w:rPr>
                <w:rFonts w:eastAsia="Times New Roman"/>
                <w:sz w:val="20"/>
                <w:szCs w:val="20"/>
                <w:lang w:eastAsia="cs-CZ"/>
              </w:rPr>
              <w:t xml:space="preserve">  </w:t>
            </w:r>
          </w:p>
        </w:tc>
      </w:tr>
      <w:tr w:rsidR="00B64E96" w:rsidRPr="00730B1E" w14:paraId="61D82E3D" w14:textId="77777777" w:rsidTr="000C2981">
        <w:trPr>
          <w:trHeight w:val="315"/>
        </w:trPr>
        <w:tc>
          <w:tcPr>
            <w:tcW w:w="2780" w:type="dxa"/>
            <w:tcBorders>
              <w:top w:val="nil"/>
              <w:left w:val="nil"/>
              <w:bottom w:val="single" w:sz="4" w:space="0" w:color="auto"/>
              <w:right w:val="nil"/>
            </w:tcBorders>
            <w:shd w:val="clear" w:color="auto" w:fill="auto"/>
            <w:noWrap/>
            <w:vAlign w:val="bottom"/>
            <w:hideMark/>
          </w:tcPr>
          <w:p w14:paraId="0E6770B7" w14:textId="77777777" w:rsidR="000C2981" w:rsidRPr="00730B1E" w:rsidRDefault="000C2981" w:rsidP="000C2981">
            <w:pPr>
              <w:spacing w:line="240" w:lineRule="auto"/>
              <w:jc w:val="left"/>
              <w:rPr>
                <w:rFonts w:eastAsia="Times New Roman"/>
                <w:szCs w:val="24"/>
                <w:lang w:eastAsia="cs-CZ"/>
              </w:rPr>
            </w:pPr>
            <w:r w:rsidRPr="00730B1E">
              <w:rPr>
                <w:rFonts w:eastAsia="Times New Roman"/>
                <w:szCs w:val="24"/>
                <w:lang w:eastAsia="cs-CZ"/>
              </w:rPr>
              <w:t>KS Praha</w:t>
            </w:r>
          </w:p>
        </w:tc>
        <w:tc>
          <w:tcPr>
            <w:tcW w:w="1494" w:type="dxa"/>
            <w:tcBorders>
              <w:top w:val="nil"/>
              <w:left w:val="nil"/>
              <w:bottom w:val="single" w:sz="4" w:space="0" w:color="auto"/>
              <w:right w:val="nil"/>
            </w:tcBorders>
            <w:shd w:val="clear" w:color="auto" w:fill="auto"/>
            <w:noWrap/>
            <w:vAlign w:val="bottom"/>
            <w:hideMark/>
          </w:tcPr>
          <w:p w14:paraId="315BD4C1" w14:textId="492BAEAD" w:rsidR="000C2981" w:rsidRPr="00730B1E" w:rsidRDefault="000C2981" w:rsidP="000C2981">
            <w:pPr>
              <w:spacing w:line="240" w:lineRule="auto"/>
              <w:jc w:val="center"/>
              <w:rPr>
                <w:rFonts w:eastAsia="Times New Roman"/>
                <w:szCs w:val="24"/>
                <w:lang w:eastAsia="cs-CZ"/>
              </w:rPr>
            </w:pPr>
            <w:r w:rsidRPr="00730B1E">
              <w:rPr>
                <w:rFonts w:eastAsia="Times New Roman"/>
                <w:szCs w:val="24"/>
                <w:lang w:eastAsia="cs-CZ"/>
              </w:rPr>
              <w:t>5,04 %</w:t>
            </w:r>
          </w:p>
        </w:tc>
        <w:tc>
          <w:tcPr>
            <w:tcW w:w="1346" w:type="dxa"/>
            <w:tcBorders>
              <w:top w:val="nil"/>
              <w:left w:val="nil"/>
              <w:bottom w:val="single" w:sz="4" w:space="0" w:color="auto"/>
              <w:right w:val="nil"/>
            </w:tcBorders>
            <w:shd w:val="clear" w:color="auto" w:fill="auto"/>
            <w:noWrap/>
            <w:vAlign w:val="center"/>
            <w:hideMark/>
          </w:tcPr>
          <w:p w14:paraId="2AFDB367" w14:textId="5D5331A3" w:rsidR="000C2981" w:rsidRPr="00730B1E" w:rsidRDefault="000C2981" w:rsidP="000C2981">
            <w:pPr>
              <w:spacing w:line="240" w:lineRule="auto"/>
              <w:jc w:val="center"/>
              <w:rPr>
                <w:rFonts w:eastAsia="Times New Roman"/>
                <w:sz w:val="20"/>
                <w:szCs w:val="20"/>
                <w:lang w:eastAsia="cs-CZ"/>
              </w:rPr>
            </w:pPr>
            <w:r w:rsidRPr="00730B1E">
              <w:rPr>
                <w:rFonts w:eastAsia="Times New Roman"/>
                <w:sz w:val="20"/>
                <w:szCs w:val="20"/>
                <w:lang w:eastAsia="cs-CZ"/>
              </w:rPr>
              <w:t>-0,5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r w:rsidRPr="00730B1E">
              <w:rPr>
                <w:rFonts w:eastAsia="Times New Roman"/>
                <w:sz w:val="20"/>
                <w:szCs w:val="20"/>
                <w:lang w:eastAsia="cs-CZ"/>
              </w:rPr>
              <w:t xml:space="preserve">  </w:t>
            </w:r>
          </w:p>
        </w:tc>
      </w:tr>
      <w:tr w:rsidR="00B64E96" w:rsidRPr="00730B1E" w14:paraId="223A7135" w14:textId="77777777" w:rsidTr="000C2981">
        <w:trPr>
          <w:trHeight w:val="315"/>
        </w:trPr>
        <w:tc>
          <w:tcPr>
            <w:tcW w:w="2780" w:type="dxa"/>
            <w:tcBorders>
              <w:top w:val="nil"/>
              <w:left w:val="nil"/>
              <w:bottom w:val="single" w:sz="4" w:space="0" w:color="auto"/>
              <w:right w:val="nil"/>
            </w:tcBorders>
            <w:shd w:val="clear" w:color="auto" w:fill="auto"/>
            <w:noWrap/>
            <w:vAlign w:val="bottom"/>
            <w:hideMark/>
          </w:tcPr>
          <w:p w14:paraId="3D72C05D" w14:textId="1A63CE2E" w:rsidR="000C2981" w:rsidRPr="00730B1E" w:rsidRDefault="000C2981" w:rsidP="000C2981">
            <w:pPr>
              <w:spacing w:line="240" w:lineRule="auto"/>
              <w:jc w:val="left"/>
              <w:rPr>
                <w:rFonts w:eastAsia="Times New Roman"/>
                <w:szCs w:val="24"/>
                <w:lang w:eastAsia="cs-CZ"/>
              </w:rPr>
            </w:pPr>
            <w:r w:rsidRPr="00730B1E">
              <w:rPr>
                <w:rFonts w:eastAsia="Times New Roman"/>
                <w:szCs w:val="24"/>
                <w:lang w:eastAsia="cs-CZ"/>
              </w:rPr>
              <w:t>KS Č</w:t>
            </w:r>
            <w:r w:rsidR="00512893" w:rsidRPr="00730B1E">
              <w:rPr>
                <w:rFonts w:eastAsia="Times New Roman"/>
                <w:szCs w:val="24"/>
                <w:lang w:eastAsia="cs-CZ"/>
              </w:rPr>
              <w:t>.</w:t>
            </w:r>
            <w:r w:rsidRPr="00730B1E">
              <w:rPr>
                <w:rFonts w:eastAsia="Times New Roman"/>
                <w:szCs w:val="24"/>
                <w:lang w:eastAsia="cs-CZ"/>
              </w:rPr>
              <w:t xml:space="preserve"> Budějovice</w:t>
            </w:r>
          </w:p>
        </w:tc>
        <w:tc>
          <w:tcPr>
            <w:tcW w:w="1494" w:type="dxa"/>
            <w:tcBorders>
              <w:top w:val="nil"/>
              <w:left w:val="nil"/>
              <w:bottom w:val="single" w:sz="4" w:space="0" w:color="auto"/>
              <w:right w:val="nil"/>
            </w:tcBorders>
            <w:shd w:val="clear" w:color="auto" w:fill="auto"/>
            <w:noWrap/>
            <w:vAlign w:val="bottom"/>
            <w:hideMark/>
          </w:tcPr>
          <w:p w14:paraId="764A8055" w14:textId="13C16270" w:rsidR="000C2981" w:rsidRPr="00730B1E" w:rsidRDefault="000C2981" w:rsidP="000C2981">
            <w:pPr>
              <w:spacing w:line="240" w:lineRule="auto"/>
              <w:jc w:val="center"/>
              <w:rPr>
                <w:rFonts w:eastAsia="Times New Roman"/>
                <w:szCs w:val="24"/>
                <w:lang w:eastAsia="cs-CZ"/>
              </w:rPr>
            </w:pPr>
            <w:r w:rsidRPr="00730B1E">
              <w:rPr>
                <w:rFonts w:eastAsia="Times New Roman"/>
                <w:szCs w:val="24"/>
                <w:lang w:eastAsia="cs-CZ"/>
              </w:rPr>
              <w:t>6,31 %</w:t>
            </w:r>
          </w:p>
        </w:tc>
        <w:tc>
          <w:tcPr>
            <w:tcW w:w="1346" w:type="dxa"/>
            <w:tcBorders>
              <w:top w:val="nil"/>
              <w:left w:val="nil"/>
              <w:bottom w:val="single" w:sz="4" w:space="0" w:color="auto"/>
              <w:right w:val="nil"/>
            </w:tcBorders>
            <w:shd w:val="clear" w:color="auto" w:fill="auto"/>
            <w:noWrap/>
            <w:vAlign w:val="center"/>
            <w:hideMark/>
          </w:tcPr>
          <w:p w14:paraId="232A20D6" w14:textId="2215DB78" w:rsidR="000C2981" w:rsidRPr="00730B1E" w:rsidRDefault="000C2981" w:rsidP="000C2981">
            <w:pPr>
              <w:spacing w:line="240" w:lineRule="auto"/>
              <w:jc w:val="center"/>
              <w:rPr>
                <w:rFonts w:eastAsia="Times New Roman"/>
                <w:sz w:val="20"/>
                <w:szCs w:val="20"/>
                <w:lang w:eastAsia="cs-CZ"/>
              </w:rPr>
            </w:pPr>
            <w:r w:rsidRPr="00730B1E">
              <w:rPr>
                <w:rFonts w:eastAsia="Times New Roman"/>
                <w:sz w:val="20"/>
                <w:szCs w:val="20"/>
                <w:lang w:eastAsia="cs-CZ"/>
              </w:rPr>
              <w:t>-0,4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r w:rsidRPr="00730B1E">
              <w:rPr>
                <w:rFonts w:eastAsia="Times New Roman"/>
                <w:sz w:val="20"/>
                <w:szCs w:val="20"/>
                <w:lang w:eastAsia="cs-CZ"/>
              </w:rPr>
              <w:t xml:space="preserve">  </w:t>
            </w:r>
          </w:p>
        </w:tc>
      </w:tr>
      <w:tr w:rsidR="00B64E96" w:rsidRPr="00730B1E" w14:paraId="38411475" w14:textId="77777777" w:rsidTr="000C2981">
        <w:trPr>
          <w:trHeight w:val="315"/>
        </w:trPr>
        <w:tc>
          <w:tcPr>
            <w:tcW w:w="2780" w:type="dxa"/>
            <w:tcBorders>
              <w:top w:val="nil"/>
              <w:left w:val="nil"/>
              <w:bottom w:val="single" w:sz="4" w:space="0" w:color="auto"/>
              <w:right w:val="nil"/>
            </w:tcBorders>
            <w:shd w:val="clear" w:color="auto" w:fill="auto"/>
            <w:noWrap/>
            <w:vAlign w:val="bottom"/>
            <w:hideMark/>
          </w:tcPr>
          <w:p w14:paraId="3715D253" w14:textId="77777777" w:rsidR="000C2981" w:rsidRPr="00730B1E" w:rsidRDefault="000C2981" w:rsidP="000C2981">
            <w:pPr>
              <w:spacing w:line="240" w:lineRule="auto"/>
              <w:jc w:val="left"/>
              <w:rPr>
                <w:rFonts w:eastAsia="Times New Roman"/>
                <w:szCs w:val="24"/>
                <w:lang w:eastAsia="cs-CZ"/>
              </w:rPr>
            </w:pPr>
            <w:r w:rsidRPr="00730B1E">
              <w:rPr>
                <w:rFonts w:eastAsia="Times New Roman"/>
                <w:szCs w:val="24"/>
                <w:lang w:eastAsia="cs-CZ"/>
              </w:rPr>
              <w:t>KS Plzeň</w:t>
            </w:r>
          </w:p>
        </w:tc>
        <w:tc>
          <w:tcPr>
            <w:tcW w:w="1494" w:type="dxa"/>
            <w:tcBorders>
              <w:top w:val="nil"/>
              <w:left w:val="nil"/>
              <w:bottom w:val="single" w:sz="4" w:space="0" w:color="auto"/>
              <w:right w:val="nil"/>
            </w:tcBorders>
            <w:shd w:val="clear" w:color="auto" w:fill="auto"/>
            <w:noWrap/>
            <w:vAlign w:val="bottom"/>
            <w:hideMark/>
          </w:tcPr>
          <w:p w14:paraId="5B328C59" w14:textId="28AF65E9" w:rsidR="000C2981" w:rsidRPr="00730B1E" w:rsidRDefault="000C2981" w:rsidP="000C2981">
            <w:pPr>
              <w:spacing w:line="240" w:lineRule="auto"/>
              <w:jc w:val="center"/>
              <w:rPr>
                <w:rFonts w:eastAsia="Times New Roman"/>
                <w:szCs w:val="24"/>
                <w:lang w:eastAsia="cs-CZ"/>
              </w:rPr>
            </w:pPr>
            <w:r w:rsidRPr="00730B1E">
              <w:rPr>
                <w:rFonts w:eastAsia="Times New Roman"/>
                <w:szCs w:val="24"/>
                <w:lang w:eastAsia="cs-CZ"/>
              </w:rPr>
              <w:t>4,73 %</w:t>
            </w:r>
          </w:p>
        </w:tc>
        <w:tc>
          <w:tcPr>
            <w:tcW w:w="1346" w:type="dxa"/>
            <w:tcBorders>
              <w:top w:val="nil"/>
              <w:left w:val="nil"/>
              <w:bottom w:val="single" w:sz="4" w:space="0" w:color="auto"/>
              <w:right w:val="nil"/>
            </w:tcBorders>
            <w:shd w:val="clear" w:color="auto" w:fill="auto"/>
            <w:noWrap/>
            <w:vAlign w:val="center"/>
            <w:hideMark/>
          </w:tcPr>
          <w:p w14:paraId="3D3F1623" w14:textId="2CB26081" w:rsidR="000C2981" w:rsidRPr="00730B1E" w:rsidRDefault="000C2981" w:rsidP="000C2981">
            <w:pPr>
              <w:spacing w:line="240" w:lineRule="auto"/>
              <w:jc w:val="center"/>
              <w:rPr>
                <w:rFonts w:eastAsia="Times New Roman"/>
                <w:sz w:val="20"/>
                <w:szCs w:val="20"/>
                <w:lang w:eastAsia="cs-CZ"/>
              </w:rPr>
            </w:pPr>
            <w:r w:rsidRPr="00730B1E">
              <w:rPr>
                <w:rFonts w:eastAsia="Times New Roman"/>
                <w:sz w:val="20"/>
                <w:szCs w:val="20"/>
                <w:lang w:eastAsia="cs-CZ"/>
              </w:rPr>
              <w:t>-0,6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r w:rsidRPr="00730B1E">
              <w:rPr>
                <w:rFonts w:eastAsia="Times New Roman"/>
                <w:sz w:val="20"/>
                <w:szCs w:val="20"/>
                <w:lang w:eastAsia="cs-CZ"/>
              </w:rPr>
              <w:t xml:space="preserve">  </w:t>
            </w:r>
          </w:p>
        </w:tc>
      </w:tr>
      <w:tr w:rsidR="00B64E96" w:rsidRPr="00730B1E" w14:paraId="6CB34C4B" w14:textId="77777777" w:rsidTr="000C2981">
        <w:trPr>
          <w:trHeight w:val="315"/>
        </w:trPr>
        <w:tc>
          <w:tcPr>
            <w:tcW w:w="2780" w:type="dxa"/>
            <w:tcBorders>
              <w:top w:val="nil"/>
              <w:left w:val="nil"/>
              <w:bottom w:val="single" w:sz="4" w:space="0" w:color="auto"/>
              <w:right w:val="nil"/>
            </w:tcBorders>
            <w:shd w:val="clear" w:color="auto" w:fill="auto"/>
            <w:noWrap/>
            <w:vAlign w:val="bottom"/>
            <w:hideMark/>
          </w:tcPr>
          <w:p w14:paraId="33BA9AE1" w14:textId="01E97935" w:rsidR="000C2981" w:rsidRPr="00730B1E" w:rsidRDefault="000C2981" w:rsidP="000C2981">
            <w:pPr>
              <w:spacing w:line="240" w:lineRule="auto"/>
              <w:jc w:val="left"/>
              <w:rPr>
                <w:rFonts w:eastAsia="Times New Roman"/>
                <w:szCs w:val="24"/>
                <w:lang w:eastAsia="cs-CZ"/>
              </w:rPr>
            </w:pPr>
            <w:r w:rsidRPr="00730B1E">
              <w:rPr>
                <w:rFonts w:eastAsia="Times New Roman"/>
                <w:szCs w:val="24"/>
                <w:lang w:eastAsia="cs-CZ"/>
              </w:rPr>
              <w:t>KS Ústí n</w:t>
            </w:r>
            <w:r w:rsidR="00512893" w:rsidRPr="00730B1E">
              <w:rPr>
                <w:rFonts w:eastAsia="Times New Roman"/>
                <w:szCs w:val="24"/>
                <w:lang w:eastAsia="cs-CZ"/>
              </w:rPr>
              <w:t>.</w:t>
            </w:r>
            <w:r w:rsidRPr="00730B1E">
              <w:rPr>
                <w:rFonts w:eastAsia="Times New Roman"/>
                <w:szCs w:val="24"/>
                <w:lang w:eastAsia="cs-CZ"/>
              </w:rPr>
              <w:t xml:space="preserve"> Labem</w:t>
            </w:r>
          </w:p>
        </w:tc>
        <w:tc>
          <w:tcPr>
            <w:tcW w:w="1494" w:type="dxa"/>
            <w:tcBorders>
              <w:top w:val="nil"/>
              <w:left w:val="nil"/>
              <w:bottom w:val="single" w:sz="4" w:space="0" w:color="auto"/>
              <w:right w:val="nil"/>
            </w:tcBorders>
            <w:shd w:val="clear" w:color="auto" w:fill="auto"/>
            <w:noWrap/>
            <w:vAlign w:val="bottom"/>
            <w:hideMark/>
          </w:tcPr>
          <w:p w14:paraId="18D4836E" w14:textId="1E264E2B" w:rsidR="000C2981" w:rsidRPr="00730B1E" w:rsidRDefault="000C2981" w:rsidP="000C2981">
            <w:pPr>
              <w:spacing w:line="240" w:lineRule="auto"/>
              <w:jc w:val="center"/>
              <w:rPr>
                <w:rFonts w:eastAsia="Times New Roman"/>
                <w:szCs w:val="24"/>
                <w:lang w:eastAsia="cs-CZ"/>
              </w:rPr>
            </w:pPr>
            <w:r w:rsidRPr="00730B1E">
              <w:rPr>
                <w:rFonts w:eastAsia="Times New Roman"/>
                <w:szCs w:val="24"/>
                <w:lang w:eastAsia="cs-CZ"/>
              </w:rPr>
              <w:t>4,03 %</w:t>
            </w:r>
          </w:p>
        </w:tc>
        <w:tc>
          <w:tcPr>
            <w:tcW w:w="1346" w:type="dxa"/>
            <w:tcBorders>
              <w:top w:val="nil"/>
              <w:left w:val="nil"/>
              <w:bottom w:val="single" w:sz="4" w:space="0" w:color="auto"/>
              <w:right w:val="nil"/>
            </w:tcBorders>
            <w:shd w:val="clear" w:color="auto" w:fill="auto"/>
            <w:noWrap/>
            <w:vAlign w:val="center"/>
            <w:hideMark/>
          </w:tcPr>
          <w:p w14:paraId="2BC2D6B3" w14:textId="42BEE92E" w:rsidR="000C2981" w:rsidRPr="00730B1E" w:rsidRDefault="000C2981" w:rsidP="000C2981">
            <w:pPr>
              <w:spacing w:line="240" w:lineRule="auto"/>
              <w:jc w:val="center"/>
              <w:rPr>
                <w:rFonts w:eastAsia="Times New Roman"/>
                <w:sz w:val="20"/>
                <w:szCs w:val="20"/>
                <w:lang w:eastAsia="cs-CZ"/>
              </w:rPr>
            </w:pPr>
            <w:r w:rsidRPr="00730B1E">
              <w:rPr>
                <w:rFonts w:eastAsia="Times New Roman"/>
                <w:sz w:val="20"/>
                <w:szCs w:val="20"/>
                <w:lang w:eastAsia="cs-CZ"/>
              </w:rPr>
              <w:t>-0,1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r w:rsidRPr="00730B1E">
              <w:rPr>
                <w:rFonts w:eastAsia="Times New Roman"/>
                <w:sz w:val="20"/>
                <w:szCs w:val="20"/>
                <w:lang w:eastAsia="cs-CZ"/>
              </w:rPr>
              <w:t xml:space="preserve">  </w:t>
            </w:r>
          </w:p>
        </w:tc>
      </w:tr>
      <w:tr w:rsidR="00B64E96" w:rsidRPr="00730B1E" w14:paraId="75C37551" w14:textId="77777777" w:rsidTr="000C2981">
        <w:trPr>
          <w:trHeight w:val="315"/>
        </w:trPr>
        <w:tc>
          <w:tcPr>
            <w:tcW w:w="2780" w:type="dxa"/>
            <w:tcBorders>
              <w:top w:val="nil"/>
              <w:left w:val="nil"/>
              <w:bottom w:val="single" w:sz="4" w:space="0" w:color="auto"/>
              <w:right w:val="nil"/>
            </w:tcBorders>
            <w:shd w:val="clear" w:color="auto" w:fill="auto"/>
            <w:noWrap/>
            <w:vAlign w:val="bottom"/>
            <w:hideMark/>
          </w:tcPr>
          <w:p w14:paraId="3582CD16" w14:textId="74DB8618" w:rsidR="000C2981" w:rsidRPr="00730B1E" w:rsidRDefault="000C2981" w:rsidP="000C2981">
            <w:pPr>
              <w:spacing w:line="240" w:lineRule="auto"/>
              <w:jc w:val="left"/>
              <w:rPr>
                <w:rFonts w:eastAsia="Times New Roman"/>
                <w:szCs w:val="24"/>
                <w:lang w:eastAsia="cs-CZ"/>
              </w:rPr>
            </w:pPr>
            <w:r w:rsidRPr="00730B1E">
              <w:rPr>
                <w:rFonts w:eastAsia="Times New Roman"/>
                <w:szCs w:val="24"/>
                <w:lang w:eastAsia="cs-CZ"/>
              </w:rPr>
              <w:t>KS Hr</w:t>
            </w:r>
            <w:r w:rsidR="00512893" w:rsidRPr="00730B1E">
              <w:rPr>
                <w:rFonts w:eastAsia="Times New Roman"/>
                <w:szCs w:val="24"/>
                <w:lang w:eastAsia="cs-CZ"/>
              </w:rPr>
              <w:t>.</w:t>
            </w:r>
            <w:r w:rsidRPr="00730B1E">
              <w:rPr>
                <w:rFonts w:eastAsia="Times New Roman"/>
                <w:szCs w:val="24"/>
                <w:lang w:eastAsia="cs-CZ"/>
              </w:rPr>
              <w:t xml:space="preserve"> Králové</w:t>
            </w:r>
          </w:p>
        </w:tc>
        <w:tc>
          <w:tcPr>
            <w:tcW w:w="1494" w:type="dxa"/>
            <w:tcBorders>
              <w:top w:val="nil"/>
              <w:left w:val="nil"/>
              <w:bottom w:val="single" w:sz="4" w:space="0" w:color="auto"/>
              <w:right w:val="nil"/>
            </w:tcBorders>
            <w:shd w:val="clear" w:color="auto" w:fill="auto"/>
            <w:noWrap/>
            <w:vAlign w:val="bottom"/>
            <w:hideMark/>
          </w:tcPr>
          <w:p w14:paraId="760297EF" w14:textId="258B1B5C" w:rsidR="000C2981" w:rsidRPr="00730B1E" w:rsidRDefault="000C2981" w:rsidP="000C2981">
            <w:pPr>
              <w:spacing w:line="240" w:lineRule="auto"/>
              <w:jc w:val="center"/>
              <w:rPr>
                <w:rFonts w:eastAsia="Times New Roman"/>
                <w:szCs w:val="24"/>
                <w:lang w:eastAsia="cs-CZ"/>
              </w:rPr>
            </w:pPr>
            <w:r w:rsidRPr="00730B1E">
              <w:rPr>
                <w:rFonts w:eastAsia="Times New Roman"/>
                <w:szCs w:val="24"/>
                <w:lang w:eastAsia="cs-CZ"/>
              </w:rPr>
              <w:t>6,42 %</w:t>
            </w:r>
          </w:p>
        </w:tc>
        <w:tc>
          <w:tcPr>
            <w:tcW w:w="1346" w:type="dxa"/>
            <w:tcBorders>
              <w:top w:val="nil"/>
              <w:left w:val="nil"/>
              <w:bottom w:val="single" w:sz="4" w:space="0" w:color="auto"/>
              <w:right w:val="nil"/>
            </w:tcBorders>
            <w:shd w:val="clear" w:color="auto" w:fill="auto"/>
            <w:noWrap/>
            <w:vAlign w:val="center"/>
            <w:hideMark/>
          </w:tcPr>
          <w:p w14:paraId="5C8BAEF3" w14:textId="2D53DF2D" w:rsidR="000C2981" w:rsidRPr="00730B1E" w:rsidRDefault="000C2981" w:rsidP="000C2981">
            <w:pPr>
              <w:spacing w:line="240" w:lineRule="auto"/>
              <w:jc w:val="center"/>
              <w:rPr>
                <w:rFonts w:eastAsia="Times New Roman"/>
                <w:sz w:val="20"/>
                <w:szCs w:val="20"/>
                <w:lang w:eastAsia="cs-CZ"/>
              </w:rPr>
            </w:pPr>
            <w:r w:rsidRPr="00730B1E">
              <w:rPr>
                <w:rFonts w:eastAsia="Times New Roman"/>
                <w:sz w:val="20"/>
                <w:szCs w:val="20"/>
                <w:lang w:eastAsia="cs-CZ"/>
              </w:rPr>
              <w:t>-0,1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r w:rsidRPr="00730B1E">
              <w:rPr>
                <w:rFonts w:eastAsia="Times New Roman"/>
                <w:sz w:val="20"/>
                <w:szCs w:val="20"/>
                <w:lang w:eastAsia="cs-CZ"/>
              </w:rPr>
              <w:t xml:space="preserve">  </w:t>
            </w:r>
          </w:p>
        </w:tc>
      </w:tr>
      <w:tr w:rsidR="00B64E96" w:rsidRPr="00730B1E" w14:paraId="42240F5B" w14:textId="77777777" w:rsidTr="000C2981">
        <w:trPr>
          <w:trHeight w:val="315"/>
        </w:trPr>
        <w:tc>
          <w:tcPr>
            <w:tcW w:w="2780" w:type="dxa"/>
            <w:tcBorders>
              <w:top w:val="nil"/>
              <w:left w:val="nil"/>
              <w:bottom w:val="single" w:sz="4" w:space="0" w:color="auto"/>
              <w:right w:val="nil"/>
            </w:tcBorders>
            <w:shd w:val="clear" w:color="auto" w:fill="auto"/>
            <w:noWrap/>
            <w:vAlign w:val="bottom"/>
            <w:hideMark/>
          </w:tcPr>
          <w:p w14:paraId="6678AAD8" w14:textId="77777777" w:rsidR="000C2981" w:rsidRPr="00730B1E" w:rsidRDefault="000C2981" w:rsidP="000C2981">
            <w:pPr>
              <w:spacing w:line="240" w:lineRule="auto"/>
              <w:jc w:val="left"/>
              <w:rPr>
                <w:rFonts w:eastAsia="Times New Roman"/>
                <w:szCs w:val="24"/>
                <w:lang w:eastAsia="cs-CZ"/>
              </w:rPr>
            </w:pPr>
            <w:r w:rsidRPr="00730B1E">
              <w:rPr>
                <w:rFonts w:eastAsia="Times New Roman"/>
                <w:szCs w:val="24"/>
                <w:lang w:eastAsia="cs-CZ"/>
              </w:rPr>
              <w:t>KS Brno</w:t>
            </w:r>
          </w:p>
        </w:tc>
        <w:tc>
          <w:tcPr>
            <w:tcW w:w="1494" w:type="dxa"/>
            <w:tcBorders>
              <w:top w:val="nil"/>
              <w:left w:val="nil"/>
              <w:bottom w:val="single" w:sz="4" w:space="0" w:color="auto"/>
              <w:right w:val="nil"/>
            </w:tcBorders>
            <w:shd w:val="clear" w:color="auto" w:fill="auto"/>
            <w:noWrap/>
            <w:vAlign w:val="bottom"/>
            <w:hideMark/>
          </w:tcPr>
          <w:p w14:paraId="3E3F1B94" w14:textId="18AFA6B0" w:rsidR="000C2981" w:rsidRPr="00730B1E" w:rsidRDefault="000C2981" w:rsidP="000C2981">
            <w:pPr>
              <w:spacing w:line="240" w:lineRule="auto"/>
              <w:jc w:val="center"/>
              <w:rPr>
                <w:rFonts w:eastAsia="Times New Roman"/>
                <w:szCs w:val="24"/>
                <w:lang w:eastAsia="cs-CZ"/>
              </w:rPr>
            </w:pPr>
            <w:r w:rsidRPr="00730B1E">
              <w:rPr>
                <w:rFonts w:eastAsia="Times New Roman"/>
                <w:szCs w:val="24"/>
                <w:lang w:eastAsia="cs-CZ"/>
              </w:rPr>
              <w:t>7,23 %</w:t>
            </w:r>
          </w:p>
        </w:tc>
        <w:tc>
          <w:tcPr>
            <w:tcW w:w="1346" w:type="dxa"/>
            <w:tcBorders>
              <w:top w:val="nil"/>
              <w:left w:val="nil"/>
              <w:bottom w:val="single" w:sz="4" w:space="0" w:color="auto"/>
              <w:right w:val="nil"/>
            </w:tcBorders>
            <w:shd w:val="clear" w:color="auto" w:fill="auto"/>
            <w:noWrap/>
            <w:vAlign w:val="center"/>
            <w:hideMark/>
          </w:tcPr>
          <w:p w14:paraId="1611C0F4" w14:textId="7BC478B7" w:rsidR="000C2981" w:rsidRPr="00730B1E" w:rsidRDefault="000C2981" w:rsidP="000C2981">
            <w:pPr>
              <w:spacing w:line="240" w:lineRule="auto"/>
              <w:jc w:val="center"/>
              <w:rPr>
                <w:rFonts w:eastAsia="Times New Roman"/>
                <w:sz w:val="20"/>
                <w:szCs w:val="20"/>
                <w:lang w:eastAsia="cs-CZ"/>
              </w:rPr>
            </w:pPr>
            <w:r w:rsidRPr="00730B1E">
              <w:rPr>
                <w:rFonts w:eastAsia="Times New Roman"/>
                <w:sz w:val="20"/>
                <w:szCs w:val="20"/>
                <w:lang w:eastAsia="cs-CZ"/>
              </w:rPr>
              <w:t>-0,4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r w:rsidRPr="00730B1E">
              <w:rPr>
                <w:rFonts w:eastAsia="Times New Roman"/>
                <w:sz w:val="20"/>
                <w:szCs w:val="20"/>
                <w:lang w:eastAsia="cs-CZ"/>
              </w:rPr>
              <w:t xml:space="preserve">  </w:t>
            </w:r>
          </w:p>
        </w:tc>
      </w:tr>
      <w:tr w:rsidR="00B64E96" w:rsidRPr="00730B1E" w14:paraId="6264CE69" w14:textId="77777777" w:rsidTr="000C2981">
        <w:trPr>
          <w:trHeight w:val="330"/>
        </w:trPr>
        <w:tc>
          <w:tcPr>
            <w:tcW w:w="2780" w:type="dxa"/>
            <w:tcBorders>
              <w:top w:val="nil"/>
              <w:left w:val="nil"/>
              <w:bottom w:val="double" w:sz="6" w:space="0" w:color="auto"/>
              <w:right w:val="nil"/>
            </w:tcBorders>
            <w:shd w:val="clear" w:color="auto" w:fill="auto"/>
            <w:noWrap/>
            <w:vAlign w:val="bottom"/>
            <w:hideMark/>
          </w:tcPr>
          <w:p w14:paraId="7C6DF12B" w14:textId="77777777" w:rsidR="000C2981" w:rsidRPr="00730B1E" w:rsidRDefault="000C2981" w:rsidP="000C2981">
            <w:pPr>
              <w:spacing w:line="240" w:lineRule="auto"/>
              <w:jc w:val="left"/>
              <w:rPr>
                <w:rFonts w:eastAsia="Times New Roman"/>
                <w:szCs w:val="24"/>
                <w:lang w:eastAsia="cs-CZ"/>
              </w:rPr>
            </w:pPr>
            <w:r w:rsidRPr="00730B1E">
              <w:rPr>
                <w:rFonts w:eastAsia="Times New Roman"/>
                <w:szCs w:val="24"/>
                <w:lang w:eastAsia="cs-CZ"/>
              </w:rPr>
              <w:t>KS Ostrava</w:t>
            </w:r>
          </w:p>
        </w:tc>
        <w:tc>
          <w:tcPr>
            <w:tcW w:w="1494" w:type="dxa"/>
            <w:tcBorders>
              <w:top w:val="nil"/>
              <w:left w:val="nil"/>
              <w:bottom w:val="double" w:sz="6" w:space="0" w:color="auto"/>
              <w:right w:val="nil"/>
            </w:tcBorders>
            <w:shd w:val="clear" w:color="auto" w:fill="auto"/>
            <w:noWrap/>
            <w:vAlign w:val="bottom"/>
            <w:hideMark/>
          </w:tcPr>
          <w:p w14:paraId="20C9FA08" w14:textId="52E55655" w:rsidR="000C2981" w:rsidRPr="00730B1E" w:rsidRDefault="000C2981" w:rsidP="000C2981">
            <w:pPr>
              <w:spacing w:line="240" w:lineRule="auto"/>
              <w:jc w:val="center"/>
              <w:rPr>
                <w:rFonts w:eastAsia="Times New Roman"/>
                <w:szCs w:val="24"/>
                <w:lang w:eastAsia="cs-CZ"/>
              </w:rPr>
            </w:pPr>
            <w:r w:rsidRPr="00730B1E">
              <w:rPr>
                <w:rFonts w:eastAsia="Times New Roman"/>
                <w:szCs w:val="24"/>
                <w:lang w:eastAsia="cs-CZ"/>
              </w:rPr>
              <w:t>4,49 %</w:t>
            </w:r>
          </w:p>
        </w:tc>
        <w:tc>
          <w:tcPr>
            <w:tcW w:w="1346" w:type="dxa"/>
            <w:tcBorders>
              <w:top w:val="nil"/>
              <w:left w:val="nil"/>
              <w:bottom w:val="double" w:sz="6" w:space="0" w:color="auto"/>
              <w:right w:val="nil"/>
            </w:tcBorders>
            <w:shd w:val="clear" w:color="auto" w:fill="auto"/>
            <w:noWrap/>
            <w:vAlign w:val="center"/>
            <w:hideMark/>
          </w:tcPr>
          <w:p w14:paraId="7F89BEAC" w14:textId="1E5CAAF1" w:rsidR="000C2981" w:rsidRPr="00730B1E" w:rsidRDefault="000C2981" w:rsidP="000C2981">
            <w:pPr>
              <w:spacing w:line="240" w:lineRule="auto"/>
              <w:jc w:val="center"/>
              <w:rPr>
                <w:rFonts w:eastAsia="Times New Roman"/>
                <w:sz w:val="20"/>
                <w:szCs w:val="20"/>
                <w:lang w:eastAsia="cs-CZ"/>
              </w:rPr>
            </w:pPr>
            <w:r w:rsidRPr="00730B1E">
              <w:rPr>
                <w:rFonts w:eastAsia="Times New Roman"/>
                <w:sz w:val="20"/>
                <w:szCs w:val="20"/>
                <w:lang w:eastAsia="cs-CZ"/>
              </w:rPr>
              <w:t>-0,1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r w:rsidRPr="00730B1E">
              <w:rPr>
                <w:rFonts w:eastAsia="Times New Roman"/>
                <w:sz w:val="20"/>
                <w:szCs w:val="20"/>
                <w:lang w:eastAsia="cs-CZ"/>
              </w:rPr>
              <w:t xml:space="preserve">  </w:t>
            </w:r>
          </w:p>
        </w:tc>
      </w:tr>
      <w:tr w:rsidR="00B64E96" w:rsidRPr="00730B1E" w14:paraId="10063448" w14:textId="77777777" w:rsidTr="000C2981">
        <w:trPr>
          <w:trHeight w:val="345"/>
        </w:trPr>
        <w:tc>
          <w:tcPr>
            <w:tcW w:w="2780" w:type="dxa"/>
            <w:tcBorders>
              <w:top w:val="nil"/>
              <w:left w:val="nil"/>
              <w:bottom w:val="double" w:sz="6" w:space="0" w:color="auto"/>
              <w:right w:val="nil"/>
            </w:tcBorders>
            <w:shd w:val="clear" w:color="auto" w:fill="auto"/>
            <w:noWrap/>
            <w:vAlign w:val="bottom"/>
            <w:hideMark/>
          </w:tcPr>
          <w:p w14:paraId="504F6AC9" w14:textId="77777777" w:rsidR="000C2981" w:rsidRPr="00730B1E" w:rsidRDefault="000C2981" w:rsidP="000C2981">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494" w:type="dxa"/>
            <w:tcBorders>
              <w:top w:val="nil"/>
              <w:left w:val="nil"/>
              <w:bottom w:val="double" w:sz="6" w:space="0" w:color="auto"/>
              <w:right w:val="nil"/>
            </w:tcBorders>
            <w:shd w:val="clear" w:color="auto" w:fill="auto"/>
            <w:noWrap/>
            <w:vAlign w:val="bottom"/>
            <w:hideMark/>
          </w:tcPr>
          <w:p w14:paraId="11C0764B" w14:textId="6A8706A9" w:rsidR="000C2981" w:rsidRPr="00730B1E" w:rsidRDefault="000C2981" w:rsidP="000C2981">
            <w:pPr>
              <w:spacing w:line="240" w:lineRule="auto"/>
              <w:jc w:val="center"/>
              <w:rPr>
                <w:rFonts w:eastAsia="Times New Roman"/>
                <w:b/>
                <w:bCs/>
                <w:szCs w:val="24"/>
                <w:lang w:eastAsia="cs-CZ"/>
              </w:rPr>
            </w:pPr>
            <w:r w:rsidRPr="00730B1E">
              <w:rPr>
                <w:rFonts w:eastAsia="Times New Roman"/>
                <w:b/>
                <w:bCs/>
                <w:szCs w:val="24"/>
                <w:lang w:eastAsia="cs-CZ"/>
              </w:rPr>
              <w:t>6,71 %</w:t>
            </w:r>
          </w:p>
        </w:tc>
        <w:tc>
          <w:tcPr>
            <w:tcW w:w="1346" w:type="dxa"/>
            <w:tcBorders>
              <w:top w:val="nil"/>
              <w:left w:val="nil"/>
              <w:bottom w:val="double" w:sz="6" w:space="0" w:color="auto"/>
              <w:right w:val="nil"/>
            </w:tcBorders>
            <w:shd w:val="clear" w:color="auto" w:fill="auto"/>
            <w:noWrap/>
            <w:vAlign w:val="center"/>
            <w:hideMark/>
          </w:tcPr>
          <w:p w14:paraId="1F86C37C" w14:textId="6391A5E6" w:rsidR="000C2981" w:rsidRPr="00730B1E" w:rsidRDefault="000C2981" w:rsidP="000C2981">
            <w:pPr>
              <w:spacing w:line="240" w:lineRule="auto"/>
              <w:jc w:val="center"/>
              <w:rPr>
                <w:rFonts w:eastAsia="Times New Roman"/>
                <w:b/>
                <w:bCs/>
                <w:sz w:val="20"/>
                <w:szCs w:val="20"/>
                <w:lang w:eastAsia="cs-CZ"/>
              </w:rPr>
            </w:pPr>
            <w:r w:rsidRPr="00730B1E">
              <w:rPr>
                <w:rFonts w:eastAsia="Times New Roman"/>
                <w:b/>
                <w:bCs/>
                <w:sz w:val="20"/>
                <w:szCs w:val="20"/>
                <w:lang w:eastAsia="cs-CZ"/>
              </w:rPr>
              <w:t>-0,3 p</w:t>
            </w:r>
            <w:r w:rsidR="00525C94" w:rsidRPr="00730B1E">
              <w:rPr>
                <w:rFonts w:eastAsia="Times New Roman"/>
                <w:b/>
                <w:bCs/>
                <w:sz w:val="20"/>
                <w:szCs w:val="20"/>
                <w:lang w:eastAsia="cs-CZ"/>
              </w:rPr>
              <w:t>.</w:t>
            </w:r>
            <w:r w:rsidRPr="00730B1E">
              <w:rPr>
                <w:rFonts w:eastAsia="Times New Roman"/>
                <w:b/>
                <w:bCs/>
                <w:sz w:val="20"/>
                <w:szCs w:val="20"/>
                <w:lang w:eastAsia="cs-CZ"/>
              </w:rPr>
              <w:t>b</w:t>
            </w:r>
            <w:r w:rsidR="00525C94" w:rsidRPr="00730B1E">
              <w:rPr>
                <w:rFonts w:eastAsia="Times New Roman"/>
                <w:b/>
                <w:bCs/>
                <w:sz w:val="20"/>
                <w:szCs w:val="20"/>
                <w:lang w:eastAsia="cs-CZ"/>
              </w:rPr>
              <w:t>.</w:t>
            </w:r>
            <w:r w:rsidRPr="00730B1E">
              <w:rPr>
                <w:rFonts w:eastAsia="Times New Roman"/>
                <w:b/>
                <w:bCs/>
                <w:sz w:val="20"/>
                <w:szCs w:val="20"/>
                <w:lang w:eastAsia="cs-CZ"/>
              </w:rPr>
              <w:t xml:space="preserve">  </w:t>
            </w:r>
          </w:p>
        </w:tc>
      </w:tr>
      <w:tr w:rsidR="00B64E96" w:rsidRPr="00730B1E" w14:paraId="1BCBFE50" w14:textId="77777777" w:rsidTr="000C2981">
        <w:trPr>
          <w:trHeight w:val="330"/>
        </w:trPr>
        <w:tc>
          <w:tcPr>
            <w:tcW w:w="2780" w:type="dxa"/>
            <w:tcBorders>
              <w:top w:val="nil"/>
              <w:left w:val="nil"/>
              <w:bottom w:val="nil"/>
              <w:right w:val="nil"/>
            </w:tcBorders>
            <w:shd w:val="clear" w:color="auto" w:fill="auto"/>
            <w:noWrap/>
            <w:vAlign w:val="bottom"/>
            <w:hideMark/>
          </w:tcPr>
          <w:p w14:paraId="59106587" w14:textId="77777777" w:rsidR="000C2981" w:rsidRPr="00730B1E" w:rsidRDefault="000C2981" w:rsidP="000C2981">
            <w:pPr>
              <w:spacing w:line="240" w:lineRule="auto"/>
              <w:jc w:val="center"/>
              <w:rPr>
                <w:rFonts w:eastAsia="Times New Roman"/>
                <w:b/>
                <w:bCs/>
                <w:sz w:val="20"/>
                <w:szCs w:val="20"/>
                <w:lang w:eastAsia="cs-CZ"/>
              </w:rPr>
            </w:pPr>
          </w:p>
        </w:tc>
        <w:tc>
          <w:tcPr>
            <w:tcW w:w="1494" w:type="dxa"/>
            <w:tcBorders>
              <w:top w:val="nil"/>
              <w:left w:val="nil"/>
              <w:bottom w:val="nil"/>
              <w:right w:val="nil"/>
            </w:tcBorders>
            <w:shd w:val="clear" w:color="auto" w:fill="auto"/>
            <w:noWrap/>
            <w:vAlign w:val="bottom"/>
            <w:hideMark/>
          </w:tcPr>
          <w:p w14:paraId="6513CECC" w14:textId="77777777" w:rsidR="000C2981" w:rsidRPr="00DF07F3" w:rsidRDefault="000C2981" w:rsidP="000C2981">
            <w:pPr>
              <w:spacing w:line="240" w:lineRule="auto"/>
              <w:jc w:val="left"/>
              <w:rPr>
                <w:sz w:val="20"/>
              </w:rPr>
            </w:pPr>
          </w:p>
        </w:tc>
        <w:tc>
          <w:tcPr>
            <w:tcW w:w="1346" w:type="dxa"/>
            <w:tcBorders>
              <w:top w:val="nil"/>
              <w:left w:val="nil"/>
              <w:bottom w:val="nil"/>
              <w:right w:val="nil"/>
            </w:tcBorders>
            <w:shd w:val="clear" w:color="auto" w:fill="auto"/>
            <w:noWrap/>
            <w:vAlign w:val="bottom"/>
            <w:hideMark/>
          </w:tcPr>
          <w:p w14:paraId="43F15162" w14:textId="77777777" w:rsidR="000C2981" w:rsidRPr="00DF07F3" w:rsidRDefault="000C2981" w:rsidP="000C2981">
            <w:pPr>
              <w:spacing w:line="240" w:lineRule="auto"/>
              <w:jc w:val="left"/>
              <w:rPr>
                <w:sz w:val="20"/>
              </w:rPr>
            </w:pPr>
          </w:p>
        </w:tc>
      </w:tr>
    </w:tbl>
    <w:p w14:paraId="09D60C24" w14:textId="6C03B3C3" w:rsidR="00DA258D" w:rsidRPr="00730B1E" w:rsidRDefault="00DA258D" w:rsidP="00DA258D">
      <w:pPr>
        <w:pStyle w:val="OdstavecASR"/>
      </w:pPr>
      <w:r w:rsidRPr="00730B1E">
        <w:t>Míra odvolání byla v roce 202</w:t>
      </w:r>
      <w:r w:rsidR="00F52D5D" w:rsidRPr="00730B1E">
        <w:t>3 zdaleka</w:t>
      </w:r>
      <w:r w:rsidRPr="00730B1E">
        <w:t xml:space="preserve"> nejvyšší </w:t>
      </w:r>
      <w:r w:rsidR="00F52D5D" w:rsidRPr="00730B1E">
        <w:t>v Praze</w:t>
      </w:r>
      <w:r w:rsidRPr="00730B1E">
        <w:t xml:space="preserve"> a nejnižší v Severočeském kraji</w:t>
      </w:r>
      <w:r w:rsidR="00F52D5D" w:rsidRPr="00730B1E">
        <w:t>, což je podobné přechozím rokům.</w:t>
      </w:r>
      <w:r w:rsidRPr="00730B1E">
        <w:t xml:space="preserve"> Z dat na úrovni okresů lze dále vyčíst, že míra odvolání není stabilní, nicméně celorepublikově osciluje kolem 8 %. Zde je třeba upozornit, že změny jsou v tabulce uvedeny v procentních bodech. Z jednotlivých okresních soudů byla v roce </w:t>
      </w:r>
      <w:r w:rsidR="002D5FB5" w:rsidRPr="00730B1E">
        <w:t xml:space="preserve">2023 </w:t>
      </w:r>
      <w:r w:rsidRPr="00730B1E">
        <w:t>nejvyšší míra odvolání u OS Praha 2 (3</w:t>
      </w:r>
      <w:r w:rsidR="008F69ED" w:rsidRPr="00730B1E">
        <w:t>6</w:t>
      </w:r>
      <w:r w:rsidRPr="00730B1E">
        <w:t>,</w:t>
      </w:r>
      <w:r w:rsidR="008F69ED" w:rsidRPr="00730B1E">
        <w:t>0</w:t>
      </w:r>
      <w:r w:rsidRPr="00730B1E">
        <w:t xml:space="preserve">0 %), </w:t>
      </w:r>
      <w:r w:rsidR="008F69ED" w:rsidRPr="00730B1E">
        <w:t>OS Praha 1</w:t>
      </w:r>
      <w:r w:rsidRPr="00730B1E">
        <w:t xml:space="preserve"> (</w:t>
      </w:r>
      <w:r w:rsidR="008F69ED" w:rsidRPr="00730B1E">
        <w:t>13</w:t>
      </w:r>
      <w:r w:rsidRPr="00730B1E">
        <w:t>,</w:t>
      </w:r>
      <w:r w:rsidR="008F69ED" w:rsidRPr="00730B1E">
        <w:t>40</w:t>
      </w:r>
      <w:r w:rsidRPr="00730B1E">
        <w:t> %) a OS Praha 8 (13,</w:t>
      </w:r>
      <w:r w:rsidR="008F69ED" w:rsidRPr="00730B1E">
        <w:t>31</w:t>
      </w:r>
      <w:r w:rsidRPr="00730B1E">
        <w:t xml:space="preserve"> %). Obzvlášť vysoká </w:t>
      </w:r>
      <w:r w:rsidRPr="00730B1E">
        <w:lastRenderedPageBreak/>
        <w:t>míra odvolání u OS Praha 2 má své odůvodnění. Tento soud je totiž specializovaný a velkou část jeho agendy tvoří spory týkající se odpovědnosti státu a územních samosprávných celků za škodu způsobenou při výkonu veřejné moci podle zákona č. 82/1998 Sb., o odpovědnosti za škodu způsobenou při výkonu veřejné moci, například spory o náhradu škody způsobené nesprávným úředním postupem nebo nepřiměřenou délku soudního řízení. Míra odvolání je v těchto sporech velmi vysoká – přibližně 6</w:t>
      </w:r>
      <w:r w:rsidR="008F69ED" w:rsidRPr="00730B1E">
        <w:t>4</w:t>
      </w:r>
      <w:r w:rsidRPr="00730B1E">
        <w:t> % v roce 202</w:t>
      </w:r>
      <w:r w:rsidR="008F69ED" w:rsidRPr="00730B1E">
        <w:t>3</w:t>
      </w:r>
      <w:r w:rsidRPr="00730B1E">
        <w:t xml:space="preserve">. </w:t>
      </w:r>
      <w:bookmarkStart w:id="254" w:name="_Hlk67043216"/>
      <w:r w:rsidRPr="00730B1E">
        <w:t xml:space="preserve">Nejnižší je míra odvolání u OS Beroun (1,37 %), OS </w:t>
      </w:r>
      <w:r w:rsidR="008F69ED" w:rsidRPr="00730B1E">
        <w:t>Jičín</w:t>
      </w:r>
      <w:r w:rsidRPr="00730B1E">
        <w:t xml:space="preserve"> (2,</w:t>
      </w:r>
      <w:r w:rsidR="008F69ED" w:rsidRPr="00730B1E">
        <w:t>08</w:t>
      </w:r>
      <w:r w:rsidRPr="00730B1E">
        <w:t> %) a OS Teplice (2,3</w:t>
      </w:r>
      <w:r w:rsidR="008F69ED" w:rsidRPr="00730B1E">
        <w:t>8</w:t>
      </w:r>
      <w:r w:rsidRPr="00730B1E">
        <w:t> %)</w:t>
      </w:r>
      <w:bookmarkEnd w:id="254"/>
      <w:r w:rsidRPr="00730B1E">
        <w:t>.</w:t>
      </w:r>
    </w:p>
    <w:p w14:paraId="568D5722" w14:textId="5DF0C343" w:rsidR="000C2981" w:rsidRPr="00730B1E" w:rsidRDefault="000C2981" w:rsidP="000C2981">
      <w:pPr>
        <w:pStyle w:val="Podnadpis"/>
        <w:rPr>
          <w:color w:val="auto"/>
        </w:rPr>
      </w:pPr>
      <w:bookmarkStart w:id="255" w:name="_Toc43841395"/>
      <w:bookmarkStart w:id="256" w:name="_Toc75952196"/>
      <w:bookmarkStart w:id="257" w:name="_Toc106106649"/>
      <w:bookmarkStart w:id="258" w:name="_Toc144104127"/>
      <w:bookmarkStart w:id="259" w:name="_Toc169250935"/>
      <w:bookmarkStart w:id="260" w:name="_Toc17408062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16</w:t>
      </w:r>
      <w:r w:rsidRPr="00730B1E">
        <w:rPr>
          <w:color w:val="auto"/>
        </w:rPr>
        <w:fldChar w:fldCharType="end"/>
      </w:r>
      <w:r w:rsidRPr="00730B1E">
        <w:rPr>
          <w:color w:val="auto"/>
        </w:rPr>
        <w:t>: OS – míra odvolání u jednotlivých soudů v civilním řízení</w:t>
      </w:r>
      <w:bookmarkEnd w:id="255"/>
      <w:bookmarkEnd w:id="256"/>
      <w:bookmarkEnd w:id="257"/>
      <w:bookmarkEnd w:id="258"/>
      <w:r w:rsidR="00955E6B" w:rsidRPr="00730B1E">
        <w:rPr>
          <w:color w:val="auto"/>
        </w:rPr>
        <w:t>, 2023</w:t>
      </w:r>
      <w:bookmarkEnd w:id="259"/>
      <w:bookmarkEnd w:id="260"/>
    </w:p>
    <w:p w14:paraId="16277306" w14:textId="21779312" w:rsidR="00871EDD" w:rsidRPr="00730B1E" w:rsidRDefault="00414A68" w:rsidP="00525C94">
      <w:r w:rsidRPr="00730B1E">
        <w:rPr>
          <w:b/>
          <w:bCs/>
          <w:noProof/>
          <w:lang w:eastAsia="cs-CZ"/>
        </w:rPr>
        <w:drawing>
          <wp:anchor distT="0" distB="0" distL="114300" distR="114300" simplePos="0" relativeHeight="251666432" behindDoc="0" locked="0" layoutInCell="1" allowOverlap="1" wp14:anchorId="3D76F3FC" wp14:editId="30F1EB3B">
            <wp:simplePos x="0" y="0"/>
            <wp:positionH relativeFrom="margin">
              <wp:posOffset>4496435</wp:posOffset>
            </wp:positionH>
            <wp:positionV relativeFrom="paragraph">
              <wp:posOffset>5715</wp:posOffset>
            </wp:positionV>
            <wp:extent cx="1257300" cy="914400"/>
            <wp:effectExtent l="0" t="0" r="0" b="0"/>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73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58D" w:rsidRPr="00730B1E">
        <w:rPr>
          <w:b/>
          <w:bCs/>
          <w:noProof/>
          <w:lang w:eastAsia="cs-CZ"/>
        </w:rPr>
        <w:drawing>
          <wp:inline distT="0" distB="0" distL="0" distR="0" wp14:anchorId="29DB21D6" wp14:editId="7952B188">
            <wp:extent cx="5760720" cy="329692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3402B295" w14:textId="3D791218" w:rsidR="00620C6E" w:rsidRPr="00730B1E" w:rsidRDefault="00B9479B" w:rsidP="00B9479B">
      <w:pPr>
        <w:pStyle w:val="OdstavecASR"/>
        <w:keepNext/>
        <w:outlineLvl w:val="3"/>
        <w:rPr>
          <w:b/>
          <w:bCs/>
        </w:rPr>
      </w:pPr>
      <w:bookmarkStart w:id="261" w:name="_Toc515871445"/>
      <w:bookmarkStart w:id="262" w:name="_Toc11133214"/>
      <w:r w:rsidRPr="00730B1E">
        <w:rPr>
          <w:b/>
          <w:bCs/>
        </w:rPr>
        <w:t>Míra změny rozsudku</w:t>
      </w:r>
    </w:p>
    <w:p w14:paraId="09E57BB8" w14:textId="77777777" w:rsidR="00DA258D" w:rsidRPr="00730B1E" w:rsidRDefault="00DA258D" w:rsidP="00DA258D">
      <w:pPr>
        <w:pStyle w:val="OdstavecASR"/>
      </w:pPr>
      <w:r w:rsidRPr="00730B1E">
        <w:t>Dalším sledovaným ukazatelem je míra změny rozsudku. Jedná se o podíl věcí v procentech, ve kterých odvolací soud na podkladě odvolání změnil rozhodnutí soudu I. stupně. Jako změna rozsudku jsou započítány věci, v nichž bylo odvolání vyhověno, ale i případy, kdy bylo rozhodnutí soudu I. stupně odvolacím soudem zrušeno a vráceno soudu I. stupně.</w:t>
      </w:r>
    </w:p>
    <w:p w14:paraId="43C7F1A6" w14:textId="3CEBA038" w:rsidR="00DA258D" w:rsidRPr="00730B1E" w:rsidRDefault="00DA258D" w:rsidP="00DA258D">
      <w:pPr>
        <w:pStyle w:val="Podnadpis"/>
        <w:rPr>
          <w:color w:val="auto"/>
        </w:rPr>
      </w:pPr>
      <w:bookmarkStart w:id="263" w:name="_Toc43931187"/>
      <w:bookmarkStart w:id="264" w:name="_Toc75952318"/>
      <w:bookmarkStart w:id="265" w:name="_Toc106106777"/>
      <w:bookmarkStart w:id="266" w:name="_Toc144104254"/>
      <w:bookmarkStart w:id="267" w:name="_Toc169251070"/>
      <w:bookmarkStart w:id="268" w:name="_Toc174080756"/>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13</w:t>
      </w:r>
      <w:r w:rsidRPr="00730B1E">
        <w:rPr>
          <w:noProof/>
          <w:color w:val="auto"/>
        </w:rPr>
        <w:fldChar w:fldCharType="end"/>
      </w:r>
      <w:r w:rsidRPr="00730B1E">
        <w:rPr>
          <w:color w:val="auto"/>
        </w:rPr>
        <w:t>: OS – míra změny rozsudku dle krajů v civilním řízení</w:t>
      </w:r>
      <w:bookmarkEnd w:id="263"/>
      <w:bookmarkEnd w:id="264"/>
      <w:bookmarkEnd w:id="265"/>
      <w:bookmarkEnd w:id="266"/>
      <w:bookmarkEnd w:id="267"/>
      <w:bookmarkEnd w:id="268"/>
    </w:p>
    <w:tbl>
      <w:tblPr>
        <w:tblW w:w="5920" w:type="dxa"/>
        <w:tblCellMar>
          <w:left w:w="70" w:type="dxa"/>
          <w:right w:w="70" w:type="dxa"/>
        </w:tblCellMar>
        <w:tblLook w:val="04A0" w:firstRow="1" w:lastRow="0" w:firstColumn="1" w:lastColumn="0" w:noHBand="0" w:noVBand="1"/>
      </w:tblPr>
      <w:tblGrid>
        <w:gridCol w:w="2480"/>
        <w:gridCol w:w="1794"/>
        <w:gridCol w:w="1646"/>
      </w:tblGrid>
      <w:tr w:rsidR="00B64E96" w:rsidRPr="00730B1E" w14:paraId="16F8EA7D" w14:textId="77777777" w:rsidTr="00DA258D">
        <w:trPr>
          <w:trHeight w:val="345"/>
        </w:trPr>
        <w:tc>
          <w:tcPr>
            <w:tcW w:w="2480" w:type="dxa"/>
            <w:tcBorders>
              <w:top w:val="double" w:sz="6" w:space="0" w:color="auto"/>
              <w:left w:val="nil"/>
              <w:bottom w:val="double" w:sz="6" w:space="0" w:color="auto"/>
              <w:right w:val="nil"/>
            </w:tcBorders>
            <w:shd w:val="clear" w:color="auto" w:fill="auto"/>
            <w:noWrap/>
            <w:vAlign w:val="center"/>
            <w:hideMark/>
          </w:tcPr>
          <w:p w14:paraId="2699A398" w14:textId="77777777" w:rsidR="00DA258D" w:rsidRPr="00730B1E" w:rsidRDefault="00DA258D" w:rsidP="00DA258D">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3440" w:type="dxa"/>
            <w:gridSpan w:val="2"/>
            <w:tcBorders>
              <w:top w:val="double" w:sz="6" w:space="0" w:color="auto"/>
              <w:left w:val="nil"/>
              <w:bottom w:val="double" w:sz="6" w:space="0" w:color="auto"/>
              <w:right w:val="nil"/>
            </w:tcBorders>
            <w:shd w:val="clear" w:color="auto" w:fill="auto"/>
            <w:noWrap/>
            <w:vAlign w:val="center"/>
            <w:hideMark/>
          </w:tcPr>
          <w:p w14:paraId="6F25C4B9" w14:textId="77777777" w:rsidR="00DA258D" w:rsidRPr="00730B1E" w:rsidRDefault="00DA258D" w:rsidP="00DA258D">
            <w:pPr>
              <w:spacing w:line="240" w:lineRule="auto"/>
              <w:jc w:val="center"/>
              <w:rPr>
                <w:rFonts w:eastAsia="Times New Roman"/>
                <w:b/>
                <w:bCs/>
                <w:szCs w:val="24"/>
                <w:lang w:eastAsia="cs-CZ"/>
              </w:rPr>
            </w:pPr>
            <w:r w:rsidRPr="00730B1E">
              <w:rPr>
                <w:rFonts w:eastAsia="Times New Roman"/>
                <w:b/>
                <w:bCs/>
                <w:szCs w:val="24"/>
                <w:lang w:eastAsia="cs-CZ"/>
              </w:rPr>
              <w:t>Míra změny rozsudku</w:t>
            </w:r>
          </w:p>
        </w:tc>
      </w:tr>
      <w:tr w:rsidR="00B64E96" w:rsidRPr="00730B1E" w14:paraId="40329108" w14:textId="77777777" w:rsidTr="00DA258D">
        <w:trPr>
          <w:trHeight w:val="330"/>
        </w:trPr>
        <w:tc>
          <w:tcPr>
            <w:tcW w:w="2480" w:type="dxa"/>
            <w:tcBorders>
              <w:top w:val="nil"/>
              <w:left w:val="nil"/>
              <w:bottom w:val="single" w:sz="4" w:space="0" w:color="auto"/>
              <w:right w:val="nil"/>
            </w:tcBorders>
            <w:shd w:val="clear" w:color="auto" w:fill="auto"/>
            <w:noWrap/>
            <w:vAlign w:val="bottom"/>
            <w:hideMark/>
          </w:tcPr>
          <w:p w14:paraId="66488BDC" w14:textId="77777777" w:rsidR="00DA258D" w:rsidRPr="00730B1E" w:rsidRDefault="00DA258D" w:rsidP="00DA258D">
            <w:pPr>
              <w:spacing w:line="240" w:lineRule="auto"/>
              <w:jc w:val="left"/>
              <w:rPr>
                <w:rFonts w:eastAsia="Times New Roman"/>
                <w:szCs w:val="24"/>
                <w:lang w:eastAsia="cs-CZ"/>
              </w:rPr>
            </w:pPr>
            <w:r w:rsidRPr="00730B1E">
              <w:rPr>
                <w:rFonts w:eastAsia="Times New Roman"/>
                <w:szCs w:val="24"/>
                <w:lang w:eastAsia="cs-CZ"/>
              </w:rPr>
              <w:t>MS Praha</w:t>
            </w:r>
          </w:p>
        </w:tc>
        <w:tc>
          <w:tcPr>
            <w:tcW w:w="1794" w:type="dxa"/>
            <w:tcBorders>
              <w:top w:val="nil"/>
              <w:left w:val="nil"/>
              <w:bottom w:val="single" w:sz="4" w:space="0" w:color="auto"/>
              <w:right w:val="nil"/>
            </w:tcBorders>
            <w:shd w:val="clear" w:color="auto" w:fill="auto"/>
            <w:noWrap/>
            <w:vAlign w:val="bottom"/>
            <w:hideMark/>
          </w:tcPr>
          <w:p w14:paraId="082A5795" w14:textId="21099407" w:rsidR="00DA258D" w:rsidRPr="00730B1E" w:rsidRDefault="00DA258D" w:rsidP="00DA258D">
            <w:pPr>
              <w:spacing w:line="240" w:lineRule="auto"/>
              <w:jc w:val="center"/>
              <w:rPr>
                <w:rFonts w:eastAsia="Times New Roman"/>
                <w:szCs w:val="24"/>
                <w:lang w:eastAsia="cs-CZ"/>
              </w:rPr>
            </w:pPr>
            <w:r w:rsidRPr="00730B1E">
              <w:rPr>
                <w:rFonts w:eastAsia="Times New Roman"/>
                <w:szCs w:val="24"/>
                <w:lang w:eastAsia="cs-CZ"/>
              </w:rPr>
              <w:t>39</w:t>
            </w:r>
            <w:r w:rsidR="005B4106" w:rsidRPr="00730B1E">
              <w:rPr>
                <w:rFonts w:eastAsia="Times New Roman"/>
                <w:szCs w:val="24"/>
                <w:lang w:eastAsia="cs-CZ"/>
              </w:rPr>
              <w:t>,</w:t>
            </w:r>
            <w:r w:rsidRPr="00730B1E">
              <w:rPr>
                <w:rFonts w:eastAsia="Times New Roman"/>
                <w:szCs w:val="24"/>
                <w:lang w:eastAsia="cs-CZ"/>
              </w:rPr>
              <w:t>00 %</w:t>
            </w:r>
          </w:p>
        </w:tc>
        <w:tc>
          <w:tcPr>
            <w:tcW w:w="1646" w:type="dxa"/>
            <w:tcBorders>
              <w:top w:val="single" w:sz="4" w:space="0" w:color="auto"/>
              <w:left w:val="nil"/>
              <w:bottom w:val="single" w:sz="4" w:space="0" w:color="auto"/>
              <w:right w:val="nil"/>
            </w:tcBorders>
            <w:shd w:val="clear" w:color="auto" w:fill="auto"/>
            <w:noWrap/>
            <w:vAlign w:val="center"/>
            <w:hideMark/>
          </w:tcPr>
          <w:p w14:paraId="5B6EAEBE" w14:textId="57DDC68E" w:rsidR="00DA258D" w:rsidRPr="00730B1E" w:rsidRDefault="00DA258D" w:rsidP="00F52D5D">
            <w:pPr>
              <w:spacing w:line="240" w:lineRule="auto"/>
              <w:jc w:val="center"/>
              <w:rPr>
                <w:rFonts w:eastAsia="Times New Roman"/>
                <w:sz w:val="20"/>
                <w:szCs w:val="20"/>
                <w:lang w:eastAsia="cs-CZ"/>
              </w:rPr>
            </w:pPr>
            <w:r w:rsidRPr="00730B1E">
              <w:rPr>
                <w:rFonts w:eastAsia="Times New Roman"/>
                <w:sz w:val="20"/>
                <w:szCs w:val="20"/>
                <w:lang w:eastAsia="cs-CZ"/>
              </w:rPr>
              <w:t>-0</w:t>
            </w:r>
            <w:r w:rsidR="005B4106" w:rsidRPr="00730B1E">
              <w:rPr>
                <w:rFonts w:eastAsia="Times New Roman"/>
                <w:sz w:val="20"/>
                <w:szCs w:val="20"/>
                <w:lang w:eastAsia="cs-CZ"/>
              </w:rPr>
              <w:t>,</w:t>
            </w:r>
            <w:r w:rsidRPr="00730B1E">
              <w:rPr>
                <w:rFonts w:eastAsia="Times New Roman"/>
                <w:sz w:val="20"/>
                <w:szCs w:val="20"/>
                <w:lang w:eastAsia="cs-CZ"/>
              </w:rPr>
              <w:t>4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p>
        </w:tc>
      </w:tr>
      <w:tr w:rsidR="00B64E96" w:rsidRPr="00730B1E" w14:paraId="73486928" w14:textId="77777777" w:rsidTr="00DA258D">
        <w:trPr>
          <w:trHeight w:val="315"/>
        </w:trPr>
        <w:tc>
          <w:tcPr>
            <w:tcW w:w="2480" w:type="dxa"/>
            <w:tcBorders>
              <w:top w:val="nil"/>
              <w:left w:val="nil"/>
              <w:bottom w:val="single" w:sz="4" w:space="0" w:color="auto"/>
              <w:right w:val="nil"/>
            </w:tcBorders>
            <w:shd w:val="clear" w:color="auto" w:fill="auto"/>
            <w:noWrap/>
            <w:vAlign w:val="bottom"/>
            <w:hideMark/>
          </w:tcPr>
          <w:p w14:paraId="6EF2A9DC" w14:textId="77777777" w:rsidR="00DA258D" w:rsidRPr="00730B1E" w:rsidRDefault="00DA258D" w:rsidP="00DA258D">
            <w:pPr>
              <w:spacing w:line="240" w:lineRule="auto"/>
              <w:jc w:val="left"/>
              <w:rPr>
                <w:rFonts w:eastAsia="Times New Roman"/>
                <w:szCs w:val="24"/>
                <w:lang w:eastAsia="cs-CZ"/>
              </w:rPr>
            </w:pPr>
            <w:r w:rsidRPr="00730B1E">
              <w:rPr>
                <w:rFonts w:eastAsia="Times New Roman"/>
                <w:szCs w:val="24"/>
                <w:lang w:eastAsia="cs-CZ"/>
              </w:rPr>
              <w:t>KS Praha</w:t>
            </w:r>
          </w:p>
        </w:tc>
        <w:tc>
          <w:tcPr>
            <w:tcW w:w="1794" w:type="dxa"/>
            <w:tcBorders>
              <w:top w:val="nil"/>
              <w:left w:val="nil"/>
              <w:bottom w:val="single" w:sz="4" w:space="0" w:color="auto"/>
              <w:right w:val="nil"/>
            </w:tcBorders>
            <w:shd w:val="clear" w:color="auto" w:fill="auto"/>
            <w:noWrap/>
            <w:vAlign w:val="bottom"/>
            <w:hideMark/>
          </w:tcPr>
          <w:p w14:paraId="6E6B4179" w14:textId="67E75B94" w:rsidR="00DA258D" w:rsidRPr="00730B1E" w:rsidRDefault="00DA258D" w:rsidP="00DA258D">
            <w:pPr>
              <w:spacing w:line="240" w:lineRule="auto"/>
              <w:jc w:val="center"/>
              <w:rPr>
                <w:rFonts w:eastAsia="Times New Roman"/>
                <w:szCs w:val="24"/>
                <w:lang w:eastAsia="cs-CZ"/>
              </w:rPr>
            </w:pPr>
            <w:r w:rsidRPr="00730B1E">
              <w:rPr>
                <w:rFonts w:eastAsia="Times New Roman"/>
                <w:szCs w:val="24"/>
                <w:lang w:eastAsia="cs-CZ"/>
              </w:rPr>
              <w:t>46</w:t>
            </w:r>
            <w:r w:rsidR="005B4106" w:rsidRPr="00730B1E">
              <w:rPr>
                <w:rFonts w:eastAsia="Times New Roman"/>
                <w:szCs w:val="24"/>
                <w:lang w:eastAsia="cs-CZ"/>
              </w:rPr>
              <w:t>,</w:t>
            </w:r>
            <w:r w:rsidRPr="00730B1E">
              <w:rPr>
                <w:rFonts w:eastAsia="Times New Roman"/>
                <w:szCs w:val="24"/>
                <w:lang w:eastAsia="cs-CZ"/>
              </w:rPr>
              <w:t>34 %</w:t>
            </w:r>
          </w:p>
        </w:tc>
        <w:tc>
          <w:tcPr>
            <w:tcW w:w="1646" w:type="dxa"/>
            <w:tcBorders>
              <w:top w:val="nil"/>
              <w:left w:val="nil"/>
              <w:bottom w:val="single" w:sz="4" w:space="0" w:color="auto"/>
              <w:right w:val="nil"/>
            </w:tcBorders>
            <w:shd w:val="clear" w:color="auto" w:fill="auto"/>
            <w:noWrap/>
            <w:vAlign w:val="center"/>
            <w:hideMark/>
          </w:tcPr>
          <w:p w14:paraId="23BBB62C" w14:textId="2BC70FC4" w:rsidR="00DA258D" w:rsidRPr="00730B1E" w:rsidRDefault="00DA258D" w:rsidP="00F52D5D">
            <w:pPr>
              <w:spacing w:line="240" w:lineRule="auto"/>
              <w:jc w:val="center"/>
              <w:rPr>
                <w:rFonts w:eastAsia="Times New Roman"/>
                <w:sz w:val="20"/>
                <w:szCs w:val="20"/>
                <w:lang w:eastAsia="cs-CZ"/>
              </w:rPr>
            </w:pPr>
            <w:r w:rsidRPr="00730B1E">
              <w:rPr>
                <w:rFonts w:eastAsia="Times New Roman"/>
                <w:sz w:val="20"/>
                <w:szCs w:val="20"/>
                <w:lang w:eastAsia="cs-CZ"/>
              </w:rPr>
              <w:t>-5</w:t>
            </w:r>
            <w:r w:rsidR="005B4106" w:rsidRPr="00730B1E">
              <w:rPr>
                <w:rFonts w:eastAsia="Times New Roman"/>
                <w:sz w:val="20"/>
                <w:szCs w:val="20"/>
                <w:lang w:eastAsia="cs-CZ"/>
              </w:rPr>
              <w:t>,</w:t>
            </w:r>
            <w:r w:rsidRPr="00730B1E">
              <w:rPr>
                <w:rFonts w:eastAsia="Times New Roman"/>
                <w:sz w:val="20"/>
                <w:szCs w:val="20"/>
                <w:lang w:eastAsia="cs-CZ"/>
              </w:rPr>
              <w:t>9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p>
        </w:tc>
      </w:tr>
      <w:tr w:rsidR="00B64E96" w:rsidRPr="00730B1E" w14:paraId="1CAA5857" w14:textId="77777777" w:rsidTr="00DA258D">
        <w:trPr>
          <w:trHeight w:val="315"/>
        </w:trPr>
        <w:tc>
          <w:tcPr>
            <w:tcW w:w="2480" w:type="dxa"/>
            <w:tcBorders>
              <w:top w:val="nil"/>
              <w:left w:val="nil"/>
              <w:bottom w:val="single" w:sz="4" w:space="0" w:color="auto"/>
              <w:right w:val="nil"/>
            </w:tcBorders>
            <w:shd w:val="clear" w:color="auto" w:fill="auto"/>
            <w:noWrap/>
            <w:vAlign w:val="bottom"/>
            <w:hideMark/>
          </w:tcPr>
          <w:p w14:paraId="3BF7260F" w14:textId="77777777" w:rsidR="00DA258D" w:rsidRPr="00730B1E" w:rsidRDefault="00DA258D" w:rsidP="00DA258D">
            <w:pPr>
              <w:spacing w:line="240" w:lineRule="auto"/>
              <w:jc w:val="left"/>
              <w:rPr>
                <w:rFonts w:eastAsia="Times New Roman"/>
                <w:szCs w:val="24"/>
                <w:lang w:eastAsia="cs-CZ"/>
              </w:rPr>
            </w:pPr>
            <w:r w:rsidRPr="00730B1E">
              <w:rPr>
                <w:rFonts w:eastAsia="Times New Roman"/>
                <w:szCs w:val="24"/>
                <w:lang w:eastAsia="cs-CZ"/>
              </w:rPr>
              <w:t>KS Č. Budějovice</w:t>
            </w:r>
          </w:p>
        </w:tc>
        <w:tc>
          <w:tcPr>
            <w:tcW w:w="1794" w:type="dxa"/>
            <w:tcBorders>
              <w:top w:val="nil"/>
              <w:left w:val="nil"/>
              <w:bottom w:val="single" w:sz="4" w:space="0" w:color="auto"/>
              <w:right w:val="nil"/>
            </w:tcBorders>
            <w:shd w:val="clear" w:color="auto" w:fill="auto"/>
            <w:noWrap/>
            <w:vAlign w:val="bottom"/>
            <w:hideMark/>
          </w:tcPr>
          <w:p w14:paraId="137BD11D" w14:textId="6BD5463B" w:rsidR="00DA258D" w:rsidRPr="00730B1E" w:rsidRDefault="00DA258D" w:rsidP="00DA258D">
            <w:pPr>
              <w:spacing w:line="240" w:lineRule="auto"/>
              <w:jc w:val="center"/>
              <w:rPr>
                <w:rFonts w:eastAsia="Times New Roman"/>
                <w:szCs w:val="24"/>
                <w:lang w:eastAsia="cs-CZ"/>
              </w:rPr>
            </w:pPr>
            <w:r w:rsidRPr="00730B1E">
              <w:rPr>
                <w:rFonts w:eastAsia="Times New Roman"/>
                <w:szCs w:val="24"/>
                <w:lang w:eastAsia="cs-CZ"/>
              </w:rPr>
              <w:t>42</w:t>
            </w:r>
            <w:r w:rsidR="005B4106" w:rsidRPr="00730B1E">
              <w:rPr>
                <w:rFonts w:eastAsia="Times New Roman"/>
                <w:szCs w:val="24"/>
                <w:lang w:eastAsia="cs-CZ"/>
              </w:rPr>
              <w:t>,</w:t>
            </w:r>
            <w:r w:rsidRPr="00730B1E">
              <w:rPr>
                <w:rFonts w:eastAsia="Times New Roman"/>
                <w:szCs w:val="24"/>
                <w:lang w:eastAsia="cs-CZ"/>
              </w:rPr>
              <w:t>31 %</w:t>
            </w:r>
          </w:p>
        </w:tc>
        <w:tc>
          <w:tcPr>
            <w:tcW w:w="1646" w:type="dxa"/>
            <w:tcBorders>
              <w:top w:val="nil"/>
              <w:left w:val="nil"/>
              <w:bottom w:val="single" w:sz="4" w:space="0" w:color="auto"/>
              <w:right w:val="nil"/>
            </w:tcBorders>
            <w:shd w:val="clear" w:color="auto" w:fill="auto"/>
            <w:noWrap/>
            <w:vAlign w:val="center"/>
            <w:hideMark/>
          </w:tcPr>
          <w:p w14:paraId="1011F9D7" w14:textId="584103B5" w:rsidR="00DA258D" w:rsidRPr="00730B1E" w:rsidRDefault="00DA258D" w:rsidP="00F52D5D">
            <w:pPr>
              <w:spacing w:line="240" w:lineRule="auto"/>
              <w:jc w:val="center"/>
              <w:rPr>
                <w:rFonts w:eastAsia="Times New Roman"/>
                <w:sz w:val="20"/>
                <w:szCs w:val="20"/>
                <w:lang w:eastAsia="cs-CZ"/>
              </w:rPr>
            </w:pPr>
            <w:r w:rsidRPr="00730B1E">
              <w:rPr>
                <w:rFonts w:eastAsia="Times New Roman"/>
                <w:sz w:val="20"/>
                <w:szCs w:val="20"/>
                <w:lang w:eastAsia="cs-CZ"/>
              </w:rPr>
              <w:t>-2</w:t>
            </w:r>
            <w:r w:rsidR="005B4106" w:rsidRPr="00730B1E">
              <w:rPr>
                <w:rFonts w:eastAsia="Times New Roman"/>
                <w:sz w:val="20"/>
                <w:szCs w:val="20"/>
                <w:lang w:eastAsia="cs-CZ"/>
              </w:rPr>
              <w:t>,</w:t>
            </w:r>
            <w:r w:rsidRPr="00730B1E">
              <w:rPr>
                <w:rFonts w:eastAsia="Times New Roman"/>
                <w:sz w:val="20"/>
                <w:szCs w:val="20"/>
                <w:lang w:eastAsia="cs-CZ"/>
              </w:rPr>
              <w:t>8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p>
        </w:tc>
      </w:tr>
      <w:tr w:rsidR="00B64E96" w:rsidRPr="00730B1E" w14:paraId="104C90C2" w14:textId="77777777" w:rsidTr="00DA258D">
        <w:trPr>
          <w:trHeight w:val="315"/>
        </w:trPr>
        <w:tc>
          <w:tcPr>
            <w:tcW w:w="2480" w:type="dxa"/>
            <w:tcBorders>
              <w:top w:val="nil"/>
              <w:left w:val="nil"/>
              <w:bottom w:val="single" w:sz="4" w:space="0" w:color="auto"/>
              <w:right w:val="nil"/>
            </w:tcBorders>
            <w:shd w:val="clear" w:color="auto" w:fill="auto"/>
            <w:noWrap/>
            <w:vAlign w:val="bottom"/>
            <w:hideMark/>
          </w:tcPr>
          <w:p w14:paraId="4E0BD407" w14:textId="77777777" w:rsidR="00DA258D" w:rsidRPr="00730B1E" w:rsidRDefault="00DA258D" w:rsidP="00DA258D">
            <w:pPr>
              <w:spacing w:line="240" w:lineRule="auto"/>
              <w:jc w:val="left"/>
              <w:rPr>
                <w:rFonts w:eastAsia="Times New Roman"/>
                <w:szCs w:val="24"/>
                <w:lang w:eastAsia="cs-CZ"/>
              </w:rPr>
            </w:pPr>
            <w:r w:rsidRPr="00730B1E">
              <w:rPr>
                <w:rFonts w:eastAsia="Times New Roman"/>
                <w:szCs w:val="24"/>
                <w:lang w:eastAsia="cs-CZ"/>
              </w:rPr>
              <w:t>KS Plzeň</w:t>
            </w:r>
          </w:p>
        </w:tc>
        <w:tc>
          <w:tcPr>
            <w:tcW w:w="1794" w:type="dxa"/>
            <w:tcBorders>
              <w:top w:val="nil"/>
              <w:left w:val="nil"/>
              <w:bottom w:val="single" w:sz="4" w:space="0" w:color="auto"/>
              <w:right w:val="nil"/>
            </w:tcBorders>
            <w:shd w:val="clear" w:color="auto" w:fill="auto"/>
            <w:noWrap/>
            <w:vAlign w:val="bottom"/>
            <w:hideMark/>
          </w:tcPr>
          <w:p w14:paraId="36D1E2E4" w14:textId="4D0EC29B" w:rsidR="00DA258D" w:rsidRPr="00730B1E" w:rsidRDefault="00DA258D" w:rsidP="00DA258D">
            <w:pPr>
              <w:spacing w:line="240" w:lineRule="auto"/>
              <w:jc w:val="center"/>
              <w:rPr>
                <w:rFonts w:eastAsia="Times New Roman"/>
                <w:szCs w:val="24"/>
                <w:lang w:eastAsia="cs-CZ"/>
              </w:rPr>
            </w:pPr>
            <w:r w:rsidRPr="00730B1E">
              <w:rPr>
                <w:rFonts w:eastAsia="Times New Roman"/>
                <w:szCs w:val="24"/>
                <w:lang w:eastAsia="cs-CZ"/>
              </w:rPr>
              <w:t>42</w:t>
            </w:r>
            <w:r w:rsidR="005B4106" w:rsidRPr="00730B1E">
              <w:rPr>
                <w:rFonts w:eastAsia="Times New Roman"/>
                <w:szCs w:val="24"/>
                <w:lang w:eastAsia="cs-CZ"/>
              </w:rPr>
              <w:t>,</w:t>
            </w:r>
            <w:r w:rsidRPr="00730B1E">
              <w:rPr>
                <w:rFonts w:eastAsia="Times New Roman"/>
                <w:szCs w:val="24"/>
                <w:lang w:eastAsia="cs-CZ"/>
              </w:rPr>
              <w:t>50 %</w:t>
            </w:r>
          </w:p>
        </w:tc>
        <w:tc>
          <w:tcPr>
            <w:tcW w:w="1646" w:type="dxa"/>
            <w:tcBorders>
              <w:top w:val="nil"/>
              <w:left w:val="nil"/>
              <w:bottom w:val="single" w:sz="4" w:space="0" w:color="auto"/>
              <w:right w:val="nil"/>
            </w:tcBorders>
            <w:shd w:val="clear" w:color="auto" w:fill="auto"/>
            <w:noWrap/>
            <w:vAlign w:val="center"/>
            <w:hideMark/>
          </w:tcPr>
          <w:p w14:paraId="2CFA1035" w14:textId="25292FE8" w:rsidR="00DA258D" w:rsidRPr="00730B1E" w:rsidRDefault="00DA258D" w:rsidP="00F52D5D">
            <w:pPr>
              <w:spacing w:line="240" w:lineRule="auto"/>
              <w:jc w:val="center"/>
              <w:rPr>
                <w:rFonts w:eastAsia="Times New Roman"/>
                <w:sz w:val="20"/>
                <w:szCs w:val="20"/>
                <w:lang w:eastAsia="cs-CZ"/>
              </w:rPr>
            </w:pPr>
            <w:r w:rsidRPr="00730B1E">
              <w:rPr>
                <w:rFonts w:eastAsia="Times New Roman"/>
                <w:sz w:val="20"/>
                <w:szCs w:val="20"/>
                <w:lang w:eastAsia="cs-CZ"/>
              </w:rPr>
              <w:t>+0</w:t>
            </w:r>
            <w:r w:rsidR="005B4106" w:rsidRPr="00730B1E">
              <w:rPr>
                <w:rFonts w:eastAsia="Times New Roman"/>
                <w:sz w:val="20"/>
                <w:szCs w:val="20"/>
                <w:lang w:eastAsia="cs-CZ"/>
              </w:rPr>
              <w:t>,</w:t>
            </w:r>
            <w:r w:rsidRPr="00730B1E">
              <w:rPr>
                <w:rFonts w:eastAsia="Times New Roman"/>
                <w:sz w:val="20"/>
                <w:szCs w:val="20"/>
                <w:lang w:eastAsia="cs-CZ"/>
              </w:rPr>
              <w:t>6 p</w:t>
            </w:r>
            <w:r w:rsidR="00525C94" w:rsidRPr="00730B1E">
              <w:rPr>
                <w:rFonts w:eastAsia="Times New Roman"/>
                <w:sz w:val="20"/>
                <w:szCs w:val="20"/>
                <w:lang w:eastAsia="cs-CZ"/>
              </w:rPr>
              <w:t>.p.</w:t>
            </w:r>
          </w:p>
        </w:tc>
      </w:tr>
      <w:tr w:rsidR="00B64E96" w:rsidRPr="00730B1E" w14:paraId="5D917C85" w14:textId="77777777" w:rsidTr="00DA258D">
        <w:trPr>
          <w:trHeight w:val="315"/>
        </w:trPr>
        <w:tc>
          <w:tcPr>
            <w:tcW w:w="2480" w:type="dxa"/>
            <w:tcBorders>
              <w:top w:val="nil"/>
              <w:left w:val="nil"/>
              <w:bottom w:val="single" w:sz="4" w:space="0" w:color="auto"/>
              <w:right w:val="nil"/>
            </w:tcBorders>
            <w:shd w:val="clear" w:color="auto" w:fill="auto"/>
            <w:noWrap/>
            <w:vAlign w:val="bottom"/>
            <w:hideMark/>
          </w:tcPr>
          <w:p w14:paraId="645A0B3C" w14:textId="77777777" w:rsidR="00DA258D" w:rsidRPr="00730B1E" w:rsidRDefault="00DA258D" w:rsidP="00DA258D">
            <w:pPr>
              <w:spacing w:line="240" w:lineRule="auto"/>
              <w:jc w:val="left"/>
              <w:rPr>
                <w:rFonts w:eastAsia="Times New Roman"/>
                <w:szCs w:val="24"/>
                <w:lang w:eastAsia="cs-CZ"/>
              </w:rPr>
            </w:pPr>
            <w:r w:rsidRPr="00730B1E">
              <w:rPr>
                <w:rFonts w:eastAsia="Times New Roman"/>
                <w:szCs w:val="24"/>
                <w:lang w:eastAsia="cs-CZ"/>
              </w:rPr>
              <w:t>KS Ústí n. Labem</w:t>
            </w:r>
          </w:p>
        </w:tc>
        <w:tc>
          <w:tcPr>
            <w:tcW w:w="1794" w:type="dxa"/>
            <w:tcBorders>
              <w:top w:val="nil"/>
              <w:left w:val="nil"/>
              <w:bottom w:val="single" w:sz="4" w:space="0" w:color="auto"/>
              <w:right w:val="nil"/>
            </w:tcBorders>
            <w:shd w:val="clear" w:color="auto" w:fill="auto"/>
            <w:noWrap/>
            <w:vAlign w:val="bottom"/>
            <w:hideMark/>
          </w:tcPr>
          <w:p w14:paraId="6D6DF5CE" w14:textId="05B9154D" w:rsidR="00DA258D" w:rsidRPr="00730B1E" w:rsidRDefault="00DA258D" w:rsidP="00DA258D">
            <w:pPr>
              <w:spacing w:line="240" w:lineRule="auto"/>
              <w:jc w:val="center"/>
              <w:rPr>
                <w:rFonts w:eastAsia="Times New Roman"/>
                <w:szCs w:val="24"/>
                <w:lang w:eastAsia="cs-CZ"/>
              </w:rPr>
            </w:pPr>
            <w:r w:rsidRPr="00730B1E">
              <w:rPr>
                <w:rFonts w:eastAsia="Times New Roman"/>
                <w:szCs w:val="24"/>
                <w:lang w:eastAsia="cs-CZ"/>
              </w:rPr>
              <w:t>54</w:t>
            </w:r>
            <w:r w:rsidR="005B4106" w:rsidRPr="00730B1E">
              <w:rPr>
                <w:rFonts w:eastAsia="Times New Roman"/>
                <w:szCs w:val="24"/>
                <w:lang w:eastAsia="cs-CZ"/>
              </w:rPr>
              <w:t>,</w:t>
            </w:r>
            <w:r w:rsidRPr="00730B1E">
              <w:rPr>
                <w:rFonts w:eastAsia="Times New Roman"/>
                <w:szCs w:val="24"/>
                <w:lang w:eastAsia="cs-CZ"/>
              </w:rPr>
              <w:t>24 %</w:t>
            </w:r>
          </w:p>
        </w:tc>
        <w:tc>
          <w:tcPr>
            <w:tcW w:w="1646" w:type="dxa"/>
            <w:tcBorders>
              <w:top w:val="nil"/>
              <w:left w:val="nil"/>
              <w:bottom w:val="single" w:sz="4" w:space="0" w:color="auto"/>
              <w:right w:val="nil"/>
            </w:tcBorders>
            <w:shd w:val="clear" w:color="auto" w:fill="auto"/>
            <w:noWrap/>
            <w:vAlign w:val="center"/>
            <w:hideMark/>
          </w:tcPr>
          <w:p w14:paraId="2E7BC717" w14:textId="52835F44" w:rsidR="00DA258D" w:rsidRPr="00730B1E" w:rsidRDefault="00DA258D" w:rsidP="00F52D5D">
            <w:pPr>
              <w:spacing w:line="240" w:lineRule="auto"/>
              <w:jc w:val="center"/>
              <w:rPr>
                <w:rFonts w:eastAsia="Times New Roman"/>
                <w:sz w:val="20"/>
                <w:szCs w:val="20"/>
                <w:lang w:eastAsia="cs-CZ"/>
              </w:rPr>
            </w:pPr>
            <w:r w:rsidRPr="00730B1E">
              <w:rPr>
                <w:rFonts w:eastAsia="Times New Roman"/>
                <w:sz w:val="20"/>
                <w:szCs w:val="20"/>
                <w:lang w:eastAsia="cs-CZ"/>
              </w:rPr>
              <w:t>-2</w:t>
            </w:r>
            <w:r w:rsidR="005B4106" w:rsidRPr="00730B1E">
              <w:rPr>
                <w:rFonts w:eastAsia="Times New Roman"/>
                <w:sz w:val="20"/>
                <w:szCs w:val="20"/>
                <w:lang w:eastAsia="cs-CZ"/>
              </w:rPr>
              <w:t>,</w:t>
            </w:r>
            <w:r w:rsidRPr="00730B1E">
              <w:rPr>
                <w:rFonts w:eastAsia="Times New Roman"/>
                <w:sz w:val="20"/>
                <w:szCs w:val="20"/>
                <w:lang w:eastAsia="cs-CZ"/>
              </w:rPr>
              <w:t>4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p>
        </w:tc>
      </w:tr>
      <w:tr w:rsidR="00B64E96" w:rsidRPr="00730B1E" w14:paraId="0F9A5D29" w14:textId="77777777" w:rsidTr="00DA258D">
        <w:trPr>
          <w:trHeight w:val="315"/>
        </w:trPr>
        <w:tc>
          <w:tcPr>
            <w:tcW w:w="2480" w:type="dxa"/>
            <w:tcBorders>
              <w:top w:val="nil"/>
              <w:left w:val="nil"/>
              <w:bottom w:val="single" w:sz="4" w:space="0" w:color="auto"/>
              <w:right w:val="nil"/>
            </w:tcBorders>
            <w:shd w:val="clear" w:color="auto" w:fill="auto"/>
            <w:noWrap/>
            <w:vAlign w:val="bottom"/>
            <w:hideMark/>
          </w:tcPr>
          <w:p w14:paraId="3162D8E1" w14:textId="77777777" w:rsidR="00DA258D" w:rsidRPr="00730B1E" w:rsidRDefault="00DA258D" w:rsidP="00DA258D">
            <w:pPr>
              <w:spacing w:line="240" w:lineRule="auto"/>
              <w:jc w:val="left"/>
              <w:rPr>
                <w:rFonts w:eastAsia="Times New Roman"/>
                <w:szCs w:val="24"/>
                <w:lang w:eastAsia="cs-CZ"/>
              </w:rPr>
            </w:pPr>
            <w:r w:rsidRPr="00730B1E">
              <w:rPr>
                <w:rFonts w:eastAsia="Times New Roman"/>
                <w:szCs w:val="24"/>
                <w:lang w:eastAsia="cs-CZ"/>
              </w:rPr>
              <w:t>KS Hr. Králové</w:t>
            </w:r>
          </w:p>
        </w:tc>
        <w:tc>
          <w:tcPr>
            <w:tcW w:w="1794" w:type="dxa"/>
            <w:tcBorders>
              <w:top w:val="nil"/>
              <w:left w:val="nil"/>
              <w:bottom w:val="single" w:sz="4" w:space="0" w:color="auto"/>
              <w:right w:val="nil"/>
            </w:tcBorders>
            <w:shd w:val="clear" w:color="auto" w:fill="auto"/>
            <w:noWrap/>
            <w:vAlign w:val="bottom"/>
            <w:hideMark/>
          </w:tcPr>
          <w:p w14:paraId="3826EC0E" w14:textId="3240EED0" w:rsidR="00DA258D" w:rsidRPr="00730B1E" w:rsidRDefault="00DA258D" w:rsidP="00DA258D">
            <w:pPr>
              <w:spacing w:line="240" w:lineRule="auto"/>
              <w:jc w:val="center"/>
              <w:rPr>
                <w:rFonts w:eastAsia="Times New Roman"/>
                <w:szCs w:val="24"/>
                <w:lang w:eastAsia="cs-CZ"/>
              </w:rPr>
            </w:pPr>
            <w:r w:rsidRPr="00730B1E">
              <w:rPr>
                <w:rFonts w:eastAsia="Times New Roman"/>
                <w:szCs w:val="24"/>
                <w:lang w:eastAsia="cs-CZ"/>
              </w:rPr>
              <w:t>37</w:t>
            </w:r>
            <w:r w:rsidR="005B4106" w:rsidRPr="00730B1E">
              <w:rPr>
                <w:rFonts w:eastAsia="Times New Roman"/>
                <w:szCs w:val="24"/>
                <w:lang w:eastAsia="cs-CZ"/>
              </w:rPr>
              <w:t>,</w:t>
            </w:r>
            <w:r w:rsidRPr="00730B1E">
              <w:rPr>
                <w:rFonts w:eastAsia="Times New Roman"/>
                <w:szCs w:val="24"/>
                <w:lang w:eastAsia="cs-CZ"/>
              </w:rPr>
              <w:t>45 %</w:t>
            </w:r>
          </w:p>
        </w:tc>
        <w:tc>
          <w:tcPr>
            <w:tcW w:w="1646" w:type="dxa"/>
            <w:tcBorders>
              <w:top w:val="nil"/>
              <w:left w:val="nil"/>
              <w:bottom w:val="single" w:sz="4" w:space="0" w:color="auto"/>
              <w:right w:val="nil"/>
            </w:tcBorders>
            <w:shd w:val="clear" w:color="auto" w:fill="auto"/>
            <w:noWrap/>
            <w:vAlign w:val="center"/>
            <w:hideMark/>
          </w:tcPr>
          <w:p w14:paraId="483AB764" w14:textId="73464745" w:rsidR="00DA258D" w:rsidRPr="00730B1E" w:rsidRDefault="00DA258D" w:rsidP="00F52D5D">
            <w:pPr>
              <w:spacing w:line="240" w:lineRule="auto"/>
              <w:jc w:val="center"/>
              <w:rPr>
                <w:rFonts w:eastAsia="Times New Roman"/>
                <w:sz w:val="20"/>
                <w:szCs w:val="20"/>
                <w:lang w:eastAsia="cs-CZ"/>
              </w:rPr>
            </w:pPr>
            <w:r w:rsidRPr="00730B1E">
              <w:rPr>
                <w:rFonts w:eastAsia="Times New Roman"/>
                <w:sz w:val="20"/>
                <w:szCs w:val="20"/>
                <w:lang w:eastAsia="cs-CZ"/>
              </w:rPr>
              <w:t>-7</w:t>
            </w:r>
            <w:r w:rsidR="005B4106" w:rsidRPr="00730B1E">
              <w:rPr>
                <w:rFonts w:eastAsia="Times New Roman"/>
                <w:sz w:val="20"/>
                <w:szCs w:val="20"/>
                <w:lang w:eastAsia="cs-CZ"/>
              </w:rPr>
              <w:t>,</w:t>
            </w:r>
            <w:r w:rsidRPr="00730B1E">
              <w:rPr>
                <w:rFonts w:eastAsia="Times New Roman"/>
                <w:sz w:val="20"/>
                <w:szCs w:val="20"/>
                <w:lang w:eastAsia="cs-CZ"/>
              </w:rPr>
              <w:t>8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p>
        </w:tc>
      </w:tr>
      <w:tr w:rsidR="00B64E96" w:rsidRPr="00730B1E" w14:paraId="5B5F7AD7" w14:textId="77777777" w:rsidTr="00DA258D">
        <w:trPr>
          <w:trHeight w:val="315"/>
        </w:trPr>
        <w:tc>
          <w:tcPr>
            <w:tcW w:w="2480" w:type="dxa"/>
            <w:tcBorders>
              <w:top w:val="nil"/>
              <w:left w:val="nil"/>
              <w:bottom w:val="single" w:sz="4" w:space="0" w:color="auto"/>
              <w:right w:val="nil"/>
            </w:tcBorders>
            <w:shd w:val="clear" w:color="auto" w:fill="auto"/>
            <w:noWrap/>
            <w:vAlign w:val="bottom"/>
            <w:hideMark/>
          </w:tcPr>
          <w:p w14:paraId="2FF49B9A" w14:textId="77777777" w:rsidR="00DA258D" w:rsidRPr="00730B1E" w:rsidRDefault="00DA258D" w:rsidP="00DA258D">
            <w:pPr>
              <w:spacing w:line="240" w:lineRule="auto"/>
              <w:jc w:val="left"/>
              <w:rPr>
                <w:rFonts w:eastAsia="Times New Roman"/>
                <w:szCs w:val="24"/>
                <w:lang w:eastAsia="cs-CZ"/>
              </w:rPr>
            </w:pPr>
            <w:r w:rsidRPr="00730B1E">
              <w:rPr>
                <w:rFonts w:eastAsia="Times New Roman"/>
                <w:szCs w:val="24"/>
                <w:lang w:eastAsia="cs-CZ"/>
              </w:rPr>
              <w:t>KS Brno</w:t>
            </w:r>
          </w:p>
        </w:tc>
        <w:tc>
          <w:tcPr>
            <w:tcW w:w="1794" w:type="dxa"/>
            <w:tcBorders>
              <w:top w:val="nil"/>
              <w:left w:val="nil"/>
              <w:bottom w:val="single" w:sz="4" w:space="0" w:color="auto"/>
              <w:right w:val="nil"/>
            </w:tcBorders>
            <w:shd w:val="clear" w:color="auto" w:fill="auto"/>
            <w:noWrap/>
            <w:vAlign w:val="bottom"/>
            <w:hideMark/>
          </w:tcPr>
          <w:p w14:paraId="56023524" w14:textId="0BE96928" w:rsidR="00DA258D" w:rsidRPr="00730B1E" w:rsidRDefault="00DA258D" w:rsidP="00DA258D">
            <w:pPr>
              <w:spacing w:line="240" w:lineRule="auto"/>
              <w:jc w:val="center"/>
              <w:rPr>
                <w:rFonts w:eastAsia="Times New Roman"/>
                <w:szCs w:val="24"/>
                <w:lang w:eastAsia="cs-CZ"/>
              </w:rPr>
            </w:pPr>
            <w:r w:rsidRPr="00730B1E">
              <w:rPr>
                <w:rFonts w:eastAsia="Times New Roman"/>
                <w:szCs w:val="24"/>
                <w:lang w:eastAsia="cs-CZ"/>
              </w:rPr>
              <w:t>50</w:t>
            </w:r>
            <w:r w:rsidR="005B4106" w:rsidRPr="00730B1E">
              <w:rPr>
                <w:rFonts w:eastAsia="Times New Roman"/>
                <w:szCs w:val="24"/>
                <w:lang w:eastAsia="cs-CZ"/>
              </w:rPr>
              <w:t>,</w:t>
            </w:r>
            <w:r w:rsidRPr="00730B1E">
              <w:rPr>
                <w:rFonts w:eastAsia="Times New Roman"/>
                <w:szCs w:val="24"/>
                <w:lang w:eastAsia="cs-CZ"/>
              </w:rPr>
              <w:t>25 %</w:t>
            </w:r>
          </w:p>
        </w:tc>
        <w:tc>
          <w:tcPr>
            <w:tcW w:w="1646" w:type="dxa"/>
            <w:tcBorders>
              <w:top w:val="nil"/>
              <w:left w:val="nil"/>
              <w:bottom w:val="single" w:sz="4" w:space="0" w:color="auto"/>
              <w:right w:val="nil"/>
            </w:tcBorders>
            <w:shd w:val="clear" w:color="auto" w:fill="auto"/>
            <w:noWrap/>
            <w:vAlign w:val="center"/>
            <w:hideMark/>
          </w:tcPr>
          <w:p w14:paraId="2DBD89E2" w14:textId="7EBA49C9" w:rsidR="00DA258D" w:rsidRPr="00730B1E" w:rsidRDefault="00DA258D" w:rsidP="00F52D5D">
            <w:pPr>
              <w:spacing w:line="240" w:lineRule="auto"/>
              <w:jc w:val="center"/>
              <w:rPr>
                <w:rFonts w:eastAsia="Times New Roman"/>
                <w:sz w:val="20"/>
                <w:szCs w:val="20"/>
                <w:lang w:eastAsia="cs-CZ"/>
              </w:rPr>
            </w:pPr>
            <w:r w:rsidRPr="00730B1E">
              <w:rPr>
                <w:rFonts w:eastAsia="Times New Roman"/>
                <w:sz w:val="20"/>
                <w:szCs w:val="20"/>
                <w:lang w:eastAsia="cs-CZ"/>
              </w:rPr>
              <w:t>+1</w:t>
            </w:r>
            <w:r w:rsidR="005B4106" w:rsidRPr="00730B1E">
              <w:rPr>
                <w:rFonts w:eastAsia="Times New Roman"/>
                <w:sz w:val="20"/>
                <w:szCs w:val="20"/>
                <w:lang w:eastAsia="cs-CZ"/>
              </w:rPr>
              <w:t>,</w:t>
            </w:r>
            <w:r w:rsidRPr="00730B1E">
              <w:rPr>
                <w:rFonts w:eastAsia="Times New Roman"/>
                <w:sz w:val="20"/>
                <w:szCs w:val="20"/>
                <w:lang w:eastAsia="cs-CZ"/>
              </w:rPr>
              <w:t>6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p>
        </w:tc>
      </w:tr>
      <w:tr w:rsidR="00B64E96" w:rsidRPr="00730B1E" w14:paraId="19999811" w14:textId="77777777" w:rsidTr="00DA258D">
        <w:trPr>
          <w:trHeight w:val="330"/>
        </w:trPr>
        <w:tc>
          <w:tcPr>
            <w:tcW w:w="2480" w:type="dxa"/>
            <w:tcBorders>
              <w:top w:val="nil"/>
              <w:left w:val="nil"/>
              <w:bottom w:val="double" w:sz="6" w:space="0" w:color="auto"/>
              <w:right w:val="nil"/>
            </w:tcBorders>
            <w:shd w:val="clear" w:color="auto" w:fill="auto"/>
            <w:noWrap/>
            <w:vAlign w:val="bottom"/>
            <w:hideMark/>
          </w:tcPr>
          <w:p w14:paraId="78F87ED7" w14:textId="77777777" w:rsidR="00DA258D" w:rsidRPr="00730B1E" w:rsidRDefault="00DA258D" w:rsidP="00DA258D">
            <w:pPr>
              <w:spacing w:line="240" w:lineRule="auto"/>
              <w:jc w:val="left"/>
              <w:rPr>
                <w:rFonts w:eastAsia="Times New Roman"/>
                <w:szCs w:val="24"/>
                <w:lang w:eastAsia="cs-CZ"/>
              </w:rPr>
            </w:pPr>
            <w:r w:rsidRPr="00730B1E">
              <w:rPr>
                <w:rFonts w:eastAsia="Times New Roman"/>
                <w:szCs w:val="24"/>
                <w:lang w:eastAsia="cs-CZ"/>
              </w:rPr>
              <w:t>KS Ostrava</w:t>
            </w:r>
          </w:p>
        </w:tc>
        <w:tc>
          <w:tcPr>
            <w:tcW w:w="1794" w:type="dxa"/>
            <w:tcBorders>
              <w:top w:val="nil"/>
              <w:left w:val="nil"/>
              <w:bottom w:val="double" w:sz="6" w:space="0" w:color="auto"/>
              <w:right w:val="nil"/>
            </w:tcBorders>
            <w:shd w:val="clear" w:color="auto" w:fill="auto"/>
            <w:noWrap/>
            <w:vAlign w:val="bottom"/>
            <w:hideMark/>
          </w:tcPr>
          <w:p w14:paraId="7026FE28" w14:textId="12BD6F0E" w:rsidR="00DA258D" w:rsidRPr="00730B1E" w:rsidRDefault="00DA258D" w:rsidP="00DA258D">
            <w:pPr>
              <w:spacing w:line="240" w:lineRule="auto"/>
              <w:jc w:val="center"/>
              <w:rPr>
                <w:rFonts w:eastAsia="Times New Roman"/>
                <w:szCs w:val="24"/>
                <w:lang w:eastAsia="cs-CZ"/>
              </w:rPr>
            </w:pPr>
            <w:r w:rsidRPr="00730B1E">
              <w:rPr>
                <w:rFonts w:eastAsia="Times New Roman"/>
                <w:szCs w:val="24"/>
                <w:lang w:eastAsia="cs-CZ"/>
              </w:rPr>
              <w:t>44</w:t>
            </w:r>
            <w:r w:rsidR="005B4106" w:rsidRPr="00730B1E">
              <w:rPr>
                <w:rFonts w:eastAsia="Times New Roman"/>
                <w:szCs w:val="24"/>
                <w:lang w:eastAsia="cs-CZ"/>
              </w:rPr>
              <w:t>,</w:t>
            </w:r>
            <w:r w:rsidRPr="00730B1E">
              <w:rPr>
                <w:rFonts w:eastAsia="Times New Roman"/>
                <w:szCs w:val="24"/>
                <w:lang w:eastAsia="cs-CZ"/>
              </w:rPr>
              <w:t>37 %</w:t>
            </w:r>
          </w:p>
        </w:tc>
        <w:tc>
          <w:tcPr>
            <w:tcW w:w="1646" w:type="dxa"/>
            <w:tcBorders>
              <w:top w:val="nil"/>
              <w:left w:val="nil"/>
              <w:bottom w:val="double" w:sz="6" w:space="0" w:color="auto"/>
              <w:right w:val="nil"/>
            </w:tcBorders>
            <w:shd w:val="clear" w:color="auto" w:fill="auto"/>
            <w:noWrap/>
            <w:vAlign w:val="center"/>
            <w:hideMark/>
          </w:tcPr>
          <w:p w14:paraId="22F12EB5" w14:textId="0B4882CF" w:rsidR="00DA258D" w:rsidRPr="00730B1E" w:rsidRDefault="00DA258D" w:rsidP="00F52D5D">
            <w:pPr>
              <w:spacing w:line="240" w:lineRule="auto"/>
              <w:jc w:val="center"/>
              <w:rPr>
                <w:rFonts w:eastAsia="Times New Roman"/>
                <w:sz w:val="20"/>
                <w:szCs w:val="20"/>
                <w:lang w:eastAsia="cs-CZ"/>
              </w:rPr>
            </w:pPr>
            <w:r w:rsidRPr="00730B1E">
              <w:rPr>
                <w:rFonts w:eastAsia="Times New Roman"/>
                <w:sz w:val="20"/>
                <w:szCs w:val="20"/>
                <w:lang w:eastAsia="cs-CZ"/>
              </w:rPr>
              <w:t>+0</w:t>
            </w:r>
            <w:r w:rsidR="005B4106" w:rsidRPr="00730B1E">
              <w:rPr>
                <w:rFonts w:eastAsia="Times New Roman"/>
                <w:sz w:val="20"/>
                <w:szCs w:val="20"/>
                <w:lang w:eastAsia="cs-CZ"/>
              </w:rPr>
              <w:t>,</w:t>
            </w:r>
            <w:r w:rsidRPr="00730B1E">
              <w:rPr>
                <w:rFonts w:eastAsia="Times New Roman"/>
                <w:sz w:val="20"/>
                <w:szCs w:val="20"/>
                <w:lang w:eastAsia="cs-CZ"/>
              </w:rPr>
              <w:t>2 p</w:t>
            </w:r>
            <w:r w:rsidR="00525C94" w:rsidRPr="00730B1E">
              <w:rPr>
                <w:rFonts w:eastAsia="Times New Roman"/>
                <w:sz w:val="20"/>
                <w:szCs w:val="20"/>
                <w:lang w:eastAsia="cs-CZ"/>
              </w:rPr>
              <w:t>.</w:t>
            </w:r>
            <w:r w:rsidRPr="00730B1E">
              <w:rPr>
                <w:rFonts w:eastAsia="Times New Roman"/>
                <w:sz w:val="20"/>
                <w:szCs w:val="20"/>
                <w:lang w:eastAsia="cs-CZ"/>
              </w:rPr>
              <w:t>b</w:t>
            </w:r>
            <w:r w:rsidR="00525C94" w:rsidRPr="00730B1E">
              <w:rPr>
                <w:rFonts w:eastAsia="Times New Roman"/>
                <w:sz w:val="20"/>
                <w:szCs w:val="20"/>
                <w:lang w:eastAsia="cs-CZ"/>
              </w:rPr>
              <w:t>.</w:t>
            </w:r>
          </w:p>
        </w:tc>
      </w:tr>
      <w:tr w:rsidR="00B64E96" w:rsidRPr="00730B1E" w14:paraId="3A2AA7ED" w14:textId="77777777" w:rsidTr="00DA258D">
        <w:trPr>
          <w:trHeight w:val="345"/>
        </w:trPr>
        <w:tc>
          <w:tcPr>
            <w:tcW w:w="2480" w:type="dxa"/>
            <w:tcBorders>
              <w:top w:val="nil"/>
              <w:left w:val="nil"/>
              <w:bottom w:val="double" w:sz="6" w:space="0" w:color="auto"/>
              <w:right w:val="nil"/>
            </w:tcBorders>
            <w:shd w:val="clear" w:color="auto" w:fill="auto"/>
            <w:noWrap/>
            <w:vAlign w:val="bottom"/>
            <w:hideMark/>
          </w:tcPr>
          <w:p w14:paraId="346B9480" w14:textId="77777777" w:rsidR="00DA258D" w:rsidRPr="00730B1E" w:rsidRDefault="00DA258D" w:rsidP="00DA258D">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94" w:type="dxa"/>
            <w:tcBorders>
              <w:top w:val="nil"/>
              <w:left w:val="nil"/>
              <w:bottom w:val="double" w:sz="6" w:space="0" w:color="auto"/>
              <w:right w:val="nil"/>
            </w:tcBorders>
            <w:shd w:val="clear" w:color="auto" w:fill="auto"/>
            <w:noWrap/>
            <w:vAlign w:val="bottom"/>
            <w:hideMark/>
          </w:tcPr>
          <w:p w14:paraId="1E2CC18D" w14:textId="375E6691" w:rsidR="00DA258D" w:rsidRPr="00730B1E" w:rsidRDefault="00DA258D" w:rsidP="00DA258D">
            <w:pPr>
              <w:spacing w:line="240" w:lineRule="auto"/>
              <w:jc w:val="center"/>
              <w:rPr>
                <w:rFonts w:eastAsia="Times New Roman"/>
                <w:b/>
                <w:bCs/>
                <w:szCs w:val="24"/>
                <w:lang w:eastAsia="cs-CZ"/>
              </w:rPr>
            </w:pPr>
            <w:r w:rsidRPr="00730B1E">
              <w:rPr>
                <w:rFonts w:eastAsia="Times New Roman"/>
                <w:b/>
                <w:bCs/>
                <w:szCs w:val="24"/>
                <w:lang w:eastAsia="cs-CZ"/>
              </w:rPr>
              <w:t>43</w:t>
            </w:r>
            <w:r w:rsidR="005B4106" w:rsidRPr="00730B1E">
              <w:rPr>
                <w:rFonts w:eastAsia="Times New Roman"/>
                <w:b/>
                <w:bCs/>
                <w:szCs w:val="24"/>
                <w:lang w:eastAsia="cs-CZ"/>
              </w:rPr>
              <w:t>,</w:t>
            </w:r>
            <w:r w:rsidRPr="00730B1E">
              <w:rPr>
                <w:rFonts w:eastAsia="Times New Roman"/>
                <w:b/>
                <w:bCs/>
                <w:szCs w:val="24"/>
                <w:lang w:eastAsia="cs-CZ"/>
              </w:rPr>
              <w:t>52 %</w:t>
            </w:r>
          </w:p>
        </w:tc>
        <w:tc>
          <w:tcPr>
            <w:tcW w:w="1646" w:type="dxa"/>
            <w:tcBorders>
              <w:top w:val="nil"/>
              <w:left w:val="nil"/>
              <w:bottom w:val="double" w:sz="6" w:space="0" w:color="auto"/>
              <w:right w:val="nil"/>
            </w:tcBorders>
            <w:shd w:val="clear" w:color="auto" w:fill="auto"/>
            <w:noWrap/>
            <w:vAlign w:val="center"/>
            <w:hideMark/>
          </w:tcPr>
          <w:p w14:paraId="360A09E7" w14:textId="1343D0D0" w:rsidR="00DA258D" w:rsidRPr="00730B1E" w:rsidRDefault="00DA258D" w:rsidP="00F52D5D">
            <w:pPr>
              <w:spacing w:line="240" w:lineRule="auto"/>
              <w:jc w:val="center"/>
              <w:rPr>
                <w:rFonts w:eastAsia="Times New Roman"/>
                <w:b/>
                <w:bCs/>
                <w:sz w:val="20"/>
                <w:szCs w:val="20"/>
                <w:lang w:eastAsia="cs-CZ"/>
              </w:rPr>
            </w:pPr>
            <w:r w:rsidRPr="00730B1E">
              <w:rPr>
                <w:rFonts w:eastAsia="Times New Roman"/>
                <w:b/>
                <w:bCs/>
                <w:sz w:val="20"/>
                <w:szCs w:val="20"/>
                <w:lang w:eastAsia="cs-CZ"/>
              </w:rPr>
              <w:t>-1</w:t>
            </w:r>
            <w:r w:rsidR="005B4106" w:rsidRPr="00730B1E">
              <w:rPr>
                <w:rFonts w:eastAsia="Times New Roman"/>
                <w:b/>
                <w:bCs/>
                <w:sz w:val="20"/>
                <w:szCs w:val="20"/>
                <w:lang w:eastAsia="cs-CZ"/>
              </w:rPr>
              <w:t>,</w:t>
            </w:r>
            <w:r w:rsidRPr="00730B1E">
              <w:rPr>
                <w:rFonts w:eastAsia="Times New Roman"/>
                <w:b/>
                <w:bCs/>
                <w:sz w:val="20"/>
                <w:szCs w:val="20"/>
                <w:lang w:eastAsia="cs-CZ"/>
              </w:rPr>
              <w:t>2 p</w:t>
            </w:r>
            <w:r w:rsidR="00525C94" w:rsidRPr="00730B1E">
              <w:rPr>
                <w:rFonts w:eastAsia="Times New Roman"/>
                <w:b/>
                <w:bCs/>
                <w:sz w:val="20"/>
                <w:szCs w:val="20"/>
                <w:lang w:eastAsia="cs-CZ"/>
              </w:rPr>
              <w:t>.</w:t>
            </w:r>
            <w:r w:rsidRPr="00730B1E">
              <w:rPr>
                <w:rFonts w:eastAsia="Times New Roman"/>
                <w:b/>
                <w:bCs/>
                <w:sz w:val="20"/>
                <w:szCs w:val="20"/>
                <w:lang w:eastAsia="cs-CZ"/>
              </w:rPr>
              <w:t>b</w:t>
            </w:r>
            <w:r w:rsidR="00525C94" w:rsidRPr="00730B1E">
              <w:rPr>
                <w:rFonts w:eastAsia="Times New Roman"/>
                <w:b/>
                <w:bCs/>
                <w:sz w:val="20"/>
                <w:szCs w:val="20"/>
                <w:lang w:eastAsia="cs-CZ"/>
              </w:rPr>
              <w:t>.</w:t>
            </w:r>
          </w:p>
        </w:tc>
      </w:tr>
      <w:tr w:rsidR="00B64E96" w:rsidRPr="00730B1E" w14:paraId="45C096A6" w14:textId="77777777" w:rsidTr="00DA258D">
        <w:trPr>
          <w:trHeight w:val="330"/>
        </w:trPr>
        <w:tc>
          <w:tcPr>
            <w:tcW w:w="2480" w:type="dxa"/>
            <w:tcBorders>
              <w:top w:val="nil"/>
              <w:left w:val="nil"/>
              <w:bottom w:val="nil"/>
              <w:right w:val="nil"/>
            </w:tcBorders>
            <w:shd w:val="clear" w:color="auto" w:fill="auto"/>
            <w:noWrap/>
            <w:vAlign w:val="bottom"/>
            <w:hideMark/>
          </w:tcPr>
          <w:p w14:paraId="1179141B" w14:textId="77777777" w:rsidR="00DA258D" w:rsidRPr="00730B1E" w:rsidRDefault="00DA258D" w:rsidP="00DA258D">
            <w:pPr>
              <w:spacing w:line="240" w:lineRule="auto"/>
              <w:jc w:val="right"/>
              <w:rPr>
                <w:rFonts w:eastAsia="Times New Roman"/>
                <w:b/>
                <w:bCs/>
                <w:sz w:val="20"/>
                <w:szCs w:val="20"/>
                <w:lang w:eastAsia="cs-CZ"/>
              </w:rPr>
            </w:pPr>
          </w:p>
        </w:tc>
        <w:tc>
          <w:tcPr>
            <w:tcW w:w="1794" w:type="dxa"/>
            <w:tcBorders>
              <w:top w:val="nil"/>
              <w:left w:val="nil"/>
              <w:bottom w:val="nil"/>
              <w:right w:val="nil"/>
            </w:tcBorders>
            <w:shd w:val="clear" w:color="auto" w:fill="auto"/>
            <w:noWrap/>
            <w:vAlign w:val="bottom"/>
            <w:hideMark/>
          </w:tcPr>
          <w:p w14:paraId="6D04FD96" w14:textId="77777777" w:rsidR="00DA258D" w:rsidRPr="00DF07F3" w:rsidRDefault="00DA258D" w:rsidP="00DA258D">
            <w:pPr>
              <w:spacing w:line="240" w:lineRule="auto"/>
              <w:jc w:val="left"/>
              <w:rPr>
                <w:sz w:val="20"/>
              </w:rPr>
            </w:pPr>
          </w:p>
        </w:tc>
        <w:tc>
          <w:tcPr>
            <w:tcW w:w="1646" w:type="dxa"/>
            <w:tcBorders>
              <w:top w:val="nil"/>
              <w:left w:val="nil"/>
              <w:bottom w:val="nil"/>
              <w:right w:val="nil"/>
            </w:tcBorders>
            <w:shd w:val="clear" w:color="auto" w:fill="auto"/>
            <w:noWrap/>
            <w:vAlign w:val="bottom"/>
            <w:hideMark/>
          </w:tcPr>
          <w:p w14:paraId="73816304" w14:textId="77777777" w:rsidR="00DA258D" w:rsidRPr="00DF07F3" w:rsidRDefault="00DA258D" w:rsidP="00DA258D">
            <w:pPr>
              <w:spacing w:line="240" w:lineRule="auto"/>
              <w:jc w:val="left"/>
              <w:rPr>
                <w:sz w:val="20"/>
              </w:rPr>
            </w:pPr>
          </w:p>
        </w:tc>
      </w:tr>
    </w:tbl>
    <w:p w14:paraId="0B4FE1DB" w14:textId="70E57B11" w:rsidR="00414A68" w:rsidRPr="00730B1E" w:rsidRDefault="00414A68" w:rsidP="00414A68">
      <w:pPr>
        <w:pStyle w:val="Podnadpis"/>
        <w:rPr>
          <w:color w:val="auto"/>
        </w:rPr>
      </w:pPr>
      <w:bookmarkStart w:id="269" w:name="_Toc75952197"/>
      <w:bookmarkStart w:id="270" w:name="_Toc106106650"/>
      <w:bookmarkStart w:id="271" w:name="_Toc144104128"/>
      <w:bookmarkStart w:id="272" w:name="_Toc169250936"/>
      <w:bookmarkStart w:id="273" w:name="_Toc174080622"/>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17</w:t>
      </w:r>
      <w:r w:rsidRPr="00730B1E">
        <w:rPr>
          <w:color w:val="auto"/>
        </w:rPr>
        <w:fldChar w:fldCharType="end"/>
      </w:r>
      <w:r w:rsidRPr="00730B1E">
        <w:rPr>
          <w:color w:val="auto"/>
        </w:rPr>
        <w:t>: OS – míra změny rozsudku u jednotlivých soudů v civilním řízení</w:t>
      </w:r>
      <w:bookmarkEnd w:id="269"/>
      <w:bookmarkEnd w:id="270"/>
      <w:bookmarkEnd w:id="271"/>
      <w:bookmarkEnd w:id="272"/>
      <w:bookmarkEnd w:id="273"/>
    </w:p>
    <w:p w14:paraId="033710D9" w14:textId="643042A9" w:rsidR="00620C6E" w:rsidRPr="00730B1E" w:rsidRDefault="00F52D5D">
      <w:pPr>
        <w:spacing w:after="160" w:line="259" w:lineRule="auto"/>
        <w:jc w:val="left"/>
        <w:rPr>
          <w:b/>
          <w:bCs/>
        </w:rPr>
      </w:pPr>
      <w:r w:rsidRPr="00730B1E">
        <w:rPr>
          <w:noProof/>
          <w:lang w:eastAsia="cs-CZ"/>
        </w:rPr>
        <w:drawing>
          <wp:anchor distT="0" distB="0" distL="114300" distR="114300" simplePos="0" relativeHeight="251667456" behindDoc="0" locked="0" layoutInCell="1" allowOverlap="1" wp14:anchorId="6DE0139A" wp14:editId="1BB9FF8D">
            <wp:simplePos x="0" y="0"/>
            <wp:positionH relativeFrom="margin">
              <wp:posOffset>4472940</wp:posOffset>
            </wp:positionH>
            <wp:positionV relativeFrom="paragraph">
              <wp:posOffset>13970</wp:posOffset>
            </wp:positionV>
            <wp:extent cx="1278255" cy="929947"/>
            <wp:effectExtent l="0" t="0" r="0" b="3810"/>
            <wp:wrapNone/>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8255" cy="9299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A68" w:rsidRPr="00730B1E">
        <w:rPr>
          <w:b/>
          <w:bCs/>
          <w:noProof/>
          <w:lang w:eastAsia="cs-CZ"/>
        </w:rPr>
        <w:drawing>
          <wp:inline distT="0" distB="0" distL="0" distR="0" wp14:anchorId="1EFEA09E" wp14:editId="6D7674BC">
            <wp:extent cx="5760720" cy="329692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2EF0D06" w14:textId="0B410BA3" w:rsidR="005B4106" w:rsidRPr="00730B1E" w:rsidRDefault="005B4106" w:rsidP="005B4106">
      <w:pPr>
        <w:pStyle w:val="OdstavecASR"/>
      </w:pPr>
      <w:bookmarkStart w:id="274" w:name="_Toc106092723"/>
      <w:bookmarkEnd w:id="261"/>
      <w:bookmarkEnd w:id="262"/>
      <w:r w:rsidRPr="00730B1E">
        <w:t>Míra změny rozsudku je nejnižší ve Východočeském kraji a v Praze</w:t>
      </w:r>
      <w:r w:rsidR="00512893" w:rsidRPr="00730B1E">
        <w:t>,</w:t>
      </w:r>
      <w:r w:rsidRPr="00730B1E">
        <w:t xml:space="preserve"> </w:t>
      </w:r>
      <w:r w:rsidR="00512893" w:rsidRPr="00730B1E">
        <w:t>n</w:t>
      </w:r>
      <w:r w:rsidRPr="00730B1E">
        <w:t xml:space="preserve">ejvyšší </w:t>
      </w:r>
      <w:r w:rsidR="00512893" w:rsidRPr="00730B1E">
        <w:t>je</w:t>
      </w:r>
      <w:r w:rsidRPr="00730B1E">
        <w:t xml:space="preserve"> v kraji Severočeském. Celorepublikově došlo k mírnému </w:t>
      </w:r>
      <w:r w:rsidR="00466B53" w:rsidRPr="00730B1E">
        <w:t>poklesu</w:t>
      </w:r>
      <w:r w:rsidRPr="00730B1E">
        <w:t xml:space="preserve">. Z okresních soudů mají nejnižší míru změny rozsudku OS Tachov (12,03 %), OS pro Prahu 7 (16,79 %) a </w:t>
      </w:r>
      <w:r w:rsidR="00512893" w:rsidRPr="00730B1E">
        <w:t xml:space="preserve">OS </w:t>
      </w:r>
      <w:r w:rsidRPr="00730B1E">
        <w:t>Prachatice (21,74 %). Na druhém konci se nacházejí OS Nymburk (</w:t>
      </w:r>
      <w:r w:rsidR="00466B53" w:rsidRPr="00730B1E">
        <w:t>76</w:t>
      </w:r>
      <w:r w:rsidRPr="00730B1E">
        <w:t>,</w:t>
      </w:r>
      <w:r w:rsidR="00466B53" w:rsidRPr="00730B1E">
        <w:t>66</w:t>
      </w:r>
      <w:r w:rsidRPr="00730B1E">
        <w:t xml:space="preserve"> %), OS </w:t>
      </w:r>
      <w:r w:rsidR="00466B53" w:rsidRPr="00730B1E">
        <w:t>Cheb</w:t>
      </w:r>
      <w:r w:rsidRPr="00730B1E">
        <w:t xml:space="preserve"> (67,</w:t>
      </w:r>
      <w:r w:rsidR="00466B53" w:rsidRPr="00730B1E">
        <w:t>16</w:t>
      </w:r>
      <w:r w:rsidRPr="00730B1E">
        <w:t> %) a OS </w:t>
      </w:r>
      <w:r w:rsidR="00466B53" w:rsidRPr="00730B1E">
        <w:t>Znojmo</w:t>
      </w:r>
      <w:r w:rsidRPr="00730B1E">
        <w:t xml:space="preserve"> (</w:t>
      </w:r>
      <w:r w:rsidR="00466B53" w:rsidRPr="00730B1E">
        <w:t>64</w:t>
      </w:r>
      <w:r w:rsidRPr="00730B1E">
        <w:t>,</w:t>
      </w:r>
      <w:r w:rsidR="00466B53" w:rsidRPr="00730B1E">
        <w:t>62</w:t>
      </w:r>
      <w:r w:rsidRPr="00730B1E">
        <w:t> %).</w:t>
      </w:r>
    </w:p>
    <w:p w14:paraId="77D36589" w14:textId="0FA787CD" w:rsidR="005B4106" w:rsidRPr="00730B1E" w:rsidRDefault="005B4106" w:rsidP="005B4106">
      <w:pPr>
        <w:pStyle w:val="OdstavecASR"/>
      </w:pPr>
      <w:r w:rsidRPr="00730B1E">
        <w:t xml:space="preserve">Vynásobením míry odvolání a míry změny rozsudku dostaneme podíl věcí, ve kterých odvolací soud nakonec změnil rozhodnutí soudu I. stupně ke všem prvostupňovým rozhodnutím. Tento ukazatel budeme nazývat </w:t>
      </w:r>
      <w:r w:rsidRPr="00730B1E">
        <w:rPr>
          <w:i/>
        </w:rPr>
        <w:t>míra celkové změny rozsudku</w:t>
      </w:r>
      <w:r w:rsidRPr="00730B1E">
        <w:t>. Tato míra se v roce 2019 rovnala 7,81 % × 44,6 % </w:t>
      </w:r>
      <w:r w:rsidRPr="00730B1E">
        <w:rPr>
          <w:rFonts w:ascii="Cambria Math" w:hAnsi="Cambria Math" w:cs="Cambria Math"/>
        </w:rPr>
        <w:t>≐</w:t>
      </w:r>
      <w:r w:rsidRPr="00730B1E">
        <w:t xml:space="preserve"> 3,48 %, v roce 2020 činila 8,16 % × 44,0 % </w:t>
      </w:r>
      <w:r w:rsidRPr="00730B1E">
        <w:rPr>
          <w:rFonts w:ascii="Cambria Math" w:hAnsi="Cambria Math" w:cs="Cambria Math"/>
        </w:rPr>
        <w:t>≐</w:t>
      </w:r>
      <w:r w:rsidRPr="00730B1E">
        <w:t xml:space="preserve"> 3,59 %, v roce 2021 představovala 7,46 % × 42,60 % </w:t>
      </w:r>
      <w:r w:rsidRPr="00730B1E">
        <w:rPr>
          <w:rFonts w:ascii="Cambria Math" w:hAnsi="Cambria Math" w:cs="Cambria Math"/>
        </w:rPr>
        <w:t>≐</w:t>
      </w:r>
      <w:r w:rsidRPr="00730B1E">
        <w:t xml:space="preserve"> 3,18 %</w:t>
      </w:r>
      <w:r w:rsidR="003A3A54" w:rsidRPr="00730B1E">
        <w:t>,</w:t>
      </w:r>
      <w:r w:rsidRPr="00730B1E">
        <w:t xml:space="preserve"> v roce 2022 byla 7,04 % × 44,71 % </w:t>
      </w:r>
      <w:r w:rsidRPr="00730B1E">
        <w:rPr>
          <w:rFonts w:ascii="Cambria Math" w:hAnsi="Cambria Math" w:cs="Cambria Math"/>
        </w:rPr>
        <w:t>≐</w:t>
      </w:r>
      <w:r w:rsidRPr="00730B1E">
        <w:t xml:space="preserve"> 3,15 %</w:t>
      </w:r>
      <w:r w:rsidR="003A3A54" w:rsidRPr="00730B1E">
        <w:t xml:space="preserve"> a v roce 2023 vyšla 6,71 % × 43,52 % </w:t>
      </w:r>
      <w:r w:rsidR="003A3A54" w:rsidRPr="00730B1E">
        <w:rPr>
          <w:rFonts w:ascii="Cambria Math" w:hAnsi="Cambria Math" w:cs="Cambria Math"/>
        </w:rPr>
        <w:t>≐</w:t>
      </w:r>
      <w:r w:rsidR="003A3A54" w:rsidRPr="00DF07F3">
        <w:t xml:space="preserve"> </w:t>
      </w:r>
      <w:r w:rsidR="003A3A54" w:rsidRPr="00730B1E">
        <w:t>2,92</w:t>
      </w:r>
      <w:r w:rsidR="00512893" w:rsidRPr="00730B1E">
        <w:t>,</w:t>
      </w:r>
      <w:r w:rsidR="003A3A54" w:rsidRPr="00730B1E">
        <w:t xml:space="preserve"> </w:t>
      </w:r>
      <w:r w:rsidR="00512893" w:rsidRPr="00730B1E">
        <w:t>t</w:t>
      </w:r>
      <w:r w:rsidR="003A3A54" w:rsidRPr="00730B1E">
        <w:t>edy nejnižší ve sledovaném období.</w:t>
      </w:r>
    </w:p>
    <w:p w14:paraId="2B54BB5E" w14:textId="58675F39" w:rsidR="003A3A54" w:rsidRPr="00730B1E" w:rsidRDefault="003A3A54" w:rsidP="003A3A54">
      <w:pPr>
        <w:pStyle w:val="OdstavecASR"/>
        <w:keepNext/>
        <w:outlineLvl w:val="3"/>
        <w:rPr>
          <w:b/>
          <w:bCs/>
        </w:rPr>
      </w:pPr>
      <w:r w:rsidRPr="00730B1E">
        <w:rPr>
          <w:b/>
          <w:bCs/>
        </w:rPr>
        <w:t>Výše přiznaných nároků</w:t>
      </w:r>
    </w:p>
    <w:p w14:paraId="32287337" w14:textId="77777777" w:rsidR="00E5086B" w:rsidRPr="00730B1E" w:rsidRDefault="00E5086B" w:rsidP="00E5086B">
      <w:pPr>
        <w:pStyle w:val="OdstavecASR"/>
      </w:pPr>
      <w:r w:rsidRPr="00730B1E">
        <w:t>Další tabulka zobrazuje data týkající se výše přiznaných nároků, které byly rozděleny do intervalů. Podíly jednotlivých intervalů uvádíme v procentech. Výše přiznaného nároku představuje částku, kterou soud přiznal žalobci vůči žalovanému.</w:t>
      </w:r>
    </w:p>
    <w:p w14:paraId="1ED9769D" w14:textId="77777777" w:rsidR="00E5086B" w:rsidRPr="00730B1E" w:rsidRDefault="00E5086B">
      <w:pPr>
        <w:spacing w:after="160" w:line="259" w:lineRule="auto"/>
        <w:jc w:val="left"/>
        <w:rPr>
          <w:rFonts w:eastAsia="Times New Roman"/>
          <w:b/>
          <w:iCs/>
          <w:spacing w:val="15"/>
          <w:szCs w:val="24"/>
        </w:rPr>
      </w:pPr>
      <w:bookmarkStart w:id="275" w:name="_Toc515871473"/>
      <w:bookmarkStart w:id="276" w:name="_Toc11133240"/>
      <w:bookmarkStart w:id="277" w:name="_Toc43931219"/>
      <w:r w:rsidRPr="00730B1E">
        <w:br w:type="page"/>
      </w:r>
    </w:p>
    <w:p w14:paraId="68964B6B" w14:textId="5719628D" w:rsidR="00E5086B" w:rsidRPr="00730B1E" w:rsidRDefault="00E5086B" w:rsidP="00E5086B">
      <w:pPr>
        <w:pStyle w:val="Podnadpis"/>
        <w:rPr>
          <w:color w:val="auto"/>
        </w:rPr>
      </w:pPr>
      <w:bookmarkStart w:id="278" w:name="_Toc169251071"/>
      <w:bookmarkStart w:id="279" w:name="_Toc174080757"/>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14</w:t>
      </w:r>
      <w:r w:rsidRPr="00730B1E">
        <w:rPr>
          <w:noProof/>
          <w:color w:val="auto"/>
        </w:rPr>
        <w:fldChar w:fldCharType="end"/>
      </w:r>
      <w:r w:rsidRPr="00730B1E">
        <w:rPr>
          <w:color w:val="auto"/>
        </w:rPr>
        <w:t xml:space="preserve">: </w:t>
      </w:r>
      <w:r w:rsidR="00512893" w:rsidRPr="00730B1E">
        <w:rPr>
          <w:color w:val="auto"/>
        </w:rPr>
        <w:t xml:space="preserve">OS </w:t>
      </w:r>
      <w:r w:rsidRPr="00730B1E">
        <w:rPr>
          <w:color w:val="auto"/>
        </w:rPr>
        <w:t>– výše přiznaných nároků</w:t>
      </w:r>
      <w:bookmarkEnd w:id="275"/>
      <w:bookmarkEnd w:id="276"/>
      <w:bookmarkEnd w:id="277"/>
      <w:r w:rsidR="00174FE5" w:rsidRPr="00730B1E">
        <w:rPr>
          <w:color w:val="auto"/>
        </w:rPr>
        <w:t>, 2023</w:t>
      </w:r>
      <w:bookmarkEnd w:id="278"/>
      <w:bookmarkEnd w:id="279"/>
    </w:p>
    <w:tbl>
      <w:tblPr>
        <w:tblW w:w="9080" w:type="dxa"/>
        <w:tblLayout w:type="fixed"/>
        <w:tblCellMar>
          <w:left w:w="70" w:type="dxa"/>
          <w:right w:w="70" w:type="dxa"/>
        </w:tblCellMar>
        <w:tblLook w:val="04A0" w:firstRow="1" w:lastRow="0" w:firstColumn="1" w:lastColumn="0" w:noHBand="0" w:noVBand="1"/>
      </w:tblPr>
      <w:tblGrid>
        <w:gridCol w:w="1960"/>
        <w:gridCol w:w="1780"/>
        <w:gridCol w:w="1780"/>
        <w:gridCol w:w="1780"/>
        <w:gridCol w:w="1780"/>
      </w:tblGrid>
      <w:tr w:rsidR="00B64E96" w:rsidRPr="00730B1E" w14:paraId="799BE4AE" w14:textId="77777777" w:rsidTr="00525C94">
        <w:trPr>
          <w:trHeight w:val="330"/>
        </w:trPr>
        <w:tc>
          <w:tcPr>
            <w:tcW w:w="1960" w:type="dxa"/>
            <w:vMerge w:val="restart"/>
            <w:tcBorders>
              <w:top w:val="double" w:sz="6" w:space="0" w:color="auto"/>
              <w:left w:val="nil"/>
              <w:bottom w:val="double" w:sz="6" w:space="0" w:color="000000"/>
              <w:right w:val="nil"/>
            </w:tcBorders>
            <w:shd w:val="clear" w:color="auto" w:fill="auto"/>
            <w:noWrap/>
            <w:vAlign w:val="center"/>
            <w:hideMark/>
          </w:tcPr>
          <w:p w14:paraId="64E9C594"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Nadřazený soud</w:t>
            </w:r>
          </w:p>
        </w:tc>
        <w:tc>
          <w:tcPr>
            <w:tcW w:w="7120" w:type="dxa"/>
            <w:gridSpan w:val="4"/>
            <w:tcBorders>
              <w:top w:val="double" w:sz="6" w:space="0" w:color="auto"/>
              <w:left w:val="nil"/>
              <w:bottom w:val="nil"/>
              <w:right w:val="nil"/>
            </w:tcBorders>
            <w:shd w:val="clear" w:color="auto" w:fill="auto"/>
            <w:noWrap/>
            <w:vAlign w:val="center"/>
            <w:hideMark/>
          </w:tcPr>
          <w:p w14:paraId="774DAABC"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Výše přiznaného nároku v Kč</w:t>
            </w:r>
          </w:p>
        </w:tc>
      </w:tr>
      <w:tr w:rsidR="00B64E96" w:rsidRPr="00730B1E" w14:paraId="22ED6FD9" w14:textId="77777777" w:rsidTr="00525C94">
        <w:trPr>
          <w:trHeight w:val="330"/>
        </w:trPr>
        <w:tc>
          <w:tcPr>
            <w:tcW w:w="1960" w:type="dxa"/>
            <w:vMerge/>
            <w:tcBorders>
              <w:top w:val="double" w:sz="6" w:space="0" w:color="auto"/>
              <w:left w:val="nil"/>
              <w:bottom w:val="double" w:sz="6" w:space="0" w:color="000000"/>
              <w:right w:val="nil"/>
            </w:tcBorders>
            <w:vAlign w:val="center"/>
            <w:hideMark/>
          </w:tcPr>
          <w:p w14:paraId="6CA0E71C" w14:textId="77777777" w:rsidR="0060730C" w:rsidRPr="00730B1E" w:rsidRDefault="0060730C" w:rsidP="0060730C">
            <w:pPr>
              <w:spacing w:line="240" w:lineRule="auto"/>
              <w:jc w:val="left"/>
              <w:rPr>
                <w:rFonts w:eastAsia="Times New Roman"/>
                <w:b/>
                <w:bCs/>
                <w:szCs w:val="24"/>
                <w:lang w:eastAsia="cs-CZ"/>
              </w:rPr>
            </w:pPr>
          </w:p>
        </w:tc>
        <w:tc>
          <w:tcPr>
            <w:tcW w:w="1780" w:type="dxa"/>
            <w:tcBorders>
              <w:top w:val="nil"/>
              <w:left w:val="nil"/>
              <w:bottom w:val="double" w:sz="6" w:space="0" w:color="auto"/>
              <w:right w:val="nil"/>
            </w:tcBorders>
            <w:shd w:val="clear" w:color="auto" w:fill="auto"/>
            <w:noWrap/>
            <w:vAlign w:val="center"/>
            <w:hideMark/>
          </w:tcPr>
          <w:p w14:paraId="73CF1FC5"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1 - 20 000</w:t>
            </w:r>
          </w:p>
        </w:tc>
        <w:tc>
          <w:tcPr>
            <w:tcW w:w="1780" w:type="dxa"/>
            <w:tcBorders>
              <w:top w:val="nil"/>
              <w:left w:val="nil"/>
              <w:bottom w:val="double" w:sz="6" w:space="0" w:color="auto"/>
              <w:right w:val="nil"/>
            </w:tcBorders>
            <w:shd w:val="clear" w:color="auto" w:fill="auto"/>
            <w:noWrap/>
            <w:vAlign w:val="center"/>
            <w:hideMark/>
          </w:tcPr>
          <w:p w14:paraId="6C02B97B"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20001 - 50 000</w:t>
            </w:r>
          </w:p>
        </w:tc>
        <w:tc>
          <w:tcPr>
            <w:tcW w:w="1780" w:type="dxa"/>
            <w:tcBorders>
              <w:top w:val="nil"/>
              <w:left w:val="nil"/>
              <w:bottom w:val="double" w:sz="6" w:space="0" w:color="auto"/>
              <w:right w:val="nil"/>
            </w:tcBorders>
            <w:shd w:val="clear" w:color="auto" w:fill="auto"/>
            <w:noWrap/>
            <w:vAlign w:val="center"/>
            <w:hideMark/>
          </w:tcPr>
          <w:p w14:paraId="3F9299B2"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50 001 - 100 000</w:t>
            </w:r>
          </w:p>
        </w:tc>
        <w:tc>
          <w:tcPr>
            <w:tcW w:w="1780" w:type="dxa"/>
            <w:tcBorders>
              <w:top w:val="nil"/>
              <w:left w:val="nil"/>
              <w:bottom w:val="double" w:sz="6" w:space="0" w:color="auto"/>
              <w:right w:val="nil"/>
            </w:tcBorders>
            <w:shd w:val="clear" w:color="auto" w:fill="auto"/>
            <w:noWrap/>
            <w:vAlign w:val="center"/>
            <w:hideMark/>
          </w:tcPr>
          <w:p w14:paraId="761F1ECC"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100 000 a více</w:t>
            </w:r>
          </w:p>
        </w:tc>
      </w:tr>
      <w:tr w:rsidR="00B64E96" w:rsidRPr="00730B1E" w14:paraId="04F87C7F" w14:textId="77777777" w:rsidTr="00525C94">
        <w:trPr>
          <w:trHeight w:val="345"/>
        </w:trPr>
        <w:tc>
          <w:tcPr>
            <w:tcW w:w="1960" w:type="dxa"/>
            <w:tcBorders>
              <w:top w:val="single" w:sz="4" w:space="0" w:color="auto"/>
              <w:left w:val="nil"/>
              <w:bottom w:val="single" w:sz="4" w:space="0" w:color="auto"/>
              <w:right w:val="nil"/>
            </w:tcBorders>
            <w:shd w:val="clear" w:color="auto" w:fill="auto"/>
            <w:noWrap/>
            <w:vAlign w:val="bottom"/>
            <w:hideMark/>
          </w:tcPr>
          <w:p w14:paraId="09E89580" w14:textId="77777777" w:rsidR="0060730C" w:rsidRPr="00730B1E" w:rsidRDefault="0060730C" w:rsidP="0060730C">
            <w:pPr>
              <w:spacing w:line="240" w:lineRule="auto"/>
              <w:jc w:val="left"/>
              <w:rPr>
                <w:rFonts w:eastAsia="Times New Roman"/>
                <w:szCs w:val="24"/>
                <w:lang w:eastAsia="cs-CZ"/>
              </w:rPr>
            </w:pPr>
            <w:r w:rsidRPr="00730B1E">
              <w:rPr>
                <w:rFonts w:eastAsia="Times New Roman"/>
                <w:szCs w:val="24"/>
                <w:lang w:eastAsia="cs-CZ"/>
              </w:rPr>
              <w:t>MS Praha</w:t>
            </w:r>
          </w:p>
        </w:tc>
        <w:tc>
          <w:tcPr>
            <w:tcW w:w="1780" w:type="dxa"/>
            <w:tcBorders>
              <w:top w:val="single" w:sz="4" w:space="0" w:color="auto"/>
              <w:left w:val="nil"/>
              <w:bottom w:val="single" w:sz="4" w:space="0" w:color="auto"/>
              <w:right w:val="nil"/>
            </w:tcBorders>
            <w:shd w:val="clear" w:color="auto" w:fill="auto"/>
            <w:noWrap/>
            <w:vAlign w:val="bottom"/>
            <w:hideMark/>
          </w:tcPr>
          <w:p w14:paraId="3ABC15C9" w14:textId="45619165"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69,87 %</w:t>
            </w:r>
          </w:p>
        </w:tc>
        <w:tc>
          <w:tcPr>
            <w:tcW w:w="1780" w:type="dxa"/>
            <w:tcBorders>
              <w:top w:val="single" w:sz="4" w:space="0" w:color="auto"/>
              <w:left w:val="nil"/>
              <w:bottom w:val="single" w:sz="4" w:space="0" w:color="auto"/>
              <w:right w:val="nil"/>
            </w:tcBorders>
            <w:shd w:val="clear" w:color="auto" w:fill="auto"/>
            <w:noWrap/>
            <w:vAlign w:val="bottom"/>
            <w:hideMark/>
          </w:tcPr>
          <w:p w14:paraId="5C9C8208" w14:textId="4BB4DF94"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11,97 %</w:t>
            </w:r>
          </w:p>
        </w:tc>
        <w:tc>
          <w:tcPr>
            <w:tcW w:w="1780" w:type="dxa"/>
            <w:tcBorders>
              <w:top w:val="single" w:sz="4" w:space="0" w:color="auto"/>
              <w:left w:val="nil"/>
              <w:bottom w:val="single" w:sz="4" w:space="0" w:color="auto"/>
              <w:right w:val="nil"/>
            </w:tcBorders>
            <w:shd w:val="clear" w:color="auto" w:fill="auto"/>
            <w:noWrap/>
            <w:vAlign w:val="bottom"/>
            <w:hideMark/>
          </w:tcPr>
          <w:p w14:paraId="7B3547B7" w14:textId="05CF9F80"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7,04 %</w:t>
            </w:r>
          </w:p>
        </w:tc>
        <w:tc>
          <w:tcPr>
            <w:tcW w:w="1780" w:type="dxa"/>
            <w:tcBorders>
              <w:top w:val="single" w:sz="4" w:space="0" w:color="auto"/>
              <w:left w:val="nil"/>
              <w:bottom w:val="single" w:sz="4" w:space="0" w:color="auto"/>
              <w:right w:val="nil"/>
            </w:tcBorders>
            <w:shd w:val="clear" w:color="auto" w:fill="auto"/>
            <w:noWrap/>
            <w:vAlign w:val="bottom"/>
            <w:hideMark/>
          </w:tcPr>
          <w:p w14:paraId="460D3D61" w14:textId="2A5A5F15"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11,12 %</w:t>
            </w:r>
          </w:p>
        </w:tc>
      </w:tr>
      <w:tr w:rsidR="00B64E96" w:rsidRPr="00730B1E" w14:paraId="4F70D612" w14:textId="77777777" w:rsidTr="00525C94">
        <w:trPr>
          <w:trHeight w:val="330"/>
        </w:trPr>
        <w:tc>
          <w:tcPr>
            <w:tcW w:w="1960" w:type="dxa"/>
            <w:tcBorders>
              <w:top w:val="nil"/>
              <w:left w:val="nil"/>
              <w:bottom w:val="single" w:sz="4" w:space="0" w:color="auto"/>
              <w:right w:val="nil"/>
            </w:tcBorders>
            <w:shd w:val="clear" w:color="auto" w:fill="auto"/>
            <w:noWrap/>
            <w:vAlign w:val="bottom"/>
            <w:hideMark/>
          </w:tcPr>
          <w:p w14:paraId="4BCCC7D6" w14:textId="77777777" w:rsidR="0060730C" w:rsidRPr="00730B1E" w:rsidRDefault="0060730C" w:rsidP="0060730C">
            <w:pPr>
              <w:spacing w:line="240" w:lineRule="auto"/>
              <w:jc w:val="left"/>
              <w:rPr>
                <w:rFonts w:eastAsia="Times New Roman"/>
                <w:szCs w:val="24"/>
                <w:lang w:eastAsia="cs-CZ"/>
              </w:rPr>
            </w:pPr>
            <w:r w:rsidRPr="00730B1E">
              <w:rPr>
                <w:rFonts w:eastAsia="Times New Roman"/>
                <w:szCs w:val="24"/>
                <w:lang w:eastAsia="cs-CZ"/>
              </w:rPr>
              <w:t>KS Praha</w:t>
            </w:r>
          </w:p>
        </w:tc>
        <w:tc>
          <w:tcPr>
            <w:tcW w:w="1780" w:type="dxa"/>
            <w:tcBorders>
              <w:top w:val="nil"/>
              <w:left w:val="nil"/>
              <w:bottom w:val="single" w:sz="4" w:space="0" w:color="auto"/>
              <w:right w:val="nil"/>
            </w:tcBorders>
            <w:shd w:val="clear" w:color="auto" w:fill="auto"/>
            <w:noWrap/>
            <w:vAlign w:val="bottom"/>
            <w:hideMark/>
          </w:tcPr>
          <w:p w14:paraId="0A1B4353" w14:textId="24E9806E"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80,58 %</w:t>
            </w:r>
          </w:p>
        </w:tc>
        <w:tc>
          <w:tcPr>
            <w:tcW w:w="1780" w:type="dxa"/>
            <w:tcBorders>
              <w:top w:val="nil"/>
              <w:left w:val="nil"/>
              <w:bottom w:val="single" w:sz="4" w:space="0" w:color="auto"/>
              <w:right w:val="nil"/>
            </w:tcBorders>
            <w:shd w:val="clear" w:color="auto" w:fill="auto"/>
            <w:noWrap/>
            <w:vAlign w:val="bottom"/>
            <w:hideMark/>
          </w:tcPr>
          <w:p w14:paraId="52F26DD1" w14:textId="2B390E53"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9,84 %</w:t>
            </w:r>
          </w:p>
        </w:tc>
        <w:tc>
          <w:tcPr>
            <w:tcW w:w="1780" w:type="dxa"/>
            <w:tcBorders>
              <w:top w:val="nil"/>
              <w:left w:val="nil"/>
              <w:bottom w:val="single" w:sz="4" w:space="0" w:color="auto"/>
              <w:right w:val="nil"/>
            </w:tcBorders>
            <w:shd w:val="clear" w:color="auto" w:fill="auto"/>
            <w:noWrap/>
            <w:vAlign w:val="bottom"/>
            <w:hideMark/>
          </w:tcPr>
          <w:p w14:paraId="396BBA47" w14:textId="30CB5974"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4,04 %</w:t>
            </w:r>
          </w:p>
        </w:tc>
        <w:tc>
          <w:tcPr>
            <w:tcW w:w="1780" w:type="dxa"/>
            <w:tcBorders>
              <w:top w:val="nil"/>
              <w:left w:val="nil"/>
              <w:bottom w:val="single" w:sz="4" w:space="0" w:color="auto"/>
              <w:right w:val="nil"/>
            </w:tcBorders>
            <w:shd w:val="clear" w:color="auto" w:fill="auto"/>
            <w:noWrap/>
            <w:vAlign w:val="bottom"/>
            <w:hideMark/>
          </w:tcPr>
          <w:p w14:paraId="74D5F6FA" w14:textId="4703593D"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5,54 %</w:t>
            </w:r>
          </w:p>
        </w:tc>
      </w:tr>
      <w:tr w:rsidR="00B64E96" w:rsidRPr="00730B1E" w14:paraId="129391E8" w14:textId="77777777" w:rsidTr="00525C94">
        <w:trPr>
          <w:trHeight w:val="315"/>
        </w:trPr>
        <w:tc>
          <w:tcPr>
            <w:tcW w:w="1960" w:type="dxa"/>
            <w:tcBorders>
              <w:top w:val="nil"/>
              <w:left w:val="nil"/>
              <w:bottom w:val="single" w:sz="4" w:space="0" w:color="auto"/>
              <w:right w:val="nil"/>
            </w:tcBorders>
            <w:shd w:val="clear" w:color="auto" w:fill="auto"/>
            <w:noWrap/>
            <w:vAlign w:val="bottom"/>
            <w:hideMark/>
          </w:tcPr>
          <w:p w14:paraId="36D1571E" w14:textId="30EC0B02" w:rsidR="0060730C" w:rsidRPr="00730B1E" w:rsidRDefault="0060730C" w:rsidP="0060730C">
            <w:pPr>
              <w:spacing w:line="240" w:lineRule="auto"/>
              <w:jc w:val="left"/>
              <w:rPr>
                <w:rFonts w:eastAsia="Times New Roman"/>
                <w:szCs w:val="24"/>
                <w:lang w:eastAsia="cs-CZ"/>
              </w:rPr>
            </w:pPr>
            <w:r w:rsidRPr="00730B1E">
              <w:rPr>
                <w:rFonts w:eastAsia="Times New Roman"/>
                <w:szCs w:val="24"/>
                <w:lang w:eastAsia="cs-CZ"/>
              </w:rPr>
              <w:t>KS Č</w:t>
            </w:r>
            <w:r w:rsidR="00512893" w:rsidRPr="00730B1E">
              <w:rPr>
                <w:rFonts w:eastAsia="Times New Roman"/>
                <w:szCs w:val="24"/>
                <w:lang w:eastAsia="cs-CZ"/>
              </w:rPr>
              <w:t>.</w:t>
            </w:r>
            <w:r w:rsidRPr="00730B1E">
              <w:rPr>
                <w:rFonts w:eastAsia="Times New Roman"/>
                <w:szCs w:val="24"/>
                <w:lang w:eastAsia="cs-CZ"/>
              </w:rPr>
              <w:t xml:space="preserve"> Budějovice</w:t>
            </w:r>
          </w:p>
        </w:tc>
        <w:tc>
          <w:tcPr>
            <w:tcW w:w="1780" w:type="dxa"/>
            <w:tcBorders>
              <w:top w:val="nil"/>
              <w:left w:val="nil"/>
              <w:bottom w:val="single" w:sz="4" w:space="0" w:color="auto"/>
              <w:right w:val="nil"/>
            </w:tcBorders>
            <w:shd w:val="clear" w:color="auto" w:fill="auto"/>
            <w:noWrap/>
            <w:vAlign w:val="bottom"/>
            <w:hideMark/>
          </w:tcPr>
          <w:p w14:paraId="1807E6ED" w14:textId="33AE30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81,93 %</w:t>
            </w:r>
          </w:p>
        </w:tc>
        <w:tc>
          <w:tcPr>
            <w:tcW w:w="1780" w:type="dxa"/>
            <w:tcBorders>
              <w:top w:val="nil"/>
              <w:left w:val="nil"/>
              <w:bottom w:val="single" w:sz="4" w:space="0" w:color="auto"/>
              <w:right w:val="nil"/>
            </w:tcBorders>
            <w:shd w:val="clear" w:color="auto" w:fill="auto"/>
            <w:noWrap/>
            <w:vAlign w:val="bottom"/>
            <w:hideMark/>
          </w:tcPr>
          <w:p w14:paraId="0232E173" w14:textId="7BEABAAE"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9,88 %</w:t>
            </w:r>
          </w:p>
        </w:tc>
        <w:tc>
          <w:tcPr>
            <w:tcW w:w="1780" w:type="dxa"/>
            <w:tcBorders>
              <w:top w:val="nil"/>
              <w:left w:val="nil"/>
              <w:bottom w:val="single" w:sz="4" w:space="0" w:color="auto"/>
              <w:right w:val="nil"/>
            </w:tcBorders>
            <w:shd w:val="clear" w:color="auto" w:fill="auto"/>
            <w:noWrap/>
            <w:vAlign w:val="bottom"/>
            <w:hideMark/>
          </w:tcPr>
          <w:p w14:paraId="74FFB9F6" w14:textId="20433654"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3,69 %</w:t>
            </w:r>
          </w:p>
        </w:tc>
        <w:tc>
          <w:tcPr>
            <w:tcW w:w="1780" w:type="dxa"/>
            <w:tcBorders>
              <w:top w:val="nil"/>
              <w:left w:val="nil"/>
              <w:bottom w:val="single" w:sz="4" w:space="0" w:color="auto"/>
              <w:right w:val="nil"/>
            </w:tcBorders>
            <w:shd w:val="clear" w:color="auto" w:fill="auto"/>
            <w:noWrap/>
            <w:vAlign w:val="bottom"/>
            <w:hideMark/>
          </w:tcPr>
          <w:p w14:paraId="118E13A0" w14:textId="73E135AA"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4,51 %</w:t>
            </w:r>
          </w:p>
        </w:tc>
      </w:tr>
      <w:tr w:rsidR="00B64E96" w:rsidRPr="00730B1E" w14:paraId="0210A5BA" w14:textId="77777777" w:rsidTr="00525C94">
        <w:trPr>
          <w:trHeight w:val="315"/>
        </w:trPr>
        <w:tc>
          <w:tcPr>
            <w:tcW w:w="1960" w:type="dxa"/>
            <w:tcBorders>
              <w:top w:val="nil"/>
              <w:left w:val="nil"/>
              <w:bottom w:val="single" w:sz="4" w:space="0" w:color="auto"/>
              <w:right w:val="nil"/>
            </w:tcBorders>
            <w:shd w:val="clear" w:color="auto" w:fill="auto"/>
            <w:noWrap/>
            <w:vAlign w:val="bottom"/>
            <w:hideMark/>
          </w:tcPr>
          <w:p w14:paraId="42512E46" w14:textId="77777777" w:rsidR="0060730C" w:rsidRPr="00730B1E" w:rsidRDefault="0060730C" w:rsidP="0060730C">
            <w:pPr>
              <w:spacing w:line="240" w:lineRule="auto"/>
              <w:jc w:val="left"/>
              <w:rPr>
                <w:rFonts w:eastAsia="Times New Roman"/>
                <w:szCs w:val="24"/>
                <w:lang w:eastAsia="cs-CZ"/>
              </w:rPr>
            </w:pPr>
            <w:r w:rsidRPr="00730B1E">
              <w:rPr>
                <w:rFonts w:eastAsia="Times New Roman"/>
                <w:szCs w:val="24"/>
                <w:lang w:eastAsia="cs-CZ"/>
              </w:rPr>
              <w:t>KS Plzeň</w:t>
            </w:r>
          </w:p>
        </w:tc>
        <w:tc>
          <w:tcPr>
            <w:tcW w:w="1780" w:type="dxa"/>
            <w:tcBorders>
              <w:top w:val="nil"/>
              <w:left w:val="nil"/>
              <w:bottom w:val="single" w:sz="4" w:space="0" w:color="auto"/>
              <w:right w:val="nil"/>
            </w:tcBorders>
            <w:shd w:val="clear" w:color="auto" w:fill="auto"/>
            <w:noWrap/>
            <w:vAlign w:val="bottom"/>
            <w:hideMark/>
          </w:tcPr>
          <w:p w14:paraId="3F6907B9" w14:textId="77159822"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82,01 %</w:t>
            </w:r>
          </w:p>
        </w:tc>
        <w:tc>
          <w:tcPr>
            <w:tcW w:w="1780" w:type="dxa"/>
            <w:tcBorders>
              <w:top w:val="nil"/>
              <w:left w:val="nil"/>
              <w:bottom w:val="single" w:sz="4" w:space="0" w:color="auto"/>
              <w:right w:val="nil"/>
            </w:tcBorders>
            <w:shd w:val="clear" w:color="auto" w:fill="auto"/>
            <w:noWrap/>
            <w:vAlign w:val="bottom"/>
            <w:hideMark/>
          </w:tcPr>
          <w:p w14:paraId="3B5A2B4F" w14:textId="755DB833"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9,95 %</w:t>
            </w:r>
          </w:p>
        </w:tc>
        <w:tc>
          <w:tcPr>
            <w:tcW w:w="1780" w:type="dxa"/>
            <w:tcBorders>
              <w:top w:val="nil"/>
              <w:left w:val="nil"/>
              <w:bottom w:val="single" w:sz="4" w:space="0" w:color="auto"/>
              <w:right w:val="nil"/>
            </w:tcBorders>
            <w:shd w:val="clear" w:color="auto" w:fill="auto"/>
            <w:noWrap/>
            <w:vAlign w:val="bottom"/>
            <w:hideMark/>
          </w:tcPr>
          <w:p w14:paraId="0D3C4D25" w14:textId="215404EC"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3,37 %</w:t>
            </w:r>
          </w:p>
        </w:tc>
        <w:tc>
          <w:tcPr>
            <w:tcW w:w="1780" w:type="dxa"/>
            <w:tcBorders>
              <w:top w:val="nil"/>
              <w:left w:val="nil"/>
              <w:bottom w:val="single" w:sz="4" w:space="0" w:color="auto"/>
              <w:right w:val="nil"/>
            </w:tcBorders>
            <w:shd w:val="clear" w:color="auto" w:fill="auto"/>
            <w:noWrap/>
            <w:vAlign w:val="bottom"/>
            <w:hideMark/>
          </w:tcPr>
          <w:p w14:paraId="5D6836F1" w14:textId="4DD0C535"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4,67 %</w:t>
            </w:r>
          </w:p>
        </w:tc>
      </w:tr>
      <w:tr w:rsidR="00B64E96" w:rsidRPr="00730B1E" w14:paraId="69F6AEEE" w14:textId="77777777" w:rsidTr="00525C94">
        <w:trPr>
          <w:trHeight w:val="315"/>
        </w:trPr>
        <w:tc>
          <w:tcPr>
            <w:tcW w:w="1960" w:type="dxa"/>
            <w:tcBorders>
              <w:top w:val="nil"/>
              <w:left w:val="nil"/>
              <w:bottom w:val="single" w:sz="4" w:space="0" w:color="auto"/>
              <w:right w:val="nil"/>
            </w:tcBorders>
            <w:shd w:val="clear" w:color="auto" w:fill="auto"/>
            <w:noWrap/>
            <w:vAlign w:val="bottom"/>
            <w:hideMark/>
          </w:tcPr>
          <w:p w14:paraId="53B292CE" w14:textId="6A6F1CA6" w:rsidR="0060730C" w:rsidRPr="00730B1E" w:rsidRDefault="0060730C" w:rsidP="0060730C">
            <w:pPr>
              <w:spacing w:line="240" w:lineRule="auto"/>
              <w:jc w:val="left"/>
              <w:rPr>
                <w:rFonts w:eastAsia="Times New Roman"/>
                <w:szCs w:val="24"/>
                <w:lang w:eastAsia="cs-CZ"/>
              </w:rPr>
            </w:pPr>
            <w:r w:rsidRPr="00730B1E">
              <w:rPr>
                <w:rFonts w:eastAsia="Times New Roman"/>
                <w:szCs w:val="24"/>
                <w:lang w:eastAsia="cs-CZ"/>
              </w:rPr>
              <w:t>KS Ústí n</w:t>
            </w:r>
            <w:r w:rsidR="00512893" w:rsidRPr="00730B1E">
              <w:rPr>
                <w:rFonts w:eastAsia="Times New Roman"/>
                <w:szCs w:val="24"/>
                <w:lang w:eastAsia="cs-CZ"/>
              </w:rPr>
              <w:t>.</w:t>
            </w:r>
            <w:r w:rsidRPr="00730B1E">
              <w:rPr>
                <w:rFonts w:eastAsia="Times New Roman"/>
                <w:szCs w:val="24"/>
                <w:lang w:eastAsia="cs-CZ"/>
              </w:rPr>
              <w:t xml:space="preserve"> Labem</w:t>
            </w:r>
          </w:p>
        </w:tc>
        <w:tc>
          <w:tcPr>
            <w:tcW w:w="1780" w:type="dxa"/>
            <w:tcBorders>
              <w:top w:val="nil"/>
              <w:left w:val="nil"/>
              <w:bottom w:val="single" w:sz="4" w:space="0" w:color="auto"/>
              <w:right w:val="nil"/>
            </w:tcBorders>
            <w:shd w:val="clear" w:color="auto" w:fill="auto"/>
            <w:noWrap/>
            <w:vAlign w:val="bottom"/>
            <w:hideMark/>
          </w:tcPr>
          <w:p w14:paraId="04B6D88F" w14:textId="6FC489BE"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83,56 %</w:t>
            </w:r>
          </w:p>
        </w:tc>
        <w:tc>
          <w:tcPr>
            <w:tcW w:w="1780" w:type="dxa"/>
            <w:tcBorders>
              <w:top w:val="nil"/>
              <w:left w:val="nil"/>
              <w:bottom w:val="single" w:sz="4" w:space="0" w:color="auto"/>
              <w:right w:val="nil"/>
            </w:tcBorders>
            <w:shd w:val="clear" w:color="auto" w:fill="auto"/>
            <w:noWrap/>
            <w:vAlign w:val="bottom"/>
            <w:hideMark/>
          </w:tcPr>
          <w:p w14:paraId="759EA9C2" w14:textId="3365BF40"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9,56 %</w:t>
            </w:r>
          </w:p>
        </w:tc>
        <w:tc>
          <w:tcPr>
            <w:tcW w:w="1780" w:type="dxa"/>
            <w:tcBorders>
              <w:top w:val="nil"/>
              <w:left w:val="nil"/>
              <w:bottom w:val="single" w:sz="4" w:space="0" w:color="auto"/>
              <w:right w:val="nil"/>
            </w:tcBorders>
            <w:shd w:val="clear" w:color="auto" w:fill="auto"/>
            <w:noWrap/>
            <w:vAlign w:val="bottom"/>
            <w:hideMark/>
          </w:tcPr>
          <w:p w14:paraId="62E36013" w14:textId="3C685BA1"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3,21 %</w:t>
            </w:r>
          </w:p>
        </w:tc>
        <w:tc>
          <w:tcPr>
            <w:tcW w:w="1780" w:type="dxa"/>
            <w:tcBorders>
              <w:top w:val="nil"/>
              <w:left w:val="nil"/>
              <w:bottom w:val="single" w:sz="4" w:space="0" w:color="auto"/>
              <w:right w:val="nil"/>
            </w:tcBorders>
            <w:shd w:val="clear" w:color="auto" w:fill="auto"/>
            <w:noWrap/>
            <w:vAlign w:val="bottom"/>
            <w:hideMark/>
          </w:tcPr>
          <w:p w14:paraId="47E9A89F" w14:textId="51E55725"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3,67 %</w:t>
            </w:r>
          </w:p>
        </w:tc>
      </w:tr>
      <w:tr w:rsidR="00B64E96" w:rsidRPr="00730B1E" w14:paraId="3F43168A" w14:textId="77777777" w:rsidTr="00525C94">
        <w:trPr>
          <w:trHeight w:val="315"/>
        </w:trPr>
        <w:tc>
          <w:tcPr>
            <w:tcW w:w="1960" w:type="dxa"/>
            <w:tcBorders>
              <w:top w:val="nil"/>
              <w:left w:val="nil"/>
              <w:bottom w:val="single" w:sz="4" w:space="0" w:color="auto"/>
              <w:right w:val="nil"/>
            </w:tcBorders>
            <w:shd w:val="clear" w:color="auto" w:fill="auto"/>
            <w:noWrap/>
            <w:vAlign w:val="bottom"/>
            <w:hideMark/>
          </w:tcPr>
          <w:p w14:paraId="37A1D221" w14:textId="43AAECBD" w:rsidR="0060730C" w:rsidRPr="00730B1E" w:rsidRDefault="0060730C" w:rsidP="0060730C">
            <w:pPr>
              <w:spacing w:line="240" w:lineRule="auto"/>
              <w:jc w:val="left"/>
              <w:rPr>
                <w:rFonts w:eastAsia="Times New Roman"/>
                <w:szCs w:val="24"/>
                <w:lang w:eastAsia="cs-CZ"/>
              </w:rPr>
            </w:pPr>
            <w:r w:rsidRPr="00730B1E">
              <w:rPr>
                <w:rFonts w:eastAsia="Times New Roman"/>
                <w:szCs w:val="24"/>
                <w:lang w:eastAsia="cs-CZ"/>
              </w:rPr>
              <w:t>KS Hr</w:t>
            </w:r>
            <w:r w:rsidR="00512893" w:rsidRPr="00730B1E">
              <w:rPr>
                <w:rFonts w:eastAsia="Times New Roman"/>
                <w:szCs w:val="24"/>
                <w:lang w:eastAsia="cs-CZ"/>
              </w:rPr>
              <w:t>.</w:t>
            </w:r>
            <w:r w:rsidRPr="00730B1E">
              <w:rPr>
                <w:rFonts w:eastAsia="Times New Roman"/>
                <w:szCs w:val="24"/>
                <w:lang w:eastAsia="cs-CZ"/>
              </w:rPr>
              <w:t xml:space="preserve"> Králové</w:t>
            </w:r>
          </w:p>
        </w:tc>
        <w:tc>
          <w:tcPr>
            <w:tcW w:w="1780" w:type="dxa"/>
            <w:tcBorders>
              <w:top w:val="nil"/>
              <w:left w:val="nil"/>
              <w:bottom w:val="single" w:sz="4" w:space="0" w:color="auto"/>
              <w:right w:val="nil"/>
            </w:tcBorders>
            <w:shd w:val="clear" w:color="auto" w:fill="auto"/>
            <w:noWrap/>
            <w:vAlign w:val="bottom"/>
            <w:hideMark/>
          </w:tcPr>
          <w:p w14:paraId="56070485" w14:textId="4FE427F9"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80,85 %</w:t>
            </w:r>
          </w:p>
        </w:tc>
        <w:tc>
          <w:tcPr>
            <w:tcW w:w="1780" w:type="dxa"/>
            <w:tcBorders>
              <w:top w:val="nil"/>
              <w:left w:val="nil"/>
              <w:bottom w:val="single" w:sz="4" w:space="0" w:color="auto"/>
              <w:right w:val="nil"/>
            </w:tcBorders>
            <w:shd w:val="clear" w:color="auto" w:fill="auto"/>
            <w:noWrap/>
            <w:vAlign w:val="bottom"/>
            <w:hideMark/>
          </w:tcPr>
          <w:p w14:paraId="6645358F" w14:textId="34EADA38"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10,45 %</w:t>
            </w:r>
          </w:p>
        </w:tc>
        <w:tc>
          <w:tcPr>
            <w:tcW w:w="1780" w:type="dxa"/>
            <w:tcBorders>
              <w:top w:val="nil"/>
              <w:left w:val="nil"/>
              <w:bottom w:val="single" w:sz="4" w:space="0" w:color="auto"/>
              <w:right w:val="nil"/>
            </w:tcBorders>
            <w:shd w:val="clear" w:color="auto" w:fill="auto"/>
            <w:noWrap/>
            <w:vAlign w:val="bottom"/>
            <w:hideMark/>
          </w:tcPr>
          <w:p w14:paraId="0824A796" w14:textId="2C7F21F5"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3,86 %</w:t>
            </w:r>
          </w:p>
        </w:tc>
        <w:tc>
          <w:tcPr>
            <w:tcW w:w="1780" w:type="dxa"/>
            <w:tcBorders>
              <w:top w:val="nil"/>
              <w:left w:val="nil"/>
              <w:bottom w:val="single" w:sz="4" w:space="0" w:color="auto"/>
              <w:right w:val="nil"/>
            </w:tcBorders>
            <w:shd w:val="clear" w:color="auto" w:fill="auto"/>
            <w:noWrap/>
            <w:vAlign w:val="bottom"/>
            <w:hideMark/>
          </w:tcPr>
          <w:p w14:paraId="013DE9E8" w14:textId="3F77C344"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4,85 %</w:t>
            </w:r>
          </w:p>
        </w:tc>
      </w:tr>
      <w:tr w:rsidR="00B64E96" w:rsidRPr="00730B1E" w14:paraId="77EEE1D3" w14:textId="77777777" w:rsidTr="00525C94">
        <w:trPr>
          <w:trHeight w:val="315"/>
        </w:trPr>
        <w:tc>
          <w:tcPr>
            <w:tcW w:w="1960" w:type="dxa"/>
            <w:tcBorders>
              <w:top w:val="nil"/>
              <w:left w:val="nil"/>
              <w:bottom w:val="single" w:sz="4" w:space="0" w:color="auto"/>
              <w:right w:val="nil"/>
            </w:tcBorders>
            <w:shd w:val="clear" w:color="auto" w:fill="auto"/>
            <w:noWrap/>
            <w:vAlign w:val="bottom"/>
            <w:hideMark/>
          </w:tcPr>
          <w:p w14:paraId="0BC47AE3" w14:textId="77777777" w:rsidR="0060730C" w:rsidRPr="00730B1E" w:rsidRDefault="0060730C" w:rsidP="0060730C">
            <w:pPr>
              <w:spacing w:line="240" w:lineRule="auto"/>
              <w:jc w:val="left"/>
              <w:rPr>
                <w:rFonts w:eastAsia="Times New Roman"/>
                <w:szCs w:val="24"/>
                <w:lang w:eastAsia="cs-CZ"/>
              </w:rPr>
            </w:pPr>
            <w:r w:rsidRPr="00730B1E">
              <w:rPr>
                <w:rFonts w:eastAsia="Times New Roman"/>
                <w:szCs w:val="24"/>
                <w:lang w:eastAsia="cs-CZ"/>
              </w:rPr>
              <w:t>KS Brno</w:t>
            </w:r>
          </w:p>
        </w:tc>
        <w:tc>
          <w:tcPr>
            <w:tcW w:w="1780" w:type="dxa"/>
            <w:tcBorders>
              <w:top w:val="nil"/>
              <w:left w:val="nil"/>
              <w:bottom w:val="single" w:sz="4" w:space="0" w:color="auto"/>
              <w:right w:val="nil"/>
            </w:tcBorders>
            <w:shd w:val="clear" w:color="auto" w:fill="auto"/>
            <w:noWrap/>
            <w:vAlign w:val="bottom"/>
            <w:hideMark/>
          </w:tcPr>
          <w:p w14:paraId="0BAB11BD" w14:textId="192F77DD"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80,28 %</w:t>
            </w:r>
          </w:p>
        </w:tc>
        <w:tc>
          <w:tcPr>
            <w:tcW w:w="1780" w:type="dxa"/>
            <w:tcBorders>
              <w:top w:val="nil"/>
              <w:left w:val="nil"/>
              <w:bottom w:val="single" w:sz="4" w:space="0" w:color="auto"/>
              <w:right w:val="nil"/>
            </w:tcBorders>
            <w:shd w:val="clear" w:color="auto" w:fill="auto"/>
            <w:noWrap/>
            <w:vAlign w:val="bottom"/>
            <w:hideMark/>
          </w:tcPr>
          <w:p w14:paraId="3CD426C6" w14:textId="62FCDA9D"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10,00 %</w:t>
            </w:r>
          </w:p>
        </w:tc>
        <w:tc>
          <w:tcPr>
            <w:tcW w:w="1780" w:type="dxa"/>
            <w:tcBorders>
              <w:top w:val="nil"/>
              <w:left w:val="nil"/>
              <w:bottom w:val="single" w:sz="4" w:space="0" w:color="auto"/>
              <w:right w:val="nil"/>
            </w:tcBorders>
            <w:shd w:val="clear" w:color="auto" w:fill="auto"/>
            <w:noWrap/>
            <w:vAlign w:val="bottom"/>
            <w:hideMark/>
          </w:tcPr>
          <w:p w14:paraId="31E04CBA" w14:textId="69B9A610"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3,93 %</w:t>
            </w:r>
          </w:p>
        </w:tc>
        <w:tc>
          <w:tcPr>
            <w:tcW w:w="1780" w:type="dxa"/>
            <w:tcBorders>
              <w:top w:val="nil"/>
              <w:left w:val="nil"/>
              <w:bottom w:val="single" w:sz="4" w:space="0" w:color="auto"/>
              <w:right w:val="nil"/>
            </w:tcBorders>
            <w:shd w:val="clear" w:color="auto" w:fill="auto"/>
            <w:noWrap/>
            <w:vAlign w:val="bottom"/>
            <w:hideMark/>
          </w:tcPr>
          <w:p w14:paraId="04EC4A66" w14:textId="206F04ED"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5,78 %</w:t>
            </w:r>
          </w:p>
        </w:tc>
      </w:tr>
      <w:tr w:rsidR="00B64E96" w:rsidRPr="00730B1E" w14:paraId="04FCCCFF" w14:textId="77777777" w:rsidTr="00525C94">
        <w:trPr>
          <w:trHeight w:val="330"/>
        </w:trPr>
        <w:tc>
          <w:tcPr>
            <w:tcW w:w="1960" w:type="dxa"/>
            <w:tcBorders>
              <w:top w:val="nil"/>
              <w:left w:val="nil"/>
              <w:bottom w:val="double" w:sz="6" w:space="0" w:color="auto"/>
              <w:right w:val="nil"/>
            </w:tcBorders>
            <w:shd w:val="clear" w:color="auto" w:fill="auto"/>
            <w:noWrap/>
            <w:vAlign w:val="bottom"/>
            <w:hideMark/>
          </w:tcPr>
          <w:p w14:paraId="225A5364" w14:textId="77777777" w:rsidR="0060730C" w:rsidRPr="00730B1E" w:rsidRDefault="0060730C" w:rsidP="0060730C">
            <w:pPr>
              <w:spacing w:line="240" w:lineRule="auto"/>
              <w:jc w:val="left"/>
              <w:rPr>
                <w:rFonts w:eastAsia="Times New Roman"/>
                <w:szCs w:val="24"/>
                <w:lang w:eastAsia="cs-CZ"/>
              </w:rPr>
            </w:pPr>
            <w:r w:rsidRPr="00730B1E">
              <w:rPr>
                <w:rFonts w:eastAsia="Times New Roman"/>
                <w:szCs w:val="24"/>
                <w:lang w:eastAsia="cs-CZ"/>
              </w:rPr>
              <w:t>KS Ostrava</w:t>
            </w:r>
          </w:p>
        </w:tc>
        <w:tc>
          <w:tcPr>
            <w:tcW w:w="1780" w:type="dxa"/>
            <w:tcBorders>
              <w:top w:val="nil"/>
              <w:left w:val="nil"/>
              <w:bottom w:val="double" w:sz="6" w:space="0" w:color="auto"/>
              <w:right w:val="nil"/>
            </w:tcBorders>
            <w:shd w:val="clear" w:color="auto" w:fill="auto"/>
            <w:noWrap/>
            <w:vAlign w:val="bottom"/>
            <w:hideMark/>
          </w:tcPr>
          <w:p w14:paraId="7E3DE0FE" w14:textId="10D18B55"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84,91 %</w:t>
            </w:r>
          </w:p>
        </w:tc>
        <w:tc>
          <w:tcPr>
            <w:tcW w:w="1780" w:type="dxa"/>
            <w:tcBorders>
              <w:top w:val="nil"/>
              <w:left w:val="nil"/>
              <w:bottom w:val="double" w:sz="6" w:space="0" w:color="auto"/>
              <w:right w:val="nil"/>
            </w:tcBorders>
            <w:shd w:val="clear" w:color="auto" w:fill="auto"/>
            <w:noWrap/>
            <w:vAlign w:val="bottom"/>
            <w:hideMark/>
          </w:tcPr>
          <w:p w14:paraId="26ED5CEC" w14:textId="5614D3A1"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8,36 %</w:t>
            </w:r>
          </w:p>
        </w:tc>
        <w:tc>
          <w:tcPr>
            <w:tcW w:w="1780" w:type="dxa"/>
            <w:tcBorders>
              <w:top w:val="nil"/>
              <w:left w:val="nil"/>
              <w:bottom w:val="double" w:sz="6" w:space="0" w:color="auto"/>
              <w:right w:val="nil"/>
            </w:tcBorders>
            <w:shd w:val="clear" w:color="auto" w:fill="auto"/>
            <w:noWrap/>
            <w:vAlign w:val="bottom"/>
            <w:hideMark/>
          </w:tcPr>
          <w:p w14:paraId="7B128BE5" w14:textId="57072DB9"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2,95 %</w:t>
            </w:r>
          </w:p>
        </w:tc>
        <w:tc>
          <w:tcPr>
            <w:tcW w:w="1780" w:type="dxa"/>
            <w:tcBorders>
              <w:top w:val="nil"/>
              <w:left w:val="nil"/>
              <w:bottom w:val="double" w:sz="6" w:space="0" w:color="auto"/>
              <w:right w:val="nil"/>
            </w:tcBorders>
            <w:shd w:val="clear" w:color="auto" w:fill="auto"/>
            <w:noWrap/>
            <w:vAlign w:val="bottom"/>
            <w:hideMark/>
          </w:tcPr>
          <w:p w14:paraId="118DB8F2" w14:textId="32EC54DC"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3,78 %</w:t>
            </w:r>
          </w:p>
        </w:tc>
      </w:tr>
      <w:tr w:rsidR="00B64E96" w:rsidRPr="00730B1E" w14:paraId="20ACD446" w14:textId="77777777" w:rsidTr="00525C94">
        <w:trPr>
          <w:trHeight w:val="345"/>
        </w:trPr>
        <w:tc>
          <w:tcPr>
            <w:tcW w:w="1960" w:type="dxa"/>
            <w:tcBorders>
              <w:top w:val="nil"/>
              <w:left w:val="nil"/>
              <w:bottom w:val="double" w:sz="6" w:space="0" w:color="auto"/>
              <w:right w:val="nil"/>
            </w:tcBorders>
            <w:shd w:val="clear" w:color="auto" w:fill="auto"/>
            <w:noWrap/>
            <w:vAlign w:val="bottom"/>
            <w:hideMark/>
          </w:tcPr>
          <w:p w14:paraId="71510523" w14:textId="77777777" w:rsidR="0060730C" w:rsidRPr="00730B1E" w:rsidRDefault="0060730C" w:rsidP="0060730C">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80" w:type="dxa"/>
            <w:tcBorders>
              <w:top w:val="nil"/>
              <w:left w:val="nil"/>
              <w:bottom w:val="double" w:sz="6" w:space="0" w:color="auto"/>
              <w:right w:val="nil"/>
            </w:tcBorders>
            <w:shd w:val="clear" w:color="auto" w:fill="auto"/>
            <w:noWrap/>
            <w:vAlign w:val="bottom"/>
            <w:hideMark/>
          </w:tcPr>
          <w:p w14:paraId="4C3EF9E3" w14:textId="67A0BFF1"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 xml:space="preserve">80,20 % </w:t>
            </w:r>
          </w:p>
        </w:tc>
        <w:tc>
          <w:tcPr>
            <w:tcW w:w="1780" w:type="dxa"/>
            <w:tcBorders>
              <w:top w:val="nil"/>
              <w:left w:val="nil"/>
              <w:bottom w:val="double" w:sz="6" w:space="0" w:color="auto"/>
              <w:right w:val="nil"/>
            </w:tcBorders>
            <w:shd w:val="clear" w:color="auto" w:fill="auto"/>
            <w:noWrap/>
            <w:vAlign w:val="bottom"/>
            <w:hideMark/>
          </w:tcPr>
          <w:p w14:paraId="27056224" w14:textId="514EC05F"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 xml:space="preserve">10,00 % </w:t>
            </w:r>
          </w:p>
        </w:tc>
        <w:tc>
          <w:tcPr>
            <w:tcW w:w="1780" w:type="dxa"/>
            <w:tcBorders>
              <w:top w:val="nil"/>
              <w:left w:val="nil"/>
              <w:bottom w:val="double" w:sz="6" w:space="0" w:color="auto"/>
              <w:right w:val="nil"/>
            </w:tcBorders>
            <w:shd w:val="clear" w:color="auto" w:fill="auto"/>
            <w:noWrap/>
            <w:vAlign w:val="bottom"/>
            <w:hideMark/>
          </w:tcPr>
          <w:p w14:paraId="1492CF67" w14:textId="34934351"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 xml:space="preserve">4,11 % </w:t>
            </w:r>
          </w:p>
        </w:tc>
        <w:tc>
          <w:tcPr>
            <w:tcW w:w="1780" w:type="dxa"/>
            <w:tcBorders>
              <w:top w:val="nil"/>
              <w:left w:val="nil"/>
              <w:bottom w:val="double" w:sz="6" w:space="0" w:color="auto"/>
              <w:right w:val="nil"/>
            </w:tcBorders>
            <w:shd w:val="clear" w:color="auto" w:fill="auto"/>
            <w:noWrap/>
            <w:vAlign w:val="bottom"/>
            <w:hideMark/>
          </w:tcPr>
          <w:p w14:paraId="5F2B7177" w14:textId="0F48DFBC"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5,70 %</w:t>
            </w:r>
          </w:p>
        </w:tc>
      </w:tr>
      <w:tr w:rsidR="00B64E96" w:rsidRPr="00730B1E" w14:paraId="0E0E37A3" w14:textId="77777777" w:rsidTr="00525C94">
        <w:trPr>
          <w:trHeight w:val="330"/>
        </w:trPr>
        <w:tc>
          <w:tcPr>
            <w:tcW w:w="1960" w:type="dxa"/>
            <w:tcBorders>
              <w:top w:val="nil"/>
              <w:left w:val="nil"/>
              <w:bottom w:val="nil"/>
              <w:right w:val="nil"/>
            </w:tcBorders>
            <w:shd w:val="clear" w:color="auto" w:fill="auto"/>
            <w:noWrap/>
            <w:vAlign w:val="bottom"/>
            <w:hideMark/>
          </w:tcPr>
          <w:p w14:paraId="21584671" w14:textId="77777777" w:rsidR="0060730C" w:rsidRPr="00730B1E" w:rsidRDefault="0060730C" w:rsidP="0060730C">
            <w:pPr>
              <w:spacing w:line="240" w:lineRule="auto"/>
              <w:jc w:val="center"/>
              <w:rPr>
                <w:rFonts w:eastAsia="Times New Roman"/>
                <w:b/>
                <w:bCs/>
                <w:szCs w:val="24"/>
                <w:lang w:eastAsia="cs-CZ"/>
              </w:rPr>
            </w:pPr>
          </w:p>
        </w:tc>
        <w:tc>
          <w:tcPr>
            <w:tcW w:w="1780" w:type="dxa"/>
            <w:tcBorders>
              <w:top w:val="nil"/>
              <w:left w:val="nil"/>
              <w:bottom w:val="nil"/>
              <w:right w:val="nil"/>
            </w:tcBorders>
            <w:shd w:val="clear" w:color="auto" w:fill="auto"/>
            <w:noWrap/>
            <w:vAlign w:val="bottom"/>
            <w:hideMark/>
          </w:tcPr>
          <w:p w14:paraId="52931BB1" w14:textId="77777777" w:rsidR="0060730C" w:rsidRPr="00DF07F3" w:rsidRDefault="0060730C" w:rsidP="0060730C">
            <w:pPr>
              <w:spacing w:line="240" w:lineRule="auto"/>
              <w:jc w:val="left"/>
              <w:rPr>
                <w:sz w:val="20"/>
              </w:rPr>
            </w:pPr>
          </w:p>
        </w:tc>
        <w:tc>
          <w:tcPr>
            <w:tcW w:w="1780" w:type="dxa"/>
            <w:tcBorders>
              <w:top w:val="nil"/>
              <w:left w:val="nil"/>
              <w:bottom w:val="nil"/>
              <w:right w:val="nil"/>
            </w:tcBorders>
            <w:shd w:val="clear" w:color="auto" w:fill="auto"/>
            <w:noWrap/>
            <w:vAlign w:val="bottom"/>
            <w:hideMark/>
          </w:tcPr>
          <w:p w14:paraId="709A2971" w14:textId="77777777" w:rsidR="0060730C" w:rsidRPr="00DF07F3" w:rsidRDefault="0060730C" w:rsidP="0060730C">
            <w:pPr>
              <w:spacing w:line="240" w:lineRule="auto"/>
              <w:jc w:val="left"/>
              <w:rPr>
                <w:sz w:val="20"/>
              </w:rPr>
            </w:pPr>
          </w:p>
        </w:tc>
        <w:tc>
          <w:tcPr>
            <w:tcW w:w="1780" w:type="dxa"/>
            <w:tcBorders>
              <w:top w:val="nil"/>
              <w:left w:val="nil"/>
              <w:bottom w:val="nil"/>
              <w:right w:val="nil"/>
            </w:tcBorders>
            <w:shd w:val="clear" w:color="auto" w:fill="auto"/>
            <w:noWrap/>
            <w:vAlign w:val="bottom"/>
            <w:hideMark/>
          </w:tcPr>
          <w:p w14:paraId="6534D394" w14:textId="77777777" w:rsidR="0060730C" w:rsidRPr="00DF07F3" w:rsidRDefault="0060730C" w:rsidP="0060730C">
            <w:pPr>
              <w:spacing w:line="240" w:lineRule="auto"/>
              <w:jc w:val="left"/>
              <w:rPr>
                <w:sz w:val="20"/>
              </w:rPr>
            </w:pPr>
          </w:p>
        </w:tc>
        <w:tc>
          <w:tcPr>
            <w:tcW w:w="1780" w:type="dxa"/>
            <w:tcBorders>
              <w:top w:val="nil"/>
              <w:left w:val="nil"/>
              <w:bottom w:val="nil"/>
              <w:right w:val="nil"/>
            </w:tcBorders>
            <w:shd w:val="clear" w:color="auto" w:fill="auto"/>
            <w:noWrap/>
            <w:vAlign w:val="bottom"/>
            <w:hideMark/>
          </w:tcPr>
          <w:p w14:paraId="36A5B49A" w14:textId="77777777" w:rsidR="0060730C" w:rsidRPr="00DF07F3" w:rsidRDefault="0060730C" w:rsidP="0060730C">
            <w:pPr>
              <w:spacing w:line="240" w:lineRule="auto"/>
              <w:jc w:val="left"/>
              <w:rPr>
                <w:sz w:val="20"/>
              </w:rPr>
            </w:pPr>
          </w:p>
        </w:tc>
      </w:tr>
    </w:tbl>
    <w:p w14:paraId="313EE552" w14:textId="79AA57CB" w:rsidR="00217993" w:rsidRPr="00730B1E" w:rsidRDefault="00217993" w:rsidP="00217993">
      <w:pPr>
        <w:pStyle w:val="OdstavecASR"/>
      </w:pPr>
      <w:r w:rsidRPr="00730B1E">
        <w:t xml:space="preserve">V tabulce vidíme, že u okresních soudů jsou souzeny </w:t>
      </w:r>
      <w:r w:rsidR="00512893" w:rsidRPr="00730B1E">
        <w:t xml:space="preserve">převážně </w:t>
      </w:r>
      <w:r w:rsidRPr="00730B1E">
        <w:t xml:space="preserve">spory o </w:t>
      </w:r>
      <w:r w:rsidR="00512893" w:rsidRPr="00730B1E">
        <w:t xml:space="preserve">menší </w:t>
      </w:r>
      <w:r w:rsidRPr="00730B1E">
        <w:t>částky. Asi 80 % přiznaných nároků bylo do 20 000 Kč. Často se jedná například o nezaplacené pojistné, nezaplacenou pokutu za jízdu na černo či úhrady za dodávky elektrické energie, plynu nebo tepla.</w:t>
      </w:r>
    </w:p>
    <w:p w14:paraId="22C617D8" w14:textId="35C1135B" w:rsidR="00217993" w:rsidRPr="00730B1E" w:rsidRDefault="00512893" w:rsidP="00217993">
      <w:pPr>
        <w:pStyle w:val="OdstavecASR"/>
      </w:pPr>
      <w:r w:rsidRPr="00730B1E">
        <w:t xml:space="preserve">Stejně jako v předchozích letech </w:t>
      </w:r>
      <w:r w:rsidR="00A50D80" w:rsidRPr="00730B1E">
        <w:t xml:space="preserve">se </w:t>
      </w:r>
      <w:r w:rsidR="00EC6C5A" w:rsidRPr="00730B1E">
        <w:t xml:space="preserve">Mezi soudními kraji </w:t>
      </w:r>
      <w:r w:rsidR="00217993" w:rsidRPr="00730B1E">
        <w:t>značně odlišuje Praha</w:t>
      </w:r>
      <w:r w:rsidRPr="00730B1E">
        <w:t xml:space="preserve">, kde se vyskytuje </w:t>
      </w:r>
      <w:r w:rsidR="00A50D80" w:rsidRPr="00730B1E">
        <w:t>u</w:t>
      </w:r>
      <w:r w:rsidR="00EC6C5A" w:rsidRPr="00730B1E">
        <w:t xml:space="preserve"> pražských obvodních soudů </w:t>
      </w:r>
      <w:r w:rsidR="00217993" w:rsidRPr="00730B1E">
        <w:t>méně sporů do 20 000 Kč (stále ale 70 %) a více sporů s výší přiznaného nároku 50 001 Kč až 100 000 (cca 7 %) a sporů s přiznanou výš</w:t>
      </w:r>
      <w:r w:rsidR="004022E1" w:rsidRPr="00730B1E">
        <w:t>í</w:t>
      </w:r>
      <w:r w:rsidR="00217993" w:rsidRPr="00730B1E">
        <w:t xml:space="preserve"> nároku nad 100 000 Kč – cca 11 %.</w:t>
      </w:r>
    </w:p>
    <w:p w14:paraId="0CA61302" w14:textId="0DE442E8" w:rsidR="00FE02C8" w:rsidRPr="00730B1E" w:rsidRDefault="00FE02C8" w:rsidP="00FE02C8">
      <w:pPr>
        <w:pStyle w:val="Titulek"/>
        <w:keepNext/>
        <w:rPr>
          <w:color w:val="auto"/>
          <w:sz w:val="24"/>
          <w:szCs w:val="24"/>
        </w:rPr>
      </w:pPr>
      <w:bookmarkStart w:id="280" w:name="_Toc43931220"/>
      <w:bookmarkStart w:id="281" w:name="_Toc169251072"/>
      <w:bookmarkStart w:id="282" w:name="_Toc174080758"/>
      <w:r w:rsidRPr="00730B1E">
        <w:rPr>
          <w:color w:val="auto"/>
          <w:sz w:val="24"/>
          <w:szCs w:val="24"/>
        </w:rPr>
        <w:t xml:space="preserve">Tabulka </w:t>
      </w:r>
      <w:r w:rsidRPr="00730B1E">
        <w:rPr>
          <w:color w:val="auto"/>
          <w:sz w:val="24"/>
          <w:szCs w:val="24"/>
        </w:rPr>
        <w:fldChar w:fldCharType="begin"/>
      </w:r>
      <w:r w:rsidRPr="00730B1E">
        <w:rPr>
          <w:color w:val="auto"/>
          <w:sz w:val="24"/>
          <w:szCs w:val="24"/>
        </w:rPr>
        <w:instrText xml:space="preserve"> SEQ Tabulka \* ARABIC </w:instrText>
      </w:r>
      <w:r w:rsidRPr="00730B1E">
        <w:rPr>
          <w:color w:val="auto"/>
          <w:sz w:val="24"/>
          <w:szCs w:val="24"/>
        </w:rPr>
        <w:fldChar w:fldCharType="separate"/>
      </w:r>
      <w:r w:rsidR="00056825">
        <w:rPr>
          <w:noProof/>
          <w:color w:val="auto"/>
          <w:sz w:val="24"/>
          <w:szCs w:val="24"/>
        </w:rPr>
        <w:t>15</w:t>
      </w:r>
      <w:r w:rsidRPr="00730B1E">
        <w:rPr>
          <w:noProof/>
          <w:color w:val="auto"/>
          <w:sz w:val="24"/>
          <w:szCs w:val="24"/>
        </w:rPr>
        <w:fldChar w:fldCharType="end"/>
      </w:r>
      <w:r w:rsidRPr="00730B1E">
        <w:rPr>
          <w:noProof/>
          <w:color w:val="auto"/>
          <w:sz w:val="24"/>
          <w:szCs w:val="24"/>
        </w:rPr>
        <w:t xml:space="preserve">: </w:t>
      </w:r>
      <w:r w:rsidR="00512893" w:rsidRPr="00730B1E">
        <w:rPr>
          <w:noProof/>
          <w:color w:val="auto"/>
          <w:sz w:val="24"/>
          <w:szCs w:val="24"/>
        </w:rPr>
        <w:t xml:space="preserve">OS </w:t>
      </w:r>
      <w:r w:rsidRPr="00730B1E">
        <w:rPr>
          <w:noProof/>
          <w:color w:val="auto"/>
          <w:sz w:val="24"/>
          <w:szCs w:val="24"/>
        </w:rPr>
        <w:t xml:space="preserve">– výše přiznaných nároků v letech </w:t>
      </w:r>
      <w:r w:rsidR="00E50FFD" w:rsidRPr="00730B1E">
        <w:rPr>
          <w:noProof/>
          <w:color w:val="auto"/>
          <w:sz w:val="24"/>
          <w:szCs w:val="24"/>
        </w:rPr>
        <w:t>2014</w:t>
      </w:r>
      <w:r w:rsidRPr="00730B1E">
        <w:rPr>
          <w:noProof/>
          <w:color w:val="auto"/>
          <w:sz w:val="24"/>
          <w:szCs w:val="24"/>
        </w:rPr>
        <w:t>–20</w:t>
      </w:r>
      <w:bookmarkEnd w:id="280"/>
      <w:r w:rsidR="0060730C" w:rsidRPr="00730B1E">
        <w:rPr>
          <w:noProof/>
          <w:color w:val="auto"/>
          <w:sz w:val="24"/>
          <w:szCs w:val="24"/>
        </w:rPr>
        <w:t>23</w:t>
      </w:r>
      <w:bookmarkEnd w:id="281"/>
      <w:bookmarkEnd w:id="282"/>
    </w:p>
    <w:tbl>
      <w:tblPr>
        <w:tblW w:w="9072" w:type="dxa"/>
        <w:tblLayout w:type="fixed"/>
        <w:tblCellMar>
          <w:left w:w="70" w:type="dxa"/>
          <w:right w:w="70" w:type="dxa"/>
        </w:tblCellMar>
        <w:tblLook w:val="04A0" w:firstRow="1" w:lastRow="0" w:firstColumn="1" w:lastColumn="0" w:noHBand="0" w:noVBand="1"/>
      </w:tblPr>
      <w:tblGrid>
        <w:gridCol w:w="1080"/>
        <w:gridCol w:w="1998"/>
        <w:gridCol w:w="1998"/>
        <w:gridCol w:w="1998"/>
        <w:gridCol w:w="1998"/>
      </w:tblGrid>
      <w:tr w:rsidR="00B64E96" w:rsidRPr="00730B1E" w14:paraId="4AD9B9FA" w14:textId="77777777" w:rsidTr="00A50D80">
        <w:trPr>
          <w:trHeight w:val="345"/>
        </w:trPr>
        <w:tc>
          <w:tcPr>
            <w:tcW w:w="1080" w:type="dxa"/>
            <w:tcBorders>
              <w:top w:val="double" w:sz="6" w:space="0" w:color="auto"/>
              <w:left w:val="nil"/>
              <w:bottom w:val="double" w:sz="6" w:space="0" w:color="auto"/>
              <w:right w:val="nil"/>
            </w:tcBorders>
            <w:shd w:val="clear" w:color="auto" w:fill="auto"/>
            <w:noWrap/>
            <w:vAlign w:val="center"/>
            <w:hideMark/>
          </w:tcPr>
          <w:p w14:paraId="45592ED4"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Rok</w:t>
            </w:r>
          </w:p>
        </w:tc>
        <w:tc>
          <w:tcPr>
            <w:tcW w:w="1998" w:type="dxa"/>
            <w:tcBorders>
              <w:top w:val="double" w:sz="6" w:space="0" w:color="auto"/>
              <w:left w:val="nil"/>
              <w:bottom w:val="double" w:sz="6" w:space="0" w:color="auto"/>
              <w:right w:val="nil"/>
            </w:tcBorders>
            <w:shd w:val="clear" w:color="auto" w:fill="auto"/>
            <w:noWrap/>
            <w:vAlign w:val="center"/>
            <w:hideMark/>
          </w:tcPr>
          <w:p w14:paraId="09664892"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1–20 000</w:t>
            </w:r>
          </w:p>
        </w:tc>
        <w:tc>
          <w:tcPr>
            <w:tcW w:w="1998" w:type="dxa"/>
            <w:tcBorders>
              <w:top w:val="double" w:sz="6" w:space="0" w:color="auto"/>
              <w:left w:val="nil"/>
              <w:bottom w:val="double" w:sz="6" w:space="0" w:color="auto"/>
              <w:right w:val="nil"/>
            </w:tcBorders>
            <w:shd w:val="clear" w:color="auto" w:fill="auto"/>
            <w:noWrap/>
            <w:vAlign w:val="center"/>
            <w:hideMark/>
          </w:tcPr>
          <w:p w14:paraId="33FABC71"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20 001–50 000</w:t>
            </w:r>
          </w:p>
        </w:tc>
        <w:tc>
          <w:tcPr>
            <w:tcW w:w="1998" w:type="dxa"/>
            <w:tcBorders>
              <w:top w:val="double" w:sz="6" w:space="0" w:color="auto"/>
              <w:left w:val="nil"/>
              <w:bottom w:val="double" w:sz="6" w:space="0" w:color="auto"/>
              <w:right w:val="nil"/>
            </w:tcBorders>
            <w:shd w:val="clear" w:color="auto" w:fill="auto"/>
            <w:noWrap/>
            <w:vAlign w:val="center"/>
            <w:hideMark/>
          </w:tcPr>
          <w:p w14:paraId="351C05C1"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50 001–100 000</w:t>
            </w:r>
          </w:p>
        </w:tc>
        <w:tc>
          <w:tcPr>
            <w:tcW w:w="1998" w:type="dxa"/>
            <w:tcBorders>
              <w:top w:val="double" w:sz="6" w:space="0" w:color="auto"/>
              <w:left w:val="nil"/>
              <w:bottom w:val="double" w:sz="6" w:space="0" w:color="auto"/>
              <w:right w:val="nil"/>
            </w:tcBorders>
            <w:shd w:val="clear" w:color="auto" w:fill="auto"/>
            <w:noWrap/>
            <w:vAlign w:val="center"/>
            <w:hideMark/>
          </w:tcPr>
          <w:p w14:paraId="0F159AA1" w14:textId="77777777" w:rsidR="0060730C" w:rsidRPr="00730B1E" w:rsidRDefault="0060730C" w:rsidP="0060730C">
            <w:pPr>
              <w:spacing w:line="240" w:lineRule="auto"/>
              <w:jc w:val="center"/>
              <w:rPr>
                <w:rFonts w:eastAsia="Times New Roman"/>
                <w:b/>
                <w:bCs/>
                <w:szCs w:val="24"/>
                <w:lang w:eastAsia="cs-CZ"/>
              </w:rPr>
            </w:pPr>
            <w:r w:rsidRPr="00730B1E">
              <w:rPr>
                <w:rFonts w:eastAsia="Times New Roman"/>
                <w:b/>
                <w:bCs/>
                <w:szCs w:val="24"/>
                <w:lang w:eastAsia="cs-CZ"/>
              </w:rPr>
              <w:t>100 001 a více</w:t>
            </w:r>
          </w:p>
        </w:tc>
      </w:tr>
      <w:tr w:rsidR="00B64E96" w:rsidRPr="00730B1E" w14:paraId="2C4AF4A8" w14:textId="77777777" w:rsidTr="00A50D80">
        <w:trPr>
          <w:trHeight w:val="330"/>
        </w:trPr>
        <w:tc>
          <w:tcPr>
            <w:tcW w:w="1080" w:type="dxa"/>
            <w:tcBorders>
              <w:top w:val="single" w:sz="4" w:space="0" w:color="auto"/>
              <w:left w:val="nil"/>
              <w:bottom w:val="single" w:sz="4" w:space="0" w:color="auto"/>
              <w:right w:val="nil"/>
            </w:tcBorders>
            <w:shd w:val="clear" w:color="auto" w:fill="auto"/>
            <w:noWrap/>
            <w:vAlign w:val="center"/>
            <w:hideMark/>
          </w:tcPr>
          <w:p w14:paraId="1DC07B19"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2014</w:t>
            </w:r>
          </w:p>
        </w:tc>
        <w:tc>
          <w:tcPr>
            <w:tcW w:w="1998" w:type="dxa"/>
            <w:tcBorders>
              <w:top w:val="nil"/>
              <w:left w:val="nil"/>
              <w:bottom w:val="nil"/>
              <w:right w:val="nil"/>
            </w:tcBorders>
            <w:shd w:val="clear" w:color="auto" w:fill="auto"/>
            <w:noWrap/>
            <w:vAlign w:val="center"/>
            <w:hideMark/>
          </w:tcPr>
          <w:p w14:paraId="7C3F284C" w14:textId="121A0E8B"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71</w:t>
            </w:r>
            <w:r w:rsidR="00A50D80" w:rsidRPr="00730B1E">
              <w:rPr>
                <w:rFonts w:eastAsia="Times New Roman"/>
                <w:szCs w:val="24"/>
                <w:lang w:eastAsia="cs-CZ"/>
              </w:rPr>
              <w:t>,</w:t>
            </w:r>
            <w:r w:rsidRPr="00730B1E">
              <w:rPr>
                <w:rFonts w:eastAsia="Times New Roman"/>
                <w:szCs w:val="24"/>
                <w:lang w:eastAsia="cs-CZ"/>
              </w:rPr>
              <w:t>84 %</w:t>
            </w:r>
          </w:p>
        </w:tc>
        <w:tc>
          <w:tcPr>
            <w:tcW w:w="1998" w:type="dxa"/>
            <w:tcBorders>
              <w:top w:val="nil"/>
              <w:left w:val="nil"/>
              <w:bottom w:val="nil"/>
              <w:right w:val="nil"/>
            </w:tcBorders>
            <w:shd w:val="clear" w:color="auto" w:fill="auto"/>
            <w:noWrap/>
            <w:vAlign w:val="center"/>
            <w:hideMark/>
          </w:tcPr>
          <w:p w14:paraId="1DF9F0FC" w14:textId="5720B503"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13</w:t>
            </w:r>
            <w:r w:rsidR="00A50D80" w:rsidRPr="00730B1E">
              <w:rPr>
                <w:rFonts w:eastAsia="Times New Roman"/>
                <w:szCs w:val="24"/>
                <w:lang w:eastAsia="cs-CZ"/>
              </w:rPr>
              <w:t>,</w:t>
            </w:r>
            <w:r w:rsidRPr="00730B1E">
              <w:rPr>
                <w:rFonts w:eastAsia="Times New Roman"/>
                <w:szCs w:val="24"/>
                <w:lang w:eastAsia="cs-CZ"/>
              </w:rPr>
              <w:t>24 %</w:t>
            </w:r>
          </w:p>
        </w:tc>
        <w:tc>
          <w:tcPr>
            <w:tcW w:w="1998" w:type="dxa"/>
            <w:tcBorders>
              <w:top w:val="nil"/>
              <w:left w:val="nil"/>
              <w:bottom w:val="nil"/>
              <w:right w:val="nil"/>
            </w:tcBorders>
            <w:shd w:val="clear" w:color="auto" w:fill="auto"/>
            <w:noWrap/>
            <w:vAlign w:val="center"/>
            <w:hideMark/>
          </w:tcPr>
          <w:p w14:paraId="189EB350" w14:textId="052B6C24"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w:t>
            </w:r>
            <w:r w:rsidR="00A50D80" w:rsidRPr="00730B1E">
              <w:rPr>
                <w:rFonts w:eastAsia="Times New Roman"/>
                <w:szCs w:val="24"/>
                <w:lang w:eastAsia="cs-CZ"/>
              </w:rPr>
              <w:t>,</w:t>
            </w:r>
            <w:r w:rsidRPr="00730B1E">
              <w:rPr>
                <w:rFonts w:eastAsia="Times New Roman"/>
                <w:szCs w:val="24"/>
                <w:lang w:eastAsia="cs-CZ"/>
              </w:rPr>
              <w:t>69 %</w:t>
            </w:r>
          </w:p>
        </w:tc>
        <w:tc>
          <w:tcPr>
            <w:tcW w:w="1998" w:type="dxa"/>
            <w:tcBorders>
              <w:top w:val="nil"/>
              <w:left w:val="nil"/>
              <w:bottom w:val="nil"/>
              <w:right w:val="nil"/>
            </w:tcBorders>
            <w:shd w:val="clear" w:color="auto" w:fill="auto"/>
            <w:noWrap/>
            <w:vAlign w:val="center"/>
            <w:hideMark/>
          </w:tcPr>
          <w:p w14:paraId="1B51CDA5" w14:textId="51B9C186"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w:t>
            </w:r>
            <w:r w:rsidR="00A50D80" w:rsidRPr="00730B1E">
              <w:rPr>
                <w:rFonts w:eastAsia="Times New Roman"/>
                <w:szCs w:val="24"/>
                <w:lang w:eastAsia="cs-CZ"/>
              </w:rPr>
              <w:t>,</w:t>
            </w:r>
            <w:r w:rsidRPr="00730B1E">
              <w:rPr>
                <w:rFonts w:eastAsia="Times New Roman"/>
                <w:szCs w:val="24"/>
                <w:lang w:eastAsia="cs-CZ"/>
              </w:rPr>
              <w:t>22 %</w:t>
            </w:r>
          </w:p>
        </w:tc>
      </w:tr>
      <w:tr w:rsidR="00B64E96" w:rsidRPr="00730B1E" w14:paraId="2D58160B" w14:textId="77777777" w:rsidTr="00A50D80">
        <w:trPr>
          <w:trHeight w:val="315"/>
        </w:trPr>
        <w:tc>
          <w:tcPr>
            <w:tcW w:w="1080" w:type="dxa"/>
            <w:tcBorders>
              <w:top w:val="nil"/>
              <w:left w:val="nil"/>
              <w:bottom w:val="single" w:sz="4" w:space="0" w:color="auto"/>
              <w:right w:val="nil"/>
            </w:tcBorders>
            <w:shd w:val="clear" w:color="auto" w:fill="auto"/>
            <w:noWrap/>
            <w:vAlign w:val="center"/>
            <w:hideMark/>
          </w:tcPr>
          <w:p w14:paraId="52988FF8"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2015</w:t>
            </w:r>
          </w:p>
        </w:tc>
        <w:tc>
          <w:tcPr>
            <w:tcW w:w="1998" w:type="dxa"/>
            <w:tcBorders>
              <w:top w:val="single" w:sz="4" w:space="0" w:color="auto"/>
              <w:left w:val="nil"/>
              <w:bottom w:val="single" w:sz="4" w:space="0" w:color="auto"/>
              <w:right w:val="nil"/>
            </w:tcBorders>
            <w:shd w:val="clear" w:color="auto" w:fill="auto"/>
            <w:noWrap/>
            <w:vAlign w:val="center"/>
            <w:hideMark/>
          </w:tcPr>
          <w:p w14:paraId="41D80D1D" w14:textId="29D45B8E"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68</w:t>
            </w:r>
            <w:r w:rsidR="00A50D80" w:rsidRPr="00730B1E">
              <w:rPr>
                <w:rFonts w:eastAsia="Times New Roman"/>
                <w:szCs w:val="24"/>
                <w:lang w:eastAsia="cs-CZ"/>
              </w:rPr>
              <w:t>,</w:t>
            </w:r>
            <w:r w:rsidRPr="00730B1E">
              <w:rPr>
                <w:rFonts w:eastAsia="Times New Roman"/>
                <w:szCs w:val="24"/>
                <w:lang w:eastAsia="cs-CZ"/>
              </w:rPr>
              <w:t>30 %</w:t>
            </w:r>
          </w:p>
        </w:tc>
        <w:tc>
          <w:tcPr>
            <w:tcW w:w="1998" w:type="dxa"/>
            <w:tcBorders>
              <w:top w:val="single" w:sz="4" w:space="0" w:color="auto"/>
              <w:left w:val="nil"/>
              <w:bottom w:val="single" w:sz="4" w:space="0" w:color="auto"/>
              <w:right w:val="nil"/>
            </w:tcBorders>
            <w:shd w:val="clear" w:color="auto" w:fill="auto"/>
            <w:noWrap/>
            <w:vAlign w:val="center"/>
            <w:hideMark/>
          </w:tcPr>
          <w:p w14:paraId="187BDA38" w14:textId="08C434C2"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15</w:t>
            </w:r>
            <w:r w:rsidR="00A50D80" w:rsidRPr="00730B1E">
              <w:rPr>
                <w:rFonts w:eastAsia="Times New Roman"/>
                <w:szCs w:val="24"/>
                <w:lang w:eastAsia="cs-CZ"/>
              </w:rPr>
              <w:t>,</w:t>
            </w:r>
            <w:r w:rsidRPr="00730B1E">
              <w:rPr>
                <w:rFonts w:eastAsia="Times New Roman"/>
                <w:szCs w:val="24"/>
                <w:lang w:eastAsia="cs-CZ"/>
              </w:rPr>
              <w:t>02 %</w:t>
            </w:r>
          </w:p>
        </w:tc>
        <w:tc>
          <w:tcPr>
            <w:tcW w:w="1998" w:type="dxa"/>
            <w:tcBorders>
              <w:top w:val="single" w:sz="4" w:space="0" w:color="auto"/>
              <w:left w:val="nil"/>
              <w:bottom w:val="single" w:sz="4" w:space="0" w:color="auto"/>
              <w:right w:val="nil"/>
            </w:tcBorders>
            <w:shd w:val="clear" w:color="auto" w:fill="auto"/>
            <w:noWrap/>
            <w:vAlign w:val="center"/>
            <w:hideMark/>
          </w:tcPr>
          <w:p w14:paraId="626F5129" w14:textId="37CFE780"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w:t>
            </w:r>
            <w:r w:rsidR="00A50D80" w:rsidRPr="00730B1E">
              <w:rPr>
                <w:rFonts w:eastAsia="Times New Roman"/>
                <w:szCs w:val="24"/>
                <w:lang w:eastAsia="cs-CZ"/>
              </w:rPr>
              <w:t>,</w:t>
            </w:r>
            <w:r w:rsidRPr="00730B1E">
              <w:rPr>
                <w:rFonts w:eastAsia="Times New Roman"/>
                <w:szCs w:val="24"/>
                <w:lang w:eastAsia="cs-CZ"/>
              </w:rPr>
              <w:t>31 %</w:t>
            </w:r>
          </w:p>
        </w:tc>
        <w:tc>
          <w:tcPr>
            <w:tcW w:w="1998" w:type="dxa"/>
            <w:tcBorders>
              <w:top w:val="single" w:sz="4" w:space="0" w:color="auto"/>
              <w:left w:val="nil"/>
              <w:bottom w:val="single" w:sz="4" w:space="0" w:color="auto"/>
              <w:right w:val="nil"/>
            </w:tcBorders>
            <w:shd w:val="clear" w:color="auto" w:fill="auto"/>
            <w:noWrap/>
            <w:vAlign w:val="center"/>
            <w:hideMark/>
          </w:tcPr>
          <w:p w14:paraId="63898249" w14:textId="5D303F3F"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w:t>
            </w:r>
            <w:r w:rsidR="00A50D80" w:rsidRPr="00730B1E">
              <w:rPr>
                <w:rFonts w:eastAsia="Times New Roman"/>
                <w:szCs w:val="24"/>
                <w:lang w:eastAsia="cs-CZ"/>
              </w:rPr>
              <w:t>,</w:t>
            </w:r>
            <w:r w:rsidRPr="00730B1E">
              <w:rPr>
                <w:rFonts w:eastAsia="Times New Roman"/>
                <w:szCs w:val="24"/>
                <w:lang w:eastAsia="cs-CZ"/>
              </w:rPr>
              <w:t>37 %</w:t>
            </w:r>
          </w:p>
        </w:tc>
      </w:tr>
      <w:tr w:rsidR="00B64E96" w:rsidRPr="00730B1E" w14:paraId="27E6398E" w14:textId="77777777" w:rsidTr="00A50D80">
        <w:trPr>
          <w:trHeight w:val="315"/>
        </w:trPr>
        <w:tc>
          <w:tcPr>
            <w:tcW w:w="1080" w:type="dxa"/>
            <w:tcBorders>
              <w:top w:val="nil"/>
              <w:left w:val="nil"/>
              <w:bottom w:val="single" w:sz="4" w:space="0" w:color="auto"/>
              <w:right w:val="nil"/>
            </w:tcBorders>
            <w:shd w:val="clear" w:color="auto" w:fill="auto"/>
            <w:noWrap/>
            <w:vAlign w:val="center"/>
            <w:hideMark/>
          </w:tcPr>
          <w:p w14:paraId="27527093"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2016</w:t>
            </w:r>
          </w:p>
        </w:tc>
        <w:tc>
          <w:tcPr>
            <w:tcW w:w="1998" w:type="dxa"/>
            <w:tcBorders>
              <w:top w:val="nil"/>
              <w:left w:val="nil"/>
              <w:bottom w:val="single" w:sz="4" w:space="0" w:color="auto"/>
              <w:right w:val="nil"/>
            </w:tcBorders>
            <w:shd w:val="clear" w:color="auto" w:fill="auto"/>
            <w:noWrap/>
            <w:vAlign w:val="center"/>
            <w:hideMark/>
          </w:tcPr>
          <w:p w14:paraId="20B5834F" w14:textId="0BECC6E2"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68</w:t>
            </w:r>
            <w:r w:rsidR="00A50D80" w:rsidRPr="00730B1E">
              <w:rPr>
                <w:rFonts w:eastAsia="Times New Roman"/>
                <w:szCs w:val="24"/>
                <w:lang w:eastAsia="cs-CZ"/>
              </w:rPr>
              <w:t>,</w:t>
            </w:r>
            <w:r w:rsidRPr="00730B1E">
              <w:rPr>
                <w:rFonts w:eastAsia="Times New Roman"/>
                <w:szCs w:val="24"/>
                <w:lang w:eastAsia="cs-CZ"/>
              </w:rPr>
              <w:t>99 %</w:t>
            </w:r>
          </w:p>
        </w:tc>
        <w:tc>
          <w:tcPr>
            <w:tcW w:w="1998" w:type="dxa"/>
            <w:tcBorders>
              <w:top w:val="nil"/>
              <w:left w:val="nil"/>
              <w:bottom w:val="single" w:sz="4" w:space="0" w:color="auto"/>
              <w:right w:val="nil"/>
            </w:tcBorders>
            <w:shd w:val="clear" w:color="auto" w:fill="auto"/>
            <w:noWrap/>
            <w:vAlign w:val="center"/>
            <w:hideMark/>
          </w:tcPr>
          <w:p w14:paraId="6E7B213F" w14:textId="4AC89581"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15</w:t>
            </w:r>
            <w:r w:rsidR="00A50D80" w:rsidRPr="00730B1E">
              <w:rPr>
                <w:rFonts w:eastAsia="Times New Roman"/>
                <w:szCs w:val="24"/>
                <w:lang w:eastAsia="cs-CZ"/>
              </w:rPr>
              <w:t>,</w:t>
            </w:r>
            <w:r w:rsidRPr="00730B1E">
              <w:rPr>
                <w:rFonts w:eastAsia="Times New Roman"/>
                <w:szCs w:val="24"/>
                <w:lang w:eastAsia="cs-CZ"/>
              </w:rPr>
              <w:t>15 %</w:t>
            </w:r>
          </w:p>
        </w:tc>
        <w:tc>
          <w:tcPr>
            <w:tcW w:w="1998" w:type="dxa"/>
            <w:tcBorders>
              <w:top w:val="nil"/>
              <w:left w:val="nil"/>
              <w:bottom w:val="single" w:sz="4" w:space="0" w:color="auto"/>
              <w:right w:val="nil"/>
            </w:tcBorders>
            <w:shd w:val="clear" w:color="auto" w:fill="auto"/>
            <w:noWrap/>
            <w:vAlign w:val="center"/>
            <w:hideMark/>
          </w:tcPr>
          <w:p w14:paraId="04B76CE5" w14:textId="3694ADC5"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w:t>
            </w:r>
            <w:r w:rsidR="00A50D80" w:rsidRPr="00730B1E">
              <w:rPr>
                <w:rFonts w:eastAsia="Times New Roman"/>
                <w:szCs w:val="24"/>
                <w:lang w:eastAsia="cs-CZ"/>
              </w:rPr>
              <w:t>,</w:t>
            </w:r>
            <w:r w:rsidRPr="00730B1E">
              <w:rPr>
                <w:rFonts w:eastAsia="Times New Roman"/>
                <w:szCs w:val="24"/>
                <w:lang w:eastAsia="cs-CZ"/>
              </w:rPr>
              <w:t>52 %</w:t>
            </w:r>
          </w:p>
        </w:tc>
        <w:tc>
          <w:tcPr>
            <w:tcW w:w="1998" w:type="dxa"/>
            <w:tcBorders>
              <w:top w:val="nil"/>
              <w:left w:val="nil"/>
              <w:bottom w:val="single" w:sz="4" w:space="0" w:color="auto"/>
              <w:right w:val="nil"/>
            </w:tcBorders>
            <w:shd w:val="clear" w:color="auto" w:fill="auto"/>
            <w:noWrap/>
            <w:vAlign w:val="center"/>
            <w:hideMark/>
          </w:tcPr>
          <w:p w14:paraId="0BD93C2D" w14:textId="71EAE3A9"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w:t>
            </w:r>
            <w:r w:rsidR="00A50D80" w:rsidRPr="00730B1E">
              <w:rPr>
                <w:rFonts w:eastAsia="Times New Roman"/>
                <w:szCs w:val="24"/>
                <w:lang w:eastAsia="cs-CZ"/>
              </w:rPr>
              <w:t>,</w:t>
            </w:r>
            <w:r w:rsidRPr="00730B1E">
              <w:rPr>
                <w:rFonts w:eastAsia="Times New Roman"/>
                <w:szCs w:val="24"/>
                <w:lang w:eastAsia="cs-CZ"/>
              </w:rPr>
              <w:t>33 %</w:t>
            </w:r>
          </w:p>
        </w:tc>
      </w:tr>
      <w:tr w:rsidR="00B64E96" w:rsidRPr="00730B1E" w14:paraId="7E8AB90B" w14:textId="77777777" w:rsidTr="00A50D80">
        <w:trPr>
          <w:trHeight w:val="315"/>
        </w:trPr>
        <w:tc>
          <w:tcPr>
            <w:tcW w:w="1080" w:type="dxa"/>
            <w:tcBorders>
              <w:top w:val="nil"/>
              <w:left w:val="nil"/>
              <w:bottom w:val="single" w:sz="4" w:space="0" w:color="auto"/>
              <w:right w:val="nil"/>
            </w:tcBorders>
            <w:shd w:val="clear" w:color="auto" w:fill="auto"/>
            <w:noWrap/>
            <w:vAlign w:val="center"/>
            <w:hideMark/>
          </w:tcPr>
          <w:p w14:paraId="463AC0B2"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2017</w:t>
            </w:r>
          </w:p>
        </w:tc>
        <w:tc>
          <w:tcPr>
            <w:tcW w:w="1998" w:type="dxa"/>
            <w:tcBorders>
              <w:top w:val="nil"/>
              <w:left w:val="nil"/>
              <w:bottom w:val="single" w:sz="4" w:space="0" w:color="auto"/>
              <w:right w:val="nil"/>
            </w:tcBorders>
            <w:shd w:val="clear" w:color="auto" w:fill="auto"/>
            <w:noWrap/>
            <w:vAlign w:val="center"/>
            <w:hideMark/>
          </w:tcPr>
          <w:p w14:paraId="56FF4AC6" w14:textId="60C6E878"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74</w:t>
            </w:r>
            <w:r w:rsidR="00A50D80" w:rsidRPr="00730B1E">
              <w:rPr>
                <w:rFonts w:eastAsia="Times New Roman"/>
                <w:szCs w:val="24"/>
                <w:lang w:eastAsia="cs-CZ"/>
              </w:rPr>
              <w:t>,</w:t>
            </w:r>
            <w:r w:rsidRPr="00730B1E">
              <w:rPr>
                <w:rFonts w:eastAsia="Times New Roman"/>
                <w:szCs w:val="24"/>
                <w:lang w:eastAsia="cs-CZ"/>
              </w:rPr>
              <w:t>55 %</w:t>
            </w:r>
          </w:p>
        </w:tc>
        <w:tc>
          <w:tcPr>
            <w:tcW w:w="1998" w:type="dxa"/>
            <w:tcBorders>
              <w:top w:val="nil"/>
              <w:left w:val="nil"/>
              <w:bottom w:val="single" w:sz="4" w:space="0" w:color="auto"/>
              <w:right w:val="nil"/>
            </w:tcBorders>
            <w:shd w:val="clear" w:color="auto" w:fill="auto"/>
            <w:noWrap/>
            <w:vAlign w:val="center"/>
            <w:hideMark/>
          </w:tcPr>
          <w:p w14:paraId="1AE46D2B" w14:textId="79347C88"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12</w:t>
            </w:r>
            <w:r w:rsidR="00A50D80" w:rsidRPr="00730B1E">
              <w:rPr>
                <w:rFonts w:eastAsia="Times New Roman"/>
                <w:szCs w:val="24"/>
                <w:lang w:eastAsia="cs-CZ"/>
              </w:rPr>
              <w:t>,</w:t>
            </w:r>
            <w:r w:rsidRPr="00730B1E">
              <w:rPr>
                <w:rFonts w:eastAsia="Times New Roman"/>
                <w:szCs w:val="24"/>
                <w:lang w:eastAsia="cs-CZ"/>
              </w:rPr>
              <w:t>59 %</w:t>
            </w:r>
          </w:p>
        </w:tc>
        <w:tc>
          <w:tcPr>
            <w:tcW w:w="1998" w:type="dxa"/>
            <w:tcBorders>
              <w:top w:val="nil"/>
              <w:left w:val="nil"/>
              <w:bottom w:val="single" w:sz="4" w:space="0" w:color="auto"/>
              <w:right w:val="nil"/>
            </w:tcBorders>
            <w:shd w:val="clear" w:color="auto" w:fill="auto"/>
            <w:noWrap/>
            <w:vAlign w:val="center"/>
            <w:hideMark/>
          </w:tcPr>
          <w:p w14:paraId="483CB8ED" w14:textId="589129A9"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w:t>
            </w:r>
            <w:r w:rsidR="00A50D80" w:rsidRPr="00730B1E">
              <w:rPr>
                <w:rFonts w:eastAsia="Times New Roman"/>
                <w:szCs w:val="24"/>
                <w:lang w:eastAsia="cs-CZ"/>
              </w:rPr>
              <w:t>,</w:t>
            </w:r>
            <w:r w:rsidRPr="00730B1E">
              <w:rPr>
                <w:rFonts w:eastAsia="Times New Roman"/>
                <w:szCs w:val="24"/>
                <w:lang w:eastAsia="cs-CZ"/>
              </w:rPr>
              <w:t>68 %</w:t>
            </w:r>
          </w:p>
        </w:tc>
        <w:tc>
          <w:tcPr>
            <w:tcW w:w="1998" w:type="dxa"/>
            <w:tcBorders>
              <w:top w:val="nil"/>
              <w:left w:val="nil"/>
              <w:bottom w:val="single" w:sz="4" w:space="0" w:color="auto"/>
              <w:right w:val="nil"/>
            </w:tcBorders>
            <w:shd w:val="clear" w:color="auto" w:fill="auto"/>
            <w:noWrap/>
            <w:vAlign w:val="center"/>
            <w:hideMark/>
          </w:tcPr>
          <w:p w14:paraId="5C8F3FAD" w14:textId="724A322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w:t>
            </w:r>
            <w:r w:rsidR="00A50D80" w:rsidRPr="00730B1E">
              <w:rPr>
                <w:rFonts w:eastAsia="Times New Roman"/>
                <w:szCs w:val="24"/>
                <w:lang w:eastAsia="cs-CZ"/>
              </w:rPr>
              <w:t>,</w:t>
            </w:r>
            <w:r w:rsidRPr="00730B1E">
              <w:rPr>
                <w:rFonts w:eastAsia="Times New Roman"/>
                <w:szCs w:val="24"/>
                <w:lang w:eastAsia="cs-CZ"/>
              </w:rPr>
              <w:t>17 %</w:t>
            </w:r>
          </w:p>
        </w:tc>
      </w:tr>
      <w:tr w:rsidR="00B64E96" w:rsidRPr="00730B1E" w14:paraId="2FEB5178" w14:textId="77777777" w:rsidTr="00A50D80">
        <w:trPr>
          <w:trHeight w:val="315"/>
        </w:trPr>
        <w:tc>
          <w:tcPr>
            <w:tcW w:w="1080" w:type="dxa"/>
            <w:tcBorders>
              <w:top w:val="nil"/>
              <w:left w:val="nil"/>
              <w:bottom w:val="single" w:sz="4" w:space="0" w:color="auto"/>
              <w:right w:val="nil"/>
            </w:tcBorders>
            <w:shd w:val="clear" w:color="auto" w:fill="auto"/>
            <w:noWrap/>
            <w:vAlign w:val="center"/>
            <w:hideMark/>
          </w:tcPr>
          <w:p w14:paraId="2AE9DC19"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2018</w:t>
            </w:r>
          </w:p>
        </w:tc>
        <w:tc>
          <w:tcPr>
            <w:tcW w:w="1998" w:type="dxa"/>
            <w:tcBorders>
              <w:top w:val="nil"/>
              <w:left w:val="nil"/>
              <w:bottom w:val="single" w:sz="4" w:space="0" w:color="auto"/>
              <w:right w:val="nil"/>
            </w:tcBorders>
            <w:shd w:val="clear" w:color="auto" w:fill="auto"/>
            <w:noWrap/>
            <w:vAlign w:val="center"/>
            <w:hideMark/>
          </w:tcPr>
          <w:p w14:paraId="68AD83B8" w14:textId="0A57B47E"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75</w:t>
            </w:r>
            <w:r w:rsidR="00A50D80" w:rsidRPr="00730B1E">
              <w:rPr>
                <w:rFonts w:eastAsia="Times New Roman"/>
                <w:szCs w:val="24"/>
                <w:lang w:eastAsia="cs-CZ"/>
              </w:rPr>
              <w:t>,</w:t>
            </w:r>
            <w:r w:rsidRPr="00730B1E">
              <w:rPr>
                <w:rFonts w:eastAsia="Times New Roman"/>
                <w:szCs w:val="24"/>
                <w:lang w:eastAsia="cs-CZ"/>
              </w:rPr>
              <w:t>34 %</w:t>
            </w:r>
          </w:p>
        </w:tc>
        <w:tc>
          <w:tcPr>
            <w:tcW w:w="1998" w:type="dxa"/>
            <w:tcBorders>
              <w:top w:val="nil"/>
              <w:left w:val="nil"/>
              <w:bottom w:val="single" w:sz="4" w:space="0" w:color="auto"/>
              <w:right w:val="nil"/>
            </w:tcBorders>
            <w:shd w:val="clear" w:color="auto" w:fill="auto"/>
            <w:noWrap/>
            <w:vAlign w:val="center"/>
            <w:hideMark/>
          </w:tcPr>
          <w:p w14:paraId="63A32579" w14:textId="4FE6C400"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13</w:t>
            </w:r>
            <w:r w:rsidR="00A50D80" w:rsidRPr="00730B1E">
              <w:rPr>
                <w:rFonts w:eastAsia="Times New Roman"/>
                <w:szCs w:val="24"/>
                <w:lang w:eastAsia="cs-CZ"/>
              </w:rPr>
              <w:t>,</w:t>
            </w:r>
            <w:r w:rsidRPr="00730B1E">
              <w:rPr>
                <w:rFonts w:eastAsia="Times New Roman"/>
                <w:szCs w:val="24"/>
                <w:lang w:eastAsia="cs-CZ"/>
              </w:rPr>
              <w:t>09 %</w:t>
            </w:r>
          </w:p>
        </w:tc>
        <w:tc>
          <w:tcPr>
            <w:tcW w:w="1998" w:type="dxa"/>
            <w:tcBorders>
              <w:top w:val="nil"/>
              <w:left w:val="nil"/>
              <w:bottom w:val="single" w:sz="4" w:space="0" w:color="auto"/>
              <w:right w:val="nil"/>
            </w:tcBorders>
            <w:shd w:val="clear" w:color="auto" w:fill="auto"/>
            <w:noWrap/>
            <w:vAlign w:val="center"/>
            <w:hideMark/>
          </w:tcPr>
          <w:p w14:paraId="04E187ED" w14:textId="2E286052"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w:t>
            </w:r>
            <w:r w:rsidR="00A50D80" w:rsidRPr="00730B1E">
              <w:rPr>
                <w:rFonts w:eastAsia="Times New Roman"/>
                <w:szCs w:val="24"/>
                <w:lang w:eastAsia="cs-CZ"/>
              </w:rPr>
              <w:t>,</w:t>
            </w:r>
            <w:r w:rsidRPr="00730B1E">
              <w:rPr>
                <w:rFonts w:eastAsia="Times New Roman"/>
                <w:szCs w:val="24"/>
                <w:lang w:eastAsia="cs-CZ"/>
              </w:rPr>
              <w:t>29 %</w:t>
            </w:r>
          </w:p>
        </w:tc>
        <w:tc>
          <w:tcPr>
            <w:tcW w:w="1998" w:type="dxa"/>
            <w:tcBorders>
              <w:top w:val="nil"/>
              <w:left w:val="nil"/>
              <w:bottom w:val="single" w:sz="4" w:space="0" w:color="auto"/>
              <w:right w:val="nil"/>
            </w:tcBorders>
            <w:shd w:val="clear" w:color="auto" w:fill="auto"/>
            <w:noWrap/>
            <w:vAlign w:val="center"/>
            <w:hideMark/>
          </w:tcPr>
          <w:p w14:paraId="5B2830F7" w14:textId="5ABE6CA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6</w:t>
            </w:r>
            <w:r w:rsidR="00A50D80" w:rsidRPr="00730B1E">
              <w:rPr>
                <w:rFonts w:eastAsia="Times New Roman"/>
                <w:szCs w:val="24"/>
                <w:lang w:eastAsia="cs-CZ"/>
              </w:rPr>
              <w:t>,</w:t>
            </w:r>
            <w:r w:rsidRPr="00730B1E">
              <w:rPr>
                <w:rFonts w:eastAsia="Times New Roman"/>
                <w:szCs w:val="24"/>
                <w:lang w:eastAsia="cs-CZ"/>
              </w:rPr>
              <w:t>27 %</w:t>
            </w:r>
          </w:p>
        </w:tc>
      </w:tr>
      <w:tr w:rsidR="00B64E96" w:rsidRPr="00730B1E" w14:paraId="313193D0" w14:textId="77777777" w:rsidTr="00A50D80">
        <w:trPr>
          <w:trHeight w:val="315"/>
        </w:trPr>
        <w:tc>
          <w:tcPr>
            <w:tcW w:w="1080" w:type="dxa"/>
            <w:tcBorders>
              <w:top w:val="nil"/>
              <w:left w:val="nil"/>
              <w:bottom w:val="nil"/>
              <w:right w:val="nil"/>
            </w:tcBorders>
            <w:shd w:val="clear" w:color="auto" w:fill="auto"/>
            <w:noWrap/>
            <w:vAlign w:val="center"/>
            <w:hideMark/>
          </w:tcPr>
          <w:p w14:paraId="71A124FC"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2019</w:t>
            </w:r>
          </w:p>
        </w:tc>
        <w:tc>
          <w:tcPr>
            <w:tcW w:w="1998" w:type="dxa"/>
            <w:tcBorders>
              <w:top w:val="nil"/>
              <w:left w:val="nil"/>
              <w:bottom w:val="nil"/>
              <w:right w:val="nil"/>
            </w:tcBorders>
            <w:shd w:val="clear" w:color="auto" w:fill="auto"/>
            <w:noWrap/>
            <w:vAlign w:val="center"/>
            <w:hideMark/>
          </w:tcPr>
          <w:p w14:paraId="4E14C0D2" w14:textId="7FBDA044"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75</w:t>
            </w:r>
            <w:r w:rsidR="00A50D80" w:rsidRPr="00730B1E">
              <w:rPr>
                <w:rFonts w:eastAsia="Times New Roman"/>
                <w:szCs w:val="24"/>
                <w:lang w:eastAsia="cs-CZ"/>
              </w:rPr>
              <w:t>,</w:t>
            </w:r>
            <w:r w:rsidRPr="00730B1E">
              <w:rPr>
                <w:rFonts w:eastAsia="Times New Roman"/>
                <w:szCs w:val="24"/>
                <w:lang w:eastAsia="cs-CZ"/>
              </w:rPr>
              <w:t>55 %</w:t>
            </w:r>
          </w:p>
        </w:tc>
        <w:tc>
          <w:tcPr>
            <w:tcW w:w="1998" w:type="dxa"/>
            <w:tcBorders>
              <w:top w:val="nil"/>
              <w:left w:val="nil"/>
              <w:bottom w:val="nil"/>
              <w:right w:val="nil"/>
            </w:tcBorders>
            <w:shd w:val="clear" w:color="auto" w:fill="auto"/>
            <w:noWrap/>
            <w:vAlign w:val="center"/>
            <w:hideMark/>
          </w:tcPr>
          <w:p w14:paraId="0D361A13" w14:textId="0F627E96"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13</w:t>
            </w:r>
            <w:r w:rsidR="00A50D80" w:rsidRPr="00730B1E">
              <w:rPr>
                <w:rFonts w:eastAsia="Times New Roman"/>
                <w:szCs w:val="24"/>
                <w:lang w:eastAsia="cs-CZ"/>
              </w:rPr>
              <w:t>,</w:t>
            </w:r>
            <w:r w:rsidRPr="00730B1E">
              <w:rPr>
                <w:rFonts w:eastAsia="Times New Roman"/>
                <w:szCs w:val="24"/>
                <w:lang w:eastAsia="cs-CZ"/>
              </w:rPr>
              <w:t>25 %</w:t>
            </w:r>
          </w:p>
        </w:tc>
        <w:tc>
          <w:tcPr>
            <w:tcW w:w="1998" w:type="dxa"/>
            <w:tcBorders>
              <w:top w:val="nil"/>
              <w:left w:val="nil"/>
              <w:bottom w:val="nil"/>
              <w:right w:val="nil"/>
            </w:tcBorders>
            <w:shd w:val="clear" w:color="auto" w:fill="auto"/>
            <w:noWrap/>
            <w:vAlign w:val="center"/>
            <w:hideMark/>
          </w:tcPr>
          <w:p w14:paraId="6F92FFF3" w14:textId="7C3BEBB0"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w:t>
            </w:r>
            <w:r w:rsidR="00A50D80" w:rsidRPr="00730B1E">
              <w:rPr>
                <w:rFonts w:eastAsia="Times New Roman"/>
                <w:szCs w:val="24"/>
                <w:lang w:eastAsia="cs-CZ"/>
              </w:rPr>
              <w:t>,</w:t>
            </w:r>
            <w:r w:rsidRPr="00730B1E">
              <w:rPr>
                <w:rFonts w:eastAsia="Times New Roman"/>
                <w:szCs w:val="24"/>
                <w:lang w:eastAsia="cs-CZ"/>
              </w:rPr>
              <w:t>30 %</w:t>
            </w:r>
          </w:p>
        </w:tc>
        <w:tc>
          <w:tcPr>
            <w:tcW w:w="1998" w:type="dxa"/>
            <w:tcBorders>
              <w:top w:val="nil"/>
              <w:left w:val="nil"/>
              <w:bottom w:val="nil"/>
              <w:right w:val="nil"/>
            </w:tcBorders>
            <w:shd w:val="clear" w:color="auto" w:fill="auto"/>
            <w:noWrap/>
            <w:vAlign w:val="center"/>
            <w:hideMark/>
          </w:tcPr>
          <w:p w14:paraId="7571FE31" w14:textId="69B82173"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w:t>
            </w:r>
            <w:r w:rsidR="00A50D80" w:rsidRPr="00730B1E">
              <w:rPr>
                <w:rFonts w:eastAsia="Times New Roman"/>
                <w:szCs w:val="24"/>
                <w:lang w:eastAsia="cs-CZ"/>
              </w:rPr>
              <w:t>,</w:t>
            </w:r>
            <w:r w:rsidRPr="00730B1E">
              <w:rPr>
                <w:rFonts w:eastAsia="Times New Roman"/>
                <w:szCs w:val="24"/>
                <w:lang w:eastAsia="cs-CZ"/>
              </w:rPr>
              <w:t>89 %</w:t>
            </w:r>
          </w:p>
        </w:tc>
      </w:tr>
      <w:tr w:rsidR="00B64E96" w:rsidRPr="00730B1E" w14:paraId="11F1743F" w14:textId="77777777" w:rsidTr="00A50D80">
        <w:trPr>
          <w:trHeight w:val="330"/>
        </w:trPr>
        <w:tc>
          <w:tcPr>
            <w:tcW w:w="1080" w:type="dxa"/>
            <w:tcBorders>
              <w:top w:val="single" w:sz="4" w:space="0" w:color="auto"/>
              <w:left w:val="nil"/>
              <w:bottom w:val="single" w:sz="4" w:space="0" w:color="auto"/>
              <w:right w:val="nil"/>
            </w:tcBorders>
            <w:shd w:val="clear" w:color="auto" w:fill="auto"/>
            <w:noWrap/>
            <w:vAlign w:val="center"/>
            <w:hideMark/>
          </w:tcPr>
          <w:p w14:paraId="56006FB3"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2020</w:t>
            </w:r>
          </w:p>
        </w:tc>
        <w:tc>
          <w:tcPr>
            <w:tcW w:w="1998" w:type="dxa"/>
            <w:tcBorders>
              <w:top w:val="single" w:sz="4" w:space="0" w:color="auto"/>
              <w:left w:val="nil"/>
              <w:bottom w:val="single" w:sz="4" w:space="0" w:color="auto"/>
              <w:right w:val="nil"/>
            </w:tcBorders>
            <w:shd w:val="clear" w:color="auto" w:fill="auto"/>
            <w:noWrap/>
            <w:vAlign w:val="center"/>
            <w:hideMark/>
          </w:tcPr>
          <w:p w14:paraId="69C9F766" w14:textId="02ADE90F"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76</w:t>
            </w:r>
            <w:r w:rsidR="00A50D80" w:rsidRPr="00730B1E">
              <w:rPr>
                <w:rFonts w:eastAsia="Times New Roman"/>
                <w:szCs w:val="24"/>
                <w:lang w:eastAsia="cs-CZ"/>
              </w:rPr>
              <w:t>,</w:t>
            </w:r>
            <w:r w:rsidRPr="00730B1E">
              <w:rPr>
                <w:rFonts w:eastAsia="Times New Roman"/>
                <w:szCs w:val="24"/>
                <w:lang w:eastAsia="cs-CZ"/>
              </w:rPr>
              <w:t>31 %</w:t>
            </w:r>
          </w:p>
        </w:tc>
        <w:tc>
          <w:tcPr>
            <w:tcW w:w="1998" w:type="dxa"/>
            <w:tcBorders>
              <w:top w:val="single" w:sz="4" w:space="0" w:color="auto"/>
              <w:left w:val="nil"/>
              <w:bottom w:val="single" w:sz="4" w:space="0" w:color="auto"/>
              <w:right w:val="nil"/>
            </w:tcBorders>
            <w:shd w:val="clear" w:color="auto" w:fill="auto"/>
            <w:noWrap/>
            <w:vAlign w:val="center"/>
            <w:hideMark/>
          </w:tcPr>
          <w:p w14:paraId="0424E7F0" w14:textId="7D0A1D0E"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12</w:t>
            </w:r>
            <w:r w:rsidR="00A50D80" w:rsidRPr="00730B1E">
              <w:rPr>
                <w:rFonts w:eastAsia="Times New Roman"/>
                <w:szCs w:val="24"/>
                <w:lang w:eastAsia="cs-CZ"/>
              </w:rPr>
              <w:t>,</w:t>
            </w:r>
            <w:r w:rsidRPr="00730B1E">
              <w:rPr>
                <w:rFonts w:eastAsia="Times New Roman"/>
                <w:szCs w:val="24"/>
                <w:lang w:eastAsia="cs-CZ"/>
              </w:rPr>
              <w:t>11 %</w:t>
            </w:r>
          </w:p>
        </w:tc>
        <w:tc>
          <w:tcPr>
            <w:tcW w:w="1998" w:type="dxa"/>
            <w:tcBorders>
              <w:top w:val="single" w:sz="4" w:space="0" w:color="auto"/>
              <w:left w:val="nil"/>
              <w:bottom w:val="single" w:sz="4" w:space="0" w:color="auto"/>
              <w:right w:val="nil"/>
            </w:tcBorders>
            <w:shd w:val="clear" w:color="auto" w:fill="auto"/>
            <w:noWrap/>
            <w:vAlign w:val="center"/>
            <w:hideMark/>
          </w:tcPr>
          <w:p w14:paraId="16E29A89" w14:textId="73731056"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w:t>
            </w:r>
            <w:r w:rsidR="00A50D80" w:rsidRPr="00730B1E">
              <w:rPr>
                <w:rFonts w:eastAsia="Times New Roman"/>
                <w:szCs w:val="24"/>
                <w:lang w:eastAsia="cs-CZ"/>
              </w:rPr>
              <w:t>,</w:t>
            </w:r>
            <w:r w:rsidRPr="00730B1E">
              <w:rPr>
                <w:rFonts w:eastAsia="Times New Roman"/>
                <w:szCs w:val="24"/>
                <w:lang w:eastAsia="cs-CZ"/>
              </w:rPr>
              <w:t>44 %</w:t>
            </w:r>
          </w:p>
        </w:tc>
        <w:tc>
          <w:tcPr>
            <w:tcW w:w="1998" w:type="dxa"/>
            <w:tcBorders>
              <w:top w:val="single" w:sz="4" w:space="0" w:color="auto"/>
              <w:left w:val="nil"/>
              <w:bottom w:val="single" w:sz="4" w:space="0" w:color="auto"/>
              <w:right w:val="nil"/>
            </w:tcBorders>
            <w:shd w:val="clear" w:color="auto" w:fill="auto"/>
            <w:noWrap/>
            <w:vAlign w:val="center"/>
            <w:hideMark/>
          </w:tcPr>
          <w:p w14:paraId="0E4F4407" w14:textId="50D26B71"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6</w:t>
            </w:r>
            <w:r w:rsidR="00A50D80" w:rsidRPr="00730B1E">
              <w:rPr>
                <w:rFonts w:eastAsia="Times New Roman"/>
                <w:szCs w:val="24"/>
                <w:lang w:eastAsia="cs-CZ"/>
              </w:rPr>
              <w:t>,</w:t>
            </w:r>
            <w:r w:rsidRPr="00730B1E">
              <w:rPr>
                <w:rFonts w:eastAsia="Times New Roman"/>
                <w:szCs w:val="24"/>
                <w:lang w:eastAsia="cs-CZ"/>
              </w:rPr>
              <w:t>13 %</w:t>
            </w:r>
          </w:p>
        </w:tc>
      </w:tr>
      <w:tr w:rsidR="00B64E96" w:rsidRPr="00730B1E" w14:paraId="4E82AD46" w14:textId="77777777" w:rsidTr="00A50D80">
        <w:trPr>
          <w:trHeight w:val="345"/>
        </w:trPr>
        <w:tc>
          <w:tcPr>
            <w:tcW w:w="1080" w:type="dxa"/>
            <w:tcBorders>
              <w:top w:val="nil"/>
              <w:left w:val="nil"/>
              <w:bottom w:val="nil"/>
              <w:right w:val="nil"/>
            </w:tcBorders>
            <w:shd w:val="clear" w:color="auto" w:fill="auto"/>
            <w:noWrap/>
            <w:vAlign w:val="center"/>
            <w:hideMark/>
          </w:tcPr>
          <w:p w14:paraId="77055519"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2021</w:t>
            </w:r>
          </w:p>
        </w:tc>
        <w:tc>
          <w:tcPr>
            <w:tcW w:w="1998" w:type="dxa"/>
            <w:tcBorders>
              <w:top w:val="nil"/>
              <w:left w:val="nil"/>
              <w:bottom w:val="single" w:sz="4" w:space="0" w:color="auto"/>
              <w:right w:val="nil"/>
            </w:tcBorders>
            <w:shd w:val="clear" w:color="auto" w:fill="auto"/>
            <w:noWrap/>
            <w:vAlign w:val="center"/>
            <w:hideMark/>
          </w:tcPr>
          <w:p w14:paraId="229E9379" w14:textId="060AAECD"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79</w:t>
            </w:r>
            <w:r w:rsidR="00A50D80" w:rsidRPr="00730B1E">
              <w:rPr>
                <w:rFonts w:eastAsia="Times New Roman"/>
                <w:szCs w:val="24"/>
                <w:lang w:eastAsia="cs-CZ"/>
              </w:rPr>
              <w:t>,</w:t>
            </w:r>
            <w:r w:rsidRPr="00730B1E">
              <w:rPr>
                <w:rFonts w:eastAsia="Times New Roman"/>
                <w:szCs w:val="24"/>
                <w:lang w:eastAsia="cs-CZ"/>
              </w:rPr>
              <w:t>31 %</w:t>
            </w:r>
          </w:p>
        </w:tc>
        <w:tc>
          <w:tcPr>
            <w:tcW w:w="1998" w:type="dxa"/>
            <w:tcBorders>
              <w:top w:val="nil"/>
              <w:left w:val="nil"/>
              <w:bottom w:val="single" w:sz="4" w:space="0" w:color="auto"/>
              <w:right w:val="nil"/>
            </w:tcBorders>
            <w:shd w:val="clear" w:color="auto" w:fill="auto"/>
            <w:noWrap/>
            <w:vAlign w:val="center"/>
            <w:hideMark/>
          </w:tcPr>
          <w:p w14:paraId="388C584F" w14:textId="616679C8"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10</w:t>
            </w:r>
            <w:r w:rsidR="00A50D80" w:rsidRPr="00730B1E">
              <w:rPr>
                <w:rFonts w:eastAsia="Times New Roman"/>
                <w:szCs w:val="24"/>
                <w:lang w:eastAsia="cs-CZ"/>
              </w:rPr>
              <w:t>,</w:t>
            </w:r>
            <w:r w:rsidRPr="00730B1E">
              <w:rPr>
                <w:rFonts w:eastAsia="Times New Roman"/>
                <w:szCs w:val="24"/>
                <w:lang w:eastAsia="cs-CZ"/>
              </w:rPr>
              <w:t>66 %</w:t>
            </w:r>
          </w:p>
        </w:tc>
        <w:tc>
          <w:tcPr>
            <w:tcW w:w="1998" w:type="dxa"/>
            <w:tcBorders>
              <w:top w:val="nil"/>
              <w:left w:val="nil"/>
              <w:bottom w:val="single" w:sz="4" w:space="0" w:color="auto"/>
              <w:right w:val="nil"/>
            </w:tcBorders>
            <w:shd w:val="clear" w:color="auto" w:fill="auto"/>
            <w:noWrap/>
            <w:vAlign w:val="center"/>
            <w:hideMark/>
          </w:tcPr>
          <w:p w14:paraId="7B248FE2" w14:textId="3D36BE3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4</w:t>
            </w:r>
            <w:r w:rsidR="00A50D80" w:rsidRPr="00730B1E">
              <w:rPr>
                <w:rFonts w:eastAsia="Times New Roman"/>
                <w:szCs w:val="24"/>
                <w:lang w:eastAsia="cs-CZ"/>
              </w:rPr>
              <w:t>,</w:t>
            </w:r>
            <w:r w:rsidRPr="00730B1E">
              <w:rPr>
                <w:rFonts w:eastAsia="Times New Roman"/>
                <w:szCs w:val="24"/>
                <w:lang w:eastAsia="cs-CZ"/>
              </w:rPr>
              <w:t>60 %</w:t>
            </w:r>
          </w:p>
        </w:tc>
        <w:tc>
          <w:tcPr>
            <w:tcW w:w="1998" w:type="dxa"/>
            <w:tcBorders>
              <w:top w:val="nil"/>
              <w:left w:val="nil"/>
              <w:bottom w:val="single" w:sz="4" w:space="0" w:color="auto"/>
              <w:right w:val="nil"/>
            </w:tcBorders>
            <w:shd w:val="clear" w:color="auto" w:fill="auto"/>
            <w:noWrap/>
            <w:vAlign w:val="center"/>
            <w:hideMark/>
          </w:tcPr>
          <w:p w14:paraId="44B0D25A" w14:textId="4CAF536C"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w:t>
            </w:r>
            <w:r w:rsidR="00A50D80" w:rsidRPr="00730B1E">
              <w:rPr>
                <w:rFonts w:eastAsia="Times New Roman"/>
                <w:szCs w:val="24"/>
                <w:lang w:eastAsia="cs-CZ"/>
              </w:rPr>
              <w:t>,</w:t>
            </w:r>
            <w:r w:rsidRPr="00730B1E">
              <w:rPr>
                <w:rFonts w:eastAsia="Times New Roman"/>
                <w:szCs w:val="24"/>
                <w:lang w:eastAsia="cs-CZ"/>
              </w:rPr>
              <w:t>43 %</w:t>
            </w:r>
          </w:p>
        </w:tc>
      </w:tr>
      <w:tr w:rsidR="00B64E96" w:rsidRPr="00730B1E" w14:paraId="47F89FE2" w14:textId="77777777" w:rsidTr="00A50D80">
        <w:trPr>
          <w:trHeight w:val="330"/>
        </w:trPr>
        <w:tc>
          <w:tcPr>
            <w:tcW w:w="1080" w:type="dxa"/>
            <w:tcBorders>
              <w:top w:val="single" w:sz="4" w:space="0" w:color="auto"/>
              <w:left w:val="nil"/>
              <w:bottom w:val="single" w:sz="4" w:space="0" w:color="auto"/>
              <w:right w:val="nil"/>
            </w:tcBorders>
            <w:shd w:val="clear" w:color="auto" w:fill="auto"/>
            <w:noWrap/>
            <w:vAlign w:val="center"/>
            <w:hideMark/>
          </w:tcPr>
          <w:p w14:paraId="063E2376"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2022</w:t>
            </w:r>
          </w:p>
        </w:tc>
        <w:tc>
          <w:tcPr>
            <w:tcW w:w="1998" w:type="dxa"/>
            <w:tcBorders>
              <w:top w:val="nil"/>
              <w:left w:val="nil"/>
              <w:bottom w:val="single" w:sz="4" w:space="0" w:color="auto"/>
              <w:right w:val="nil"/>
            </w:tcBorders>
            <w:shd w:val="clear" w:color="auto" w:fill="auto"/>
            <w:noWrap/>
            <w:vAlign w:val="center"/>
            <w:hideMark/>
          </w:tcPr>
          <w:p w14:paraId="18E30EDB" w14:textId="569C1DAD"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78</w:t>
            </w:r>
            <w:r w:rsidR="00A50D80" w:rsidRPr="00730B1E">
              <w:rPr>
                <w:rFonts w:eastAsia="Times New Roman"/>
                <w:szCs w:val="24"/>
                <w:lang w:eastAsia="cs-CZ"/>
              </w:rPr>
              <w:t>,</w:t>
            </w:r>
            <w:r w:rsidRPr="00730B1E">
              <w:rPr>
                <w:rFonts w:eastAsia="Times New Roman"/>
                <w:szCs w:val="24"/>
                <w:lang w:eastAsia="cs-CZ"/>
              </w:rPr>
              <w:t>64 %</w:t>
            </w:r>
          </w:p>
        </w:tc>
        <w:tc>
          <w:tcPr>
            <w:tcW w:w="1998" w:type="dxa"/>
            <w:tcBorders>
              <w:top w:val="nil"/>
              <w:left w:val="nil"/>
              <w:bottom w:val="single" w:sz="4" w:space="0" w:color="auto"/>
              <w:right w:val="nil"/>
            </w:tcBorders>
            <w:shd w:val="clear" w:color="auto" w:fill="auto"/>
            <w:noWrap/>
            <w:vAlign w:val="center"/>
            <w:hideMark/>
          </w:tcPr>
          <w:p w14:paraId="59BDA8BF" w14:textId="21E43ED9"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11</w:t>
            </w:r>
            <w:r w:rsidR="00A50D80" w:rsidRPr="00730B1E">
              <w:rPr>
                <w:rFonts w:eastAsia="Times New Roman"/>
                <w:szCs w:val="24"/>
                <w:lang w:eastAsia="cs-CZ"/>
              </w:rPr>
              <w:t>,</w:t>
            </w:r>
            <w:r w:rsidRPr="00730B1E">
              <w:rPr>
                <w:rFonts w:eastAsia="Times New Roman"/>
                <w:szCs w:val="24"/>
                <w:lang w:eastAsia="cs-CZ"/>
              </w:rPr>
              <w:t>06 %</w:t>
            </w:r>
          </w:p>
        </w:tc>
        <w:tc>
          <w:tcPr>
            <w:tcW w:w="1998" w:type="dxa"/>
            <w:tcBorders>
              <w:top w:val="nil"/>
              <w:left w:val="nil"/>
              <w:bottom w:val="single" w:sz="4" w:space="0" w:color="auto"/>
              <w:right w:val="nil"/>
            </w:tcBorders>
            <w:shd w:val="clear" w:color="auto" w:fill="auto"/>
            <w:noWrap/>
            <w:vAlign w:val="center"/>
            <w:hideMark/>
          </w:tcPr>
          <w:p w14:paraId="5BFF8246" w14:textId="1462C540"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4</w:t>
            </w:r>
            <w:r w:rsidR="00A50D80" w:rsidRPr="00730B1E">
              <w:rPr>
                <w:rFonts w:eastAsia="Times New Roman"/>
                <w:szCs w:val="24"/>
                <w:lang w:eastAsia="cs-CZ"/>
              </w:rPr>
              <w:t>,</w:t>
            </w:r>
            <w:r w:rsidRPr="00730B1E">
              <w:rPr>
                <w:rFonts w:eastAsia="Times New Roman"/>
                <w:szCs w:val="24"/>
                <w:lang w:eastAsia="cs-CZ"/>
              </w:rPr>
              <w:t>44 %</w:t>
            </w:r>
          </w:p>
        </w:tc>
        <w:tc>
          <w:tcPr>
            <w:tcW w:w="1998" w:type="dxa"/>
            <w:tcBorders>
              <w:top w:val="nil"/>
              <w:left w:val="nil"/>
              <w:bottom w:val="single" w:sz="4" w:space="0" w:color="auto"/>
              <w:right w:val="nil"/>
            </w:tcBorders>
            <w:shd w:val="clear" w:color="auto" w:fill="auto"/>
            <w:noWrap/>
            <w:vAlign w:val="center"/>
            <w:hideMark/>
          </w:tcPr>
          <w:p w14:paraId="74359DEE" w14:textId="283E4BA0"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w:t>
            </w:r>
            <w:r w:rsidR="00A50D80" w:rsidRPr="00730B1E">
              <w:rPr>
                <w:rFonts w:eastAsia="Times New Roman"/>
                <w:szCs w:val="24"/>
                <w:lang w:eastAsia="cs-CZ"/>
              </w:rPr>
              <w:t>,</w:t>
            </w:r>
            <w:r w:rsidRPr="00730B1E">
              <w:rPr>
                <w:rFonts w:eastAsia="Times New Roman"/>
                <w:szCs w:val="24"/>
                <w:lang w:eastAsia="cs-CZ"/>
              </w:rPr>
              <w:t>86 %</w:t>
            </w:r>
          </w:p>
        </w:tc>
      </w:tr>
      <w:tr w:rsidR="00B64E96" w:rsidRPr="00730B1E" w14:paraId="6F68CDF9" w14:textId="77777777" w:rsidTr="00A50D80">
        <w:trPr>
          <w:trHeight w:val="330"/>
        </w:trPr>
        <w:tc>
          <w:tcPr>
            <w:tcW w:w="1080" w:type="dxa"/>
            <w:tcBorders>
              <w:top w:val="nil"/>
              <w:left w:val="nil"/>
              <w:bottom w:val="double" w:sz="6" w:space="0" w:color="auto"/>
              <w:right w:val="nil"/>
            </w:tcBorders>
            <w:shd w:val="clear" w:color="auto" w:fill="auto"/>
            <w:noWrap/>
            <w:vAlign w:val="center"/>
            <w:hideMark/>
          </w:tcPr>
          <w:p w14:paraId="281A74A6" w14:textId="77777777"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2023</w:t>
            </w:r>
          </w:p>
        </w:tc>
        <w:tc>
          <w:tcPr>
            <w:tcW w:w="1998" w:type="dxa"/>
            <w:tcBorders>
              <w:top w:val="nil"/>
              <w:left w:val="nil"/>
              <w:bottom w:val="double" w:sz="6" w:space="0" w:color="auto"/>
              <w:right w:val="nil"/>
            </w:tcBorders>
            <w:shd w:val="clear" w:color="auto" w:fill="auto"/>
            <w:noWrap/>
            <w:vAlign w:val="center"/>
            <w:hideMark/>
          </w:tcPr>
          <w:p w14:paraId="19F9CC17" w14:textId="76F64463"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80</w:t>
            </w:r>
            <w:r w:rsidR="00A50D80" w:rsidRPr="00730B1E">
              <w:rPr>
                <w:rFonts w:eastAsia="Times New Roman"/>
                <w:szCs w:val="24"/>
                <w:lang w:eastAsia="cs-CZ"/>
              </w:rPr>
              <w:t>,</w:t>
            </w:r>
            <w:r w:rsidRPr="00730B1E">
              <w:rPr>
                <w:rFonts w:eastAsia="Times New Roman"/>
                <w:szCs w:val="24"/>
                <w:lang w:eastAsia="cs-CZ"/>
              </w:rPr>
              <w:t>20 %</w:t>
            </w:r>
          </w:p>
        </w:tc>
        <w:tc>
          <w:tcPr>
            <w:tcW w:w="1998" w:type="dxa"/>
            <w:tcBorders>
              <w:top w:val="nil"/>
              <w:left w:val="nil"/>
              <w:bottom w:val="double" w:sz="6" w:space="0" w:color="auto"/>
              <w:right w:val="nil"/>
            </w:tcBorders>
            <w:shd w:val="clear" w:color="auto" w:fill="auto"/>
            <w:noWrap/>
            <w:vAlign w:val="center"/>
            <w:hideMark/>
          </w:tcPr>
          <w:p w14:paraId="1F174248" w14:textId="07D9F883"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10</w:t>
            </w:r>
            <w:r w:rsidR="00A50D80" w:rsidRPr="00730B1E">
              <w:rPr>
                <w:rFonts w:eastAsia="Times New Roman"/>
                <w:szCs w:val="24"/>
                <w:lang w:eastAsia="cs-CZ"/>
              </w:rPr>
              <w:t>,</w:t>
            </w:r>
            <w:r w:rsidRPr="00730B1E">
              <w:rPr>
                <w:rFonts w:eastAsia="Times New Roman"/>
                <w:szCs w:val="24"/>
                <w:lang w:eastAsia="cs-CZ"/>
              </w:rPr>
              <w:t>00 %</w:t>
            </w:r>
          </w:p>
        </w:tc>
        <w:tc>
          <w:tcPr>
            <w:tcW w:w="1998" w:type="dxa"/>
            <w:tcBorders>
              <w:top w:val="nil"/>
              <w:left w:val="nil"/>
              <w:bottom w:val="double" w:sz="6" w:space="0" w:color="auto"/>
              <w:right w:val="nil"/>
            </w:tcBorders>
            <w:shd w:val="clear" w:color="auto" w:fill="auto"/>
            <w:noWrap/>
            <w:vAlign w:val="center"/>
            <w:hideMark/>
          </w:tcPr>
          <w:p w14:paraId="5A569946" w14:textId="610C9252"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4</w:t>
            </w:r>
            <w:r w:rsidR="00A50D80" w:rsidRPr="00730B1E">
              <w:rPr>
                <w:rFonts w:eastAsia="Times New Roman"/>
                <w:szCs w:val="24"/>
                <w:lang w:eastAsia="cs-CZ"/>
              </w:rPr>
              <w:t>,</w:t>
            </w:r>
            <w:r w:rsidRPr="00730B1E">
              <w:rPr>
                <w:rFonts w:eastAsia="Times New Roman"/>
                <w:szCs w:val="24"/>
                <w:lang w:eastAsia="cs-CZ"/>
              </w:rPr>
              <w:t>11 %</w:t>
            </w:r>
          </w:p>
        </w:tc>
        <w:tc>
          <w:tcPr>
            <w:tcW w:w="1998" w:type="dxa"/>
            <w:tcBorders>
              <w:top w:val="nil"/>
              <w:left w:val="nil"/>
              <w:bottom w:val="double" w:sz="6" w:space="0" w:color="auto"/>
              <w:right w:val="nil"/>
            </w:tcBorders>
            <w:shd w:val="clear" w:color="auto" w:fill="auto"/>
            <w:noWrap/>
            <w:vAlign w:val="center"/>
            <w:hideMark/>
          </w:tcPr>
          <w:p w14:paraId="4742F975" w14:textId="18719C08" w:rsidR="0060730C" w:rsidRPr="00730B1E" w:rsidRDefault="0060730C" w:rsidP="0060730C">
            <w:pPr>
              <w:spacing w:line="240" w:lineRule="auto"/>
              <w:jc w:val="center"/>
              <w:rPr>
                <w:rFonts w:eastAsia="Times New Roman"/>
                <w:szCs w:val="24"/>
                <w:lang w:eastAsia="cs-CZ"/>
              </w:rPr>
            </w:pPr>
            <w:r w:rsidRPr="00730B1E">
              <w:rPr>
                <w:rFonts w:eastAsia="Times New Roman"/>
                <w:szCs w:val="24"/>
                <w:lang w:eastAsia="cs-CZ"/>
              </w:rPr>
              <w:t>5</w:t>
            </w:r>
            <w:r w:rsidR="00A50D80" w:rsidRPr="00730B1E">
              <w:rPr>
                <w:rFonts w:eastAsia="Times New Roman"/>
                <w:szCs w:val="24"/>
                <w:lang w:eastAsia="cs-CZ"/>
              </w:rPr>
              <w:t>,</w:t>
            </w:r>
            <w:r w:rsidRPr="00730B1E">
              <w:rPr>
                <w:rFonts w:eastAsia="Times New Roman"/>
                <w:szCs w:val="24"/>
                <w:lang w:eastAsia="cs-CZ"/>
              </w:rPr>
              <w:t>70 %</w:t>
            </w:r>
          </w:p>
        </w:tc>
      </w:tr>
      <w:tr w:rsidR="00B64E96" w:rsidRPr="00730B1E" w14:paraId="2A4173C6" w14:textId="77777777" w:rsidTr="00A50D80">
        <w:trPr>
          <w:trHeight w:val="330"/>
        </w:trPr>
        <w:tc>
          <w:tcPr>
            <w:tcW w:w="1080" w:type="dxa"/>
            <w:tcBorders>
              <w:top w:val="nil"/>
              <w:left w:val="nil"/>
              <w:bottom w:val="nil"/>
              <w:right w:val="nil"/>
            </w:tcBorders>
            <w:shd w:val="clear" w:color="auto" w:fill="auto"/>
            <w:noWrap/>
            <w:vAlign w:val="bottom"/>
            <w:hideMark/>
          </w:tcPr>
          <w:p w14:paraId="22B2CCCF" w14:textId="77777777" w:rsidR="0060730C" w:rsidRPr="00730B1E" w:rsidRDefault="0060730C" w:rsidP="0060730C">
            <w:pPr>
              <w:spacing w:line="240" w:lineRule="auto"/>
              <w:jc w:val="center"/>
              <w:rPr>
                <w:rFonts w:eastAsia="Times New Roman"/>
                <w:szCs w:val="24"/>
                <w:lang w:eastAsia="cs-CZ"/>
              </w:rPr>
            </w:pPr>
          </w:p>
        </w:tc>
        <w:tc>
          <w:tcPr>
            <w:tcW w:w="1998" w:type="dxa"/>
            <w:tcBorders>
              <w:top w:val="nil"/>
              <w:left w:val="nil"/>
              <w:bottom w:val="nil"/>
              <w:right w:val="nil"/>
            </w:tcBorders>
            <w:shd w:val="clear" w:color="auto" w:fill="auto"/>
            <w:noWrap/>
            <w:vAlign w:val="bottom"/>
            <w:hideMark/>
          </w:tcPr>
          <w:p w14:paraId="4067E4B6" w14:textId="77777777" w:rsidR="0060730C" w:rsidRPr="00DF07F3" w:rsidRDefault="0060730C" w:rsidP="0060730C">
            <w:pPr>
              <w:spacing w:line="240" w:lineRule="auto"/>
              <w:jc w:val="left"/>
              <w:rPr>
                <w:sz w:val="20"/>
              </w:rPr>
            </w:pPr>
          </w:p>
        </w:tc>
        <w:tc>
          <w:tcPr>
            <w:tcW w:w="1998" w:type="dxa"/>
            <w:tcBorders>
              <w:top w:val="nil"/>
              <w:left w:val="nil"/>
              <w:bottom w:val="nil"/>
              <w:right w:val="nil"/>
            </w:tcBorders>
            <w:shd w:val="clear" w:color="auto" w:fill="auto"/>
            <w:noWrap/>
            <w:vAlign w:val="bottom"/>
            <w:hideMark/>
          </w:tcPr>
          <w:p w14:paraId="6CBDE6D7" w14:textId="77777777" w:rsidR="0060730C" w:rsidRPr="00DF07F3" w:rsidRDefault="0060730C" w:rsidP="0060730C">
            <w:pPr>
              <w:spacing w:line="240" w:lineRule="auto"/>
              <w:jc w:val="left"/>
              <w:rPr>
                <w:sz w:val="20"/>
              </w:rPr>
            </w:pPr>
          </w:p>
        </w:tc>
        <w:tc>
          <w:tcPr>
            <w:tcW w:w="1998" w:type="dxa"/>
            <w:tcBorders>
              <w:top w:val="nil"/>
              <w:left w:val="nil"/>
              <w:bottom w:val="nil"/>
              <w:right w:val="nil"/>
            </w:tcBorders>
            <w:shd w:val="clear" w:color="auto" w:fill="auto"/>
            <w:noWrap/>
            <w:vAlign w:val="bottom"/>
            <w:hideMark/>
          </w:tcPr>
          <w:p w14:paraId="4C4DC64F" w14:textId="77777777" w:rsidR="0060730C" w:rsidRPr="00DF07F3" w:rsidRDefault="0060730C" w:rsidP="0060730C">
            <w:pPr>
              <w:spacing w:line="240" w:lineRule="auto"/>
              <w:jc w:val="left"/>
              <w:rPr>
                <w:sz w:val="20"/>
              </w:rPr>
            </w:pPr>
          </w:p>
        </w:tc>
        <w:tc>
          <w:tcPr>
            <w:tcW w:w="1998" w:type="dxa"/>
            <w:tcBorders>
              <w:top w:val="nil"/>
              <w:left w:val="nil"/>
              <w:bottom w:val="nil"/>
              <w:right w:val="nil"/>
            </w:tcBorders>
            <w:shd w:val="clear" w:color="auto" w:fill="auto"/>
            <w:noWrap/>
            <w:vAlign w:val="bottom"/>
            <w:hideMark/>
          </w:tcPr>
          <w:p w14:paraId="5EBD9672" w14:textId="77777777" w:rsidR="0060730C" w:rsidRPr="00DF07F3" w:rsidRDefault="0060730C" w:rsidP="0060730C">
            <w:pPr>
              <w:spacing w:line="240" w:lineRule="auto"/>
              <w:jc w:val="left"/>
              <w:rPr>
                <w:sz w:val="20"/>
              </w:rPr>
            </w:pPr>
          </w:p>
        </w:tc>
      </w:tr>
    </w:tbl>
    <w:p w14:paraId="4AD384F7" w14:textId="1A59050B" w:rsidR="00E50FFD" w:rsidRPr="00730B1E" w:rsidRDefault="00227A03" w:rsidP="00217993">
      <w:pPr>
        <w:pStyle w:val="OdstavecASR"/>
      </w:pPr>
      <w:r w:rsidRPr="00730B1E">
        <w:t>V </w:t>
      </w:r>
      <w:r w:rsidR="005B0C4D" w:rsidRPr="00730B1E">
        <w:t xml:space="preserve">tabulce </w:t>
      </w:r>
      <w:r w:rsidRPr="00730B1E">
        <w:t xml:space="preserve">15 </w:t>
      </w:r>
      <w:r w:rsidR="005B0C4D" w:rsidRPr="00730B1E">
        <w:t xml:space="preserve">pak vidíme, že podíl věcí s přiznaným nárokem do 20 000 Kč </w:t>
      </w:r>
      <w:r w:rsidR="00915F5A" w:rsidRPr="00730B1E">
        <w:t>v </w:t>
      </w:r>
      <w:r w:rsidR="00512893" w:rsidRPr="00730B1E">
        <w:t>posledních letech</w:t>
      </w:r>
      <w:r w:rsidR="00A50D80" w:rsidRPr="00730B1E">
        <w:t xml:space="preserve"> </w:t>
      </w:r>
      <w:r w:rsidR="00915F5A" w:rsidRPr="00730B1E">
        <w:t>čase</w:t>
      </w:r>
      <w:r w:rsidR="00A50D80" w:rsidRPr="00730B1E">
        <w:t>m</w:t>
      </w:r>
      <w:r w:rsidR="00915F5A" w:rsidRPr="00730B1E">
        <w:t xml:space="preserve"> </w:t>
      </w:r>
      <w:r w:rsidR="005B0C4D" w:rsidRPr="00730B1E">
        <w:t xml:space="preserve">roste. To lze rozhodně označit za zajímavý a možná i </w:t>
      </w:r>
      <w:r w:rsidR="00915F5A" w:rsidRPr="00730B1E">
        <w:t xml:space="preserve">očekávaný vývoj, kdy </w:t>
      </w:r>
      <w:r w:rsidR="005B0C4D" w:rsidRPr="00730B1E">
        <w:t xml:space="preserve">s rostoucí cenovou hladinou </w:t>
      </w:r>
      <w:r w:rsidR="00B03DAD" w:rsidRPr="00730B1E">
        <w:t xml:space="preserve">nerostou </w:t>
      </w:r>
      <w:r w:rsidR="005B0C4D" w:rsidRPr="00730B1E">
        <w:t>výše přiznaných nároků.</w:t>
      </w:r>
    </w:p>
    <w:p w14:paraId="60F5FFC1" w14:textId="7321F73E" w:rsidR="00D505DC" w:rsidRPr="00730B1E" w:rsidRDefault="00F95F1B" w:rsidP="00A50D80">
      <w:r w:rsidRPr="00730B1E">
        <w:t>Justiční statistika začala také nově sledovat</w:t>
      </w:r>
      <w:r w:rsidR="00B03DAD" w:rsidRPr="00730B1E">
        <w:t>,</w:t>
      </w:r>
      <w:r w:rsidRPr="00730B1E">
        <w:t xml:space="preserve"> za </w:t>
      </w:r>
      <w:r w:rsidR="00B03DAD" w:rsidRPr="00730B1E">
        <w:t>který</w:t>
      </w:r>
      <w:r w:rsidRPr="00730B1E">
        <w:t xml:space="preserve"> paragraf trestního zákoníku byly v civilním řízení přiznány náhrady za škodu způsobenou trestným činem (újma majetková i nemajetková). V roce 2023 bylo </w:t>
      </w:r>
      <w:r w:rsidR="00B03DAD" w:rsidRPr="00730B1E">
        <w:t>rozhodnuto</w:t>
      </w:r>
      <w:r w:rsidRPr="00730B1E">
        <w:t xml:space="preserve"> v této souvislosti </w:t>
      </w:r>
      <w:r w:rsidR="00B03DAD" w:rsidRPr="00730B1E">
        <w:t>424</w:t>
      </w:r>
      <w:r w:rsidRPr="00730B1E">
        <w:t xml:space="preserve"> žalob s celkovým žalovaným nárokem ve výši více než 117 mil. Kč a přiznaným téměř 69 mil. Kč. Nejvíce nároků bylo uplatněno v souvislosti </w:t>
      </w:r>
      <w:r w:rsidRPr="00730B1E">
        <w:lastRenderedPageBreak/>
        <w:t>s</w:t>
      </w:r>
      <w:r w:rsidR="00B03DAD" w:rsidRPr="00730B1E">
        <w:t> </w:t>
      </w:r>
      <w:r w:rsidRPr="00730B1E">
        <w:t>§</w:t>
      </w:r>
      <w:r w:rsidR="00B03DAD" w:rsidRPr="00730B1E">
        <w:t> </w:t>
      </w:r>
      <w:r w:rsidRPr="00730B1E">
        <w:t>146</w:t>
      </w:r>
      <w:r w:rsidR="00B03DAD" w:rsidRPr="00730B1E">
        <w:t> </w:t>
      </w:r>
      <w:r w:rsidRPr="00730B1E">
        <w:t>trestního zákoníku Ublížení na zdraví (120 žalob), ale nejvyšší jednotlivý žalovaný nárok byl u § 145 TZ Těžké ublížení na zdraví ve výši 17 745 000 Kč s přiznáním částky 8 872 500 Kč.</w:t>
      </w:r>
    </w:p>
    <w:p w14:paraId="011C1434" w14:textId="586187BF" w:rsidR="00DA258D" w:rsidRPr="00730B1E" w:rsidRDefault="00DA258D" w:rsidP="00A50D80">
      <w:r w:rsidRPr="00730B1E">
        <w:br w:type="page"/>
      </w:r>
    </w:p>
    <w:p w14:paraId="0DD00635" w14:textId="0341746C" w:rsidR="008430BD" w:rsidRPr="00730B1E" w:rsidRDefault="008430BD" w:rsidP="008430BD">
      <w:pPr>
        <w:pStyle w:val="Nadpis2"/>
        <w:numPr>
          <w:ilvl w:val="1"/>
          <w:numId w:val="1"/>
        </w:numPr>
        <w:spacing w:before="120"/>
        <w:rPr>
          <w:color w:val="auto"/>
        </w:rPr>
      </w:pPr>
      <w:bookmarkStart w:id="283" w:name="_Toc169250807"/>
      <w:bookmarkStart w:id="284" w:name="_Toc174080843"/>
      <w:r w:rsidRPr="00730B1E">
        <w:rPr>
          <w:color w:val="auto"/>
        </w:rPr>
        <w:lastRenderedPageBreak/>
        <w:t>Civilní agenda – elektronické rozkazní řízení</w:t>
      </w:r>
      <w:bookmarkEnd w:id="249"/>
      <w:bookmarkEnd w:id="274"/>
      <w:bookmarkEnd w:id="283"/>
      <w:bookmarkEnd w:id="284"/>
    </w:p>
    <w:p w14:paraId="630187E9" w14:textId="33BBBD5D" w:rsidR="008257A6" w:rsidRPr="00730B1E" w:rsidRDefault="008257A6" w:rsidP="008257A6">
      <w:pPr>
        <w:pStyle w:val="OdstavecASR"/>
      </w:pPr>
      <w:r w:rsidRPr="00730B1E">
        <w:t xml:space="preserve">Jak jsme uvedli v úvodu kapitoly </w:t>
      </w:r>
      <w:r w:rsidRPr="00730B1E">
        <w:rPr>
          <w:b/>
          <w:bCs/>
        </w:rPr>
        <w:fldChar w:fldCharType="begin"/>
      </w:r>
      <w:r w:rsidRPr="00730B1E">
        <w:instrText xml:space="preserve"> REF _Ref9425277 \r \h </w:instrText>
      </w:r>
      <w:r w:rsidRPr="00730B1E">
        <w:rPr>
          <w:b/>
          <w:bCs/>
        </w:rPr>
        <w:instrText xml:space="preserve"> \* MERGEFORMAT </w:instrText>
      </w:r>
      <w:r w:rsidRPr="00730B1E">
        <w:rPr>
          <w:b/>
          <w:bCs/>
        </w:rPr>
      </w:r>
      <w:r w:rsidRPr="00730B1E">
        <w:rPr>
          <w:b/>
          <w:bCs/>
        </w:rPr>
        <w:fldChar w:fldCharType="separate"/>
      </w:r>
      <w:r w:rsidR="00056825">
        <w:t>2.2</w:t>
      </w:r>
      <w:r w:rsidRPr="00730B1E">
        <w:rPr>
          <w:b/>
          <w:bCs/>
        </w:rPr>
        <w:fldChar w:fldCharType="end"/>
      </w:r>
      <w:r w:rsidRPr="00730B1E">
        <w:t>, zkoumaná data jsme očistili o rozkazní řízení. Tato data ale samozřejmě mají svou informační hodnotu, a proto je analyzujeme v této části.</w:t>
      </w:r>
    </w:p>
    <w:p w14:paraId="4CC7F459" w14:textId="77777777" w:rsidR="008257A6" w:rsidRPr="00730B1E" w:rsidRDefault="008257A6" w:rsidP="008257A6">
      <w:pPr>
        <w:pStyle w:val="OdstavecASR"/>
      </w:pPr>
      <w:r w:rsidRPr="00730B1E">
        <w:t>Jedná se o civilní řízení ve zkrácené formě, jehož cílem je skončení věci vydáním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w:t>
      </w:r>
    </w:p>
    <w:p w14:paraId="3A130AE2" w14:textId="2713F36A" w:rsidR="008257A6" w:rsidRPr="00730B1E" w:rsidRDefault="008257A6" w:rsidP="008257A6">
      <w:pPr>
        <w:pStyle w:val="OdstavecASR"/>
      </w:pPr>
      <w:r w:rsidRPr="00730B1E">
        <w:t>Ne všechna data, o která byla očištěna kapitola </w:t>
      </w:r>
      <w:r w:rsidRPr="00730B1E">
        <w:rPr>
          <w:bCs/>
        </w:rPr>
        <w:fldChar w:fldCharType="begin"/>
      </w:r>
      <w:r w:rsidRPr="00730B1E">
        <w:rPr>
          <w:bCs/>
        </w:rPr>
        <w:instrText xml:space="preserve"> REF _Ref10553167 \r \h  \* MERGEFORMAT </w:instrText>
      </w:r>
      <w:r w:rsidRPr="00730B1E">
        <w:rPr>
          <w:bCs/>
        </w:rPr>
      </w:r>
      <w:r w:rsidRPr="00730B1E">
        <w:rPr>
          <w:bCs/>
        </w:rPr>
        <w:fldChar w:fldCharType="separate"/>
      </w:r>
      <w:r w:rsidR="00056825">
        <w:rPr>
          <w:bCs/>
        </w:rPr>
        <w:t>2.2</w:t>
      </w:r>
      <w:r w:rsidRPr="00730B1E">
        <w:rPr>
          <w:bCs/>
        </w:rPr>
        <w:fldChar w:fldCharType="end"/>
      </w:r>
      <w:r w:rsidRPr="00730B1E">
        <w:t>, však zahrnujeme do této kapitoly. Občanské soudní řízení zná celkem čtyři typy platebních rozkazů, ale okresních soudů se týkají jen tři z nich, a to „běžný“ platební rozkaz, elektronický platební rozkaz a evropský platební rozkaz. Čtvrtý typ, kterým je směnečný (šekový) platební rozkaz, vydávají jen krajské soudy. Pro každý typ platí jiné podmínky a postupy. Tato kapitola se zabývá pouze elektronickým platebním rozkazem</w:t>
      </w:r>
      <w:r w:rsidR="007523B0" w:rsidRPr="00730B1E">
        <w:t>, který je zdaleka nejčastější – návrhy na vydání elektronického platebního rozkazu, které se od roku 2013 evidují v rejstříku EPR, dlouhodobě tvoří více než 85 % celé agendy rozkazního řízení</w:t>
      </w:r>
      <w:r w:rsidRPr="00730B1E">
        <w:t>.</w:t>
      </w:r>
    </w:p>
    <w:p w14:paraId="59146249" w14:textId="501772A5" w:rsidR="00461DBC" w:rsidRPr="00730B1E" w:rsidRDefault="008430BD" w:rsidP="00461DBC">
      <w:pPr>
        <w:pStyle w:val="Nadpis3"/>
        <w:numPr>
          <w:ilvl w:val="2"/>
          <w:numId w:val="1"/>
        </w:numPr>
        <w:rPr>
          <w:color w:val="auto"/>
        </w:rPr>
      </w:pPr>
      <w:bookmarkStart w:id="285" w:name="_Toc515871227"/>
      <w:bookmarkStart w:id="286" w:name="_Toc106092724"/>
      <w:bookmarkStart w:id="287" w:name="_Toc169250808"/>
      <w:bookmarkStart w:id="288" w:name="_Toc174080844"/>
      <w:r w:rsidRPr="00730B1E">
        <w:rPr>
          <w:color w:val="auto"/>
        </w:rPr>
        <w:t>Délka řízení</w:t>
      </w:r>
      <w:bookmarkEnd w:id="285"/>
      <w:bookmarkEnd w:id="286"/>
      <w:bookmarkEnd w:id="287"/>
      <w:bookmarkEnd w:id="288"/>
    </w:p>
    <w:p w14:paraId="22267DA8" w14:textId="77777777" w:rsidR="008257A6" w:rsidRPr="00730B1E" w:rsidRDefault="008257A6" w:rsidP="008257A6">
      <w:pPr>
        <w:pStyle w:val="OdstavecASR"/>
      </w:pPr>
      <w:r w:rsidRPr="00730B1E">
        <w:t>Platí stejné poznámky jako v přechozí kapitole: délky řízení zjišťujeme ze statistických listů a uvádíme v kalendářních dnech ode dne nápadu do dne konečného rozhodnutí soudem I. stupně.</w:t>
      </w:r>
    </w:p>
    <w:p w14:paraId="39AF57F8" w14:textId="5065B9B4" w:rsidR="008257A6" w:rsidRPr="00730B1E" w:rsidRDefault="008257A6" w:rsidP="008257A6">
      <w:pPr>
        <w:pStyle w:val="Podnadpis"/>
        <w:numPr>
          <w:ilvl w:val="0"/>
          <w:numId w:val="0"/>
        </w:numPr>
        <w:rPr>
          <w:color w:val="auto"/>
        </w:rPr>
      </w:pPr>
      <w:bookmarkStart w:id="289" w:name="_Toc515871346"/>
      <w:bookmarkStart w:id="290" w:name="_Toc11135081"/>
      <w:bookmarkStart w:id="291" w:name="_Toc43841397"/>
      <w:bookmarkStart w:id="292" w:name="_Toc75952198"/>
      <w:bookmarkStart w:id="293" w:name="_Toc106106652"/>
      <w:bookmarkStart w:id="294" w:name="_Toc144104129"/>
      <w:bookmarkStart w:id="295" w:name="_Toc169250937"/>
      <w:bookmarkStart w:id="296" w:name="_Toc174080623"/>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18</w:t>
      </w:r>
      <w:r w:rsidRPr="00730B1E">
        <w:rPr>
          <w:color w:val="auto"/>
        </w:rPr>
        <w:fldChar w:fldCharType="end"/>
      </w:r>
      <w:r w:rsidRPr="00730B1E">
        <w:rPr>
          <w:color w:val="auto"/>
        </w:rPr>
        <w:t>: OS – délka civilního el. rozkazního řízení v letech 2014–20</w:t>
      </w:r>
      <w:bookmarkEnd w:id="289"/>
      <w:bookmarkEnd w:id="290"/>
      <w:bookmarkEnd w:id="291"/>
      <w:r w:rsidRPr="00730B1E">
        <w:rPr>
          <w:color w:val="auto"/>
        </w:rPr>
        <w:t>2</w:t>
      </w:r>
      <w:bookmarkEnd w:id="292"/>
      <w:bookmarkEnd w:id="293"/>
      <w:bookmarkEnd w:id="294"/>
      <w:r w:rsidRPr="00730B1E">
        <w:rPr>
          <w:color w:val="auto"/>
        </w:rPr>
        <w:t>3</w:t>
      </w:r>
      <w:bookmarkEnd w:id="295"/>
      <w:bookmarkEnd w:id="296"/>
    </w:p>
    <w:p w14:paraId="621BF1AD" w14:textId="4C14E670" w:rsidR="008257A6" w:rsidRPr="00730B1E" w:rsidRDefault="008257A6" w:rsidP="008257A6">
      <w:r w:rsidRPr="00730B1E">
        <w:rPr>
          <w:noProof/>
          <w:lang w:eastAsia="cs-CZ"/>
        </w:rPr>
        <w:drawing>
          <wp:inline distT="0" distB="0" distL="0" distR="0" wp14:anchorId="0C08BA2E" wp14:editId="60202413">
            <wp:extent cx="5029200" cy="36576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93C8EC8" w14:textId="77777777" w:rsidR="008257A6" w:rsidRPr="00730B1E" w:rsidRDefault="008257A6" w:rsidP="008257A6"/>
    <w:p w14:paraId="635EFCDC" w14:textId="77777777" w:rsidR="00E31587" w:rsidRPr="00730B1E" w:rsidRDefault="00E31587" w:rsidP="008257A6"/>
    <w:p w14:paraId="7471711C" w14:textId="77777777" w:rsidR="00E31587" w:rsidRPr="00730B1E" w:rsidRDefault="00E31587" w:rsidP="008257A6"/>
    <w:p w14:paraId="37EAE5B0" w14:textId="77777777" w:rsidR="00E31587" w:rsidRPr="00730B1E" w:rsidRDefault="00E31587" w:rsidP="008257A6"/>
    <w:p w14:paraId="79C1ACAE" w14:textId="71D512AB" w:rsidR="00E31587" w:rsidRPr="00730B1E" w:rsidRDefault="00E31587" w:rsidP="00E31587">
      <w:pPr>
        <w:pStyle w:val="Podnadpis"/>
        <w:rPr>
          <w:color w:val="auto"/>
        </w:rPr>
      </w:pPr>
      <w:bookmarkStart w:id="297" w:name="_Toc515871448"/>
      <w:bookmarkStart w:id="298" w:name="_Toc11133216"/>
      <w:bookmarkStart w:id="299" w:name="_Toc43931190"/>
      <w:bookmarkStart w:id="300" w:name="_Toc75952320"/>
      <w:bookmarkStart w:id="301" w:name="_Toc106106779"/>
      <w:bookmarkStart w:id="302" w:name="_Toc144104257"/>
      <w:bookmarkStart w:id="303" w:name="_Toc169251073"/>
      <w:bookmarkStart w:id="304" w:name="_Toc174080759"/>
      <w:r w:rsidRPr="00730B1E">
        <w:rPr>
          <w:color w:val="auto"/>
        </w:rPr>
        <w:lastRenderedPageBreak/>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16</w:t>
      </w:r>
      <w:r w:rsidRPr="00730B1E">
        <w:rPr>
          <w:noProof/>
          <w:color w:val="auto"/>
        </w:rPr>
        <w:fldChar w:fldCharType="end"/>
      </w:r>
      <w:r w:rsidRPr="00730B1E">
        <w:rPr>
          <w:color w:val="auto"/>
        </w:rPr>
        <w:t>: OS – délky el. rozkazního civilního řízení dle krajů</w:t>
      </w:r>
      <w:bookmarkEnd w:id="297"/>
      <w:bookmarkEnd w:id="298"/>
      <w:bookmarkEnd w:id="299"/>
      <w:bookmarkEnd w:id="300"/>
      <w:bookmarkEnd w:id="301"/>
      <w:bookmarkEnd w:id="302"/>
      <w:r w:rsidR="00174FE5" w:rsidRPr="00730B1E">
        <w:rPr>
          <w:color w:val="auto"/>
        </w:rPr>
        <w:t>, 2023</w:t>
      </w:r>
      <w:bookmarkEnd w:id="303"/>
      <w:bookmarkEnd w:id="304"/>
    </w:p>
    <w:tbl>
      <w:tblPr>
        <w:tblW w:w="8800" w:type="dxa"/>
        <w:tblCellMar>
          <w:left w:w="70" w:type="dxa"/>
          <w:right w:w="70" w:type="dxa"/>
        </w:tblCellMar>
        <w:tblLook w:val="04A0" w:firstRow="1" w:lastRow="0" w:firstColumn="1" w:lastColumn="0" w:noHBand="0" w:noVBand="1"/>
      </w:tblPr>
      <w:tblGrid>
        <w:gridCol w:w="2320"/>
        <w:gridCol w:w="941"/>
        <w:gridCol w:w="1275"/>
        <w:gridCol w:w="851"/>
        <w:gridCol w:w="1134"/>
        <w:gridCol w:w="992"/>
        <w:gridCol w:w="1287"/>
      </w:tblGrid>
      <w:tr w:rsidR="00B64E96" w:rsidRPr="00730B1E" w14:paraId="416A564A" w14:textId="77777777" w:rsidTr="00E31587">
        <w:trPr>
          <w:trHeight w:val="330"/>
        </w:trPr>
        <w:tc>
          <w:tcPr>
            <w:tcW w:w="2320" w:type="dxa"/>
            <w:vMerge w:val="restart"/>
            <w:tcBorders>
              <w:top w:val="double" w:sz="6" w:space="0" w:color="auto"/>
              <w:left w:val="nil"/>
              <w:bottom w:val="double" w:sz="6" w:space="0" w:color="000000"/>
              <w:right w:val="nil"/>
            </w:tcBorders>
            <w:shd w:val="clear" w:color="auto" w:fill="auto"/>
            <w:noWrap/>
            <w:vAlign w:val="center"/>
            <w:hideMark/>
          </w:tcPr>
          <w:p w14:paraId="3D21D187" w14:textId="77777777" w:rsidR="00E31587" w:rsidRPr="00730B1E" w:rsidRDefault="00E31587" w:rsidP="00E31587">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556FE9D4" w14:textId="77777777" w:rsidR="00E31587" w:rsidRPr="00730B1E" w:rsidRDefault="00E31587" w:rsidP="00E31587">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42AFE5CF" w14:textId="77777777" w:rsidTr="00A50D80">
        <w:trPr>
          <w:trHeight w:val="330"/>
        </w:trPr>
        <w:tc>
          <w:tcPr>
            <w:tcW w:w="2320" w:type="dxa"/>
            <w:vMerge/>
            <w:tcBorders>
              <w:top w:val="double" w:sz="6" w:space="0" w:color="auto"/>
              <w:left w:val="nil"/>
              <w:bottom w:val="double" w:sz="6" w:space="0" w:color="000000"/>
              <w:right w:val="nil"/>
            </w:tcBorders>
            <w:vAlign w:val="center"/>
            <w:hideMark/>
          </w:tcPr>
          <w:p w14:paraId="277D1A6B" w14:textId="77777777" w:rsidR="00E31587" w:rsidRPr="00730B1E" w:rsidRDefault="00E31587" w:rsidP="00E31587">
            <w:pPr>
              <w:spacing w:line="240" w:lineRule="auto"/>
              <w:jc w:val="left"/>
              <w:rPr>
                <w:rFonts w:eastAsia="Times New Roman"/>
                <w:b/>
                <w:bCs/>
                <w:szCs w:val="24"/>
                <w:lang w:eastAsia="cs-CZ"/>
              </w:rPr>
            </w:pPr>
          </w:p>
        </w:tc>
        <w:tc>
          <w:tcPr>
            <w:tcW w:w="2216" w:type="dxa"/>
            <w:gridSpan w:val="2"/>
            <w:tcBorders>
              <w:top w:val="nil"/>
              <w:left w:val="nil"/>
              <w:bottom w:val="double" w:sz="6" w:space="0" w:color="auto"/>
              <w:right w:val="nil"/>
            </w:tcBorders>
            <w:shd w:val="clear" w:color="auto" w:fill="auto"/>
            <w:noWrap/>
            <w:vAlign w:val="center"/>
            <w:hideMark/>
          </w:tcPr>
          <w:p w14:paraId="056B43EE" w14:textId="77777777" w:rsidR="00E31587" w:rsidRPr="00730B1E" w:rsidRDefault="00E31587" w:rsidP="00E31587">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F19B8C1" w14:textId="77777777" w:rsidR="00E31587" w:rsidRPr="00730B1E" w:rsidRDefault="00E31587" w:rsidP="00E31587">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2279" w:type="dxa"/>
            <w:gridSpan w:val="2"/>
            <w:tcBorders>
              <w:top w:val="nil"/>
              <w:left w:val="nil"/>
              <w:bottom w:val="double" w:sz="6" w:space="0" w:color="auto"/>
              <w:right w:val="nil"/>
            </w:tcBorders>
            <w:shd w:val="clear" w:color="auto" w:fill="auto"/>
            <w:noWrap/>
            <w:vAlign w:val="center"/>
            <w:hideMark/>
          </w:tcPr>
          <w:p w14:paraId="18D1C644" w14:textId="77777777" w:rsidR="00E31587" w:rsidRPr="00730B1E" w:rsidRDefault="00E31587" w:rsidP="00E31587">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136C354B" w14:textId="77777777" w:rsidTr="00A50D80">
        <w:trPr>
          <w:trHeight w:val="330"/>
        </w:trPr>
        <w:tc>
          <w:tcPr>
            <w:tcW w:w="2320" w:type="dxa"/>
            <w:tcBorders>
              <w:top w:val="single" w:sz="4" w:space="0" w:color="auto"/>
              <w:left w:val="nil"/>
              <w:bottom w:val="single" w:sz="4" w:space="0" w:color="auto"/>
              <w:right w:val="nil"/>
            </w:tcBorders>
            <w:shd w:val="clear" w:color="auto" w:fill="auto"/>
            <w:noWrap/>
            <w:vAlign w:val="bottom"/>
            <w:hideMark/>
          </w:tcPr>
          <w:p w14:paraId="71101E7F" w14:textId="77777777" w:rsidR="00E31587" w:rsidRPr="00730B1E" w:rsidRDefault="00E31587" w:rsidP="00E31587">
            <w:pPr>
              <w:spacing w:line="240" w:lineRule="auto"/>
              <w:jc w:val="left"/>
              <w:rPr>
                <w:rFonts w:eastAsia="Times New Roman"/>
                <w:szCs w:val="24"/>
                <w:lang w:eastAsia="cs-CZ"/>
              </w:rPr>
            </w:pPr>
            <w:r w:rsidRPr="00730B1E">
              <w:rPr>
                <w:rFonts w:eastAsia="Times New Roman"/>
                <w:szCs w:val="24"/>
                <w:lang w:eastAsia="cs-CZ"/>
              </w:rPr>
              <w:t>MS Praha</w:t>
            </w:r>
          </w:p>
        </w:tc>
        <w:tc>
          <w:tcPr>
            <w:tcW w:w="941" w:type="dxa"/>
            <w:tcBorders>
              <w:top w:val="single" w:sz="4" w:space="0" w:color="auto"/>
              <w:left w:val="nil"/>
              <w:bottom w:val="single" w:sz="4" w:space="0" w:color="auto"/>
              <w:right w:val="nil"/>
            </w:tcBorders>
            <w:shd w:val="clear" w:color="auto" w:fill="auto"/>
            <w:noWrap/>
            <w:vAlign w:val="bottom"/>
            <w:hideMark/>
          </w:tcPr>
          <w:p w14:paraId="126EE859"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18</w:t>
            </w:r>
          </w:p>
        </w:tc>
        <w:tc>
          <w:tcPr>
            <w:tcW w:w="1275" w:type="dxa"/>
            <w:tcBorders>
              <w:top w:val="single" w:sz="4" w:space="0" w:color="auto"/>
              <w:left w:val="nil"/>
              <w:bottom w:val="single" w:sz="4" w:space="0" w:color="auto"/>
              <w:right w:val="nil"/>
            </w:tcBorders>
            <w:shd w:val="clear" w:color="auto" w:fill="auto"/>
            <w:noWrap/>
            <w:vAlign w:val="center"/>
            <w:hideMark/>
          </w:tcPr>
          <w:p w14:paraId="43D45BB3"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851" w:type="dxa"/>
            <w:tcBorders>
              <w:top w:val="nil"/>
              <w:left w:val="single" w:sz="4" w:space="0" w:color="auto"/>
              <w:bottom w:val="single" w:sz="4" w:space="0" w:color="auto"/>
              <w:right w:val="nil"/>
            </w:tcBorders>
            <w:shd w:val="clear" w:color="auto" w:fill="auto"/>
            <w:noWrap/>
            <w:vAlign w:val="bottom"/>
            <w:hideMark/>
          </w:tcPr>
          <w:p w14:paraId="44CEB2CD"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8</w:t>
            </w:r>
          </w:p>
        </w:tc>
        <w:tc>
          <w:tcPr>
            <w:tcW w:w="1134" w:type="dxa"/>
            <w:tcBorders>
              <w:top w:val="nil"/>
              <w:left w:val="nil"/>
              <w:bottom w:val="single" w:sz="4" w:space="0" w:color="auto"/>
              <w:right w:val="single" w:sz="4" w:space="0" w:color="auto"/>
            </w:tcBorders>
            <w:shd w:val="clear" w:color="auto" w:fill="auto"/>
            <w:noWrap/>
            <w:vAlign w:val="center"/>
            <w:hideMark/>
          </w:tcPr>
          <w:p w14:paraId="48AE34F8"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992" w:type="dxa"/>
            <w:tcBorders>
              <w:top w:val="single" w:sz="4" w:space="0" w:color="auto"/>
              <w:left w:val="nil"/>
              <w:bottom w:val="single" w:sz="4" w:space="0" w:color="auto"/>
              <w:right w:val="nil"/>
            </w:tcBorders>
            <w:shd w:val="clear" w:color="auto" w:fill="auto"/>
            <w:noWrap/>
            <w:vAlign w:val="bottom"/>
            <w:hideMark/>
          </w:tcPr>
          <w:p w14:paraId="5E32E768"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40</w:t>
            </w:r>
          </w:p>
        </w:tc>
        <w:tc>
          <w:tcPr>
            <w:tcW w:w="1287" w:type="dxa"/>
            <w:tcBorders>
              <w:top w:val="single" w:sz="4" w:space="0" w:color="auto"/>
              <w:left w:val="nil"/>
              <w:bottom w:val="single" w:sz="4" w:space="0" w:color="auto"/>
              <w:right w:val="nil"/>
            </w:tcBorders>
            <w:shd w:val="clear" w:color="auto" w:fill="auto"/>
            <w:noWrap/>
            <w:vAlign w:val="center"/>
            <w:hideMark/>
          </w:tcPr>
          <w:p w14:paraId="61E46E66"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4E2CD9D2" w14:textId="77777777" w:rsidTr="00A50D80">
        <w:trPr>
          <w:trHeight w:val="315"/>
        </w:trPr>
        <w:tc>
          <w:tcPr>
            <w:tcW w:w="2320" w:type="dxa"/>
            <w:tcBorders>
              <w:top w:val="nil"/>
              <w:left w:val="nil"/>
              <w:bottom w:val="single" w:sz="4" w:space="0" w:color="auto"/>
              <w:right w:val="nil"/>
            </w:tcBorders>
            <w:shd w:val="clear" w:color="auto" w:fill="auto"/>
            <w:noWrap/>
            <w:vAlign w:val="bottom"/>
            <w:hideMark/>
          </w:tcPr>
          <w:p w14:paraId="394549D9" w14:textId="77777777" w:rsidR="00E31587" w:rsidRPr="00730B1E" w:rsidRDefault="00E31587" w:rsidP="00E31587">
            <w:pPr>
              <w:spacing w:line="240" w:lineRule="auto"/>
              <w:jc w:val="left"/>
              <w:rPr>
                <w:rFonts w:eastAsia="Times New Roman"/>
                <w:szCs w:val="24"/>
                <w:lang w:eastAsia="cs-CZ"/>
              </w:rPr>
            </w:pPr>
            <w:r w:rsidRPr="00730B1E">
              <w:rPr>
                <w:rFonts w:eastAsia="Times New Roman"/>
                <w:szCs w:val="24"/>
                <w:lang w:eastAsia="cs-CZ"/>
              </w:rPr>
              <w:t>KS Praha</w:t>
            </w:r>
          </w:p>
        </w:tc>
        <w:tc>
          <w:tcPr>
            <w:tcW w:w="941" w:type="dxa"/>
            <w:tcBorders>
              <w:top w:val="nil"/>
              <w:left w:val="nil"/>
              <w:bottom w:val="single" w:sz="4" w:space="0" w:color="auto"/>
              <w:right w:val="nil"/>
            </w:tcBorders>
            <w:shd w:val="clear" w:color="auto" w:fill="auto"/>
            <w:noWrap/>
            <w:vAlign w:val="bottom"/>
            <w:hideMark/>
          </w:tcPr>
          <w:p w14:paraId="322EEE3D"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18</w:t>
            </w:r>
          </w:p>
        </w:tc>
        <w:tc>
          <w:tcPr>
            <w:tcW w:w="1275" w:type="dxa"/>
            <w:tcBorders>
              <w:top w:val="nil"/>
              <w:left w:val="nil"/>
              <w:bottom w:val="single" w:sz="4" w:space="0" w:color="auto"/>
              <w:right w:val="nil"/>
            </w:tcBorders>
            <w:shd w:val="clear" w:color="auto" w:fill="auto"/>
            <w:noWrap/>
            <w:vAlign w:val="center"/>
            <w:hideMark/>
          </w:tcPr>
          <w:p w14:paraId="4D765CEC"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851" w:type="dxa"/>
            <w:tcBorders>
              <w:top w:val="nil"/>
              <w:left w:val="single" w:sz="4" w:space="0" w:color="auto"/>
              <w:bottom w:val="single" w:sz="4" w:space="0" w:color="auto"/>
              <w:right w:val="nil"/>
            </w:tcBorders>
            <w:shd w:val="clear" w:color="auto" w:fill="auto"/>
            <w:noWrap/>
            <w:vAlign w:val="bottom"/>
            <w:hideMark/>
          </w:tcPr>
          <w:p w14:paraId="50D79D81"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8</w:t>
            </w:r>
          </w:p>
        </w:tc>
        <w:tc>
          <w:tcPr>
            <w:tcW w:w="1134" w:type="dxa"/>
            <w:tcBorders>
              <w:top w:val="nil"/>
              <w:left w:val="nil"/>
              <w:bottom w:val="single" w:sz="4" w:space="0" w:color="auto"/>
              <w:right w:val="single" w:sz="4" w:space="0" w:color="auto"/>
            </w:tcBorders>
            <w:shd w:val="clear" w:color="auto" w:fill="auto"/>
            <w:noWrap/>
            <w:vAlign w:val="center"/>
            <w:hideMark/>
          </w:tcPr>
          <w:p w14:paraId="7AC23A8C"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992" w:type="dxa"/>
            <w:tcBorders>
              <w:top w:val="nil"/>
              <w:left w:val="nil"/>
              <w:bottom w:val="single" w:sz="4" w:space="0" w:color="auto"/>
              <w:right w:val="nil"/>
            </w:tcBorders>
            <w:shd w:val="clear" w:color="auto" w:fill="auto"/>
            <w:noWrap/>
            <w:vAlign w:val="bottom"/>
            <w:hideMark/>
          </w:tcPr>
          <w:p w14:paraId="084D0127"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34</w:t>
            </w:r>
          </w:p>
        </w:tc>
        <w:tc>
          <w:tcPr>
            <w:tcW w:w="1287" w:type="dxa"/>
            <w:tcBorders>
              <w:top w:val="nil"/>
              <w:left w:val="nil"/>
              <w:bottom w:val="single" w:sz="4" w:space="0" w:color="auto"/>
              <w:right w:val="nil"/>
            </w:tcBorders>
            <w:shd w:val="clear" w:color="auto" w:fill="auto"/>
            <w:noWrap/>
            <w:vAlign w:val="center"/>
            <w:hideMark/>
          </w:tcPr>
          <w:p w14:paraId="0D31E50D"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46E065CB" w14:textId="77777777" w:rsidTr="00A50D80">
        <w:trPr>
          <w:trHeight w:val="315"/>
        </w:trPr>
        <w:tc>
          <w:tcPr>
            <w:tcW w:w="2320" w:type="dxa"/>
            <w:tcBorders>
              <w:top w:val="nil"/>
              <w:left w:val="nil"/>
              <w:bottom w:val="single" w:sz="4" w:space="0" w:color="auto"/>
              <w:right w:val="nil"/>
            </w:tcBorders>
            <w:shd w:val="clear" w:color="auto" w:fill="auto"/>
            <w:noWrap/>
            <w:vAlign w:val="bottom"/>
            <w:hideMark/>
          </w:tcPr>
          <w:p w14:paraId="29AD2CAD" w14:textId="77777777" w:rsidR="00E31587" w:rsidRPr="00730B1E" w:rsidRDefault="00E31587" w:rsidP="00E31587">
            <w:pPr>
              <w:spacing w:line="240" w:lineRule="auto"/>
              <w:jc w:val="left"/>
              <w:rPr>
                <w:rFonts w:eastAsia="Times New Roman"/>
                <w:szCs w:val="24"/>
                <w:lang w:eastAsia="cs-CZ"/>
              </w:rPr>
            </w:pPr>
            <w:r w:rsidRPr="00730B1E">
              <w:rPr>
                <w:rFonts w:eastAsia="Times New Roman"/>
                <w:szCs w:val="24"/>
                <w:lang w:eastAsia="cs-CZ"/>
              </w:rPr>
              <w:t>KS Č. Budějovice</w:t>
            </w:r>
          </w:p>
        </w:tc>
        <w:tc>
          <w:tcPr>
            <w:tcW w:w="941" w:type="dxa"/>
            <w:tcBorders>
              <w:top w:val="nil"/>
              <w:left w:val="nil"/>
              <w:bottom w:val="single" w:sz="4" w:space="0" w:color="auto"/>
              <w:right w:val="nil"/>
            </w:tcBorders>
            <w:shd w:val="clear" w:color="auto" w:fill="auto"/>
            <w:noWrap/>
            <w:vAlign w:val="bottom"/>
            <w:hideMark/>
          </w:tcPr>
          <w:p w14:paraId="7397A516"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22</w:t>
            </w:r>
          </w:p>
        </w:tc>
        <w:tc>
          <w:tcPr>
            <w:tcW w:w="1275" w:type="dxa"/>
            <w:tcBorders>
              <w:top w:val="nil"/>
              <w:left w:val="nil"/>
              <w:bottom w:val="single" w:sz="4" w:space="0" w:color="auto"/>
              <w:right w:val="nil"/>
            </w:tcBorders>
            <w:shd w:val="clear" w:color="auto" w:fill="auto"/>
            <w:noWrap/>
            <w:vAlign w:val="center"/>
            <w:hideMark/>
          </w:tcPr>
          <w:p w14:paraId="1BA53EB2"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851" w:type="dxa"/>
            <w:tcBorders>
              <w:top w:val="nil"/>
              <w:left w:val="single" w:sz="4" w:space="0" w:color="auto"/>
              <w:bottom w:val="single" w:sz="4" w:space="0" w:color="auto"/>
              <w:right w:val="nil"/>
            </w:tcBorders>
            <w:shd w:val="clear" w:color="auto" w:fill="auto"/>
            <w:noWrap/>
            <w:vAlign w:val="bottom"/>
            <w:hideMark/>
          </w:tcPr>
          <w:p w14:paraId="2D62F653"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9</w:t>
            </w:r>
          </w:p>
        </w:tc>
        <w:tc>
          <w:tcPr>
            <w:tcW w:w="1134" w:type="dxa"/>
            <w:tcBorders>
              <w:top w:val="nil"/>
              <w:left w:val="nil"/>
              <w:bottom w:val="single" w:sz="4" w:space="0" w:color="auto"/>
              <w:right w:val="single" w:sz="4" w:space="0" w:color="auto"/>
            </w:tcBorders>
            <w:shd w:val="clear" w:color="auto" w:fill="auto"/>
            <w:noWrap/>
            <w:vAlign w:val="center"/>
            <w:hideMark/>
          </w:tcPr>
          <w:p w14:paraId="4890A8D1"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92" w:type="dxa"/>
            <w:tcBorders>
              <w:top w:val="nil"/>
              <w:left w:val="nil"/>
              <w:bottom w:val="single" w:sz="4" w:space="0" w:color="auto"/>
              <w:right w:val="nil"/>
            </w:tcBorders>
            <w:shd w:val="clear" w:color="auto" w:fill="auto"/>
            <w:noWrap/>
            <w:vAlign w:val="bottom"/>
            <w:hideMark/>
          </w:tcPr>
          <w:p w14:paraId="70A92B85"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29</w:t>
            </w:r>
          </w:p>
        </w:tc>
        <w:tc>
          <w:tcPr>
            <w:tcW w:w="1287" w:type="dxa"/>
            <w:tcBorders>
              <w:top w:val="nil"/>
              <w:left w:val="nil"/>
              <w:bottom w:val="single" w:sz="4" w:space="0" w:color="auto"/>
              <w:right w:val="nil"/>
            </w:tcBorders>
            <w:shd w:val="clear" w:color="auto" w:fill="auto"/>
            <w:noWrap/>
            <w:vAlign w:val="center"/>
            <w:hideMark/>
          </w:tcPr>
          <w:p w14:paraId="24F7861A"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r>
      <w:tr w:rsidR="00B64E96" w:rsidRPr="00730B1E" w14:paraId="2E7C538E" w14:textId="77777777" w:rsidTr="00A50D80">
        <w:trPr>
          <w:trHeight w:val="315"/>
        </w:trPr>
        <w:tc>
          <w:tcPr>
            <w:tcW w:w="2320" w:type="dxa"/>
            <w:tcBorders>
              <w:top w:val="nil"/>
              <w:left w:val="nil"/>
              <w:bottom w:val="single" w:sz="4" w:space="0" w:color="auto"/>
              <w:right w:val="nil"/>
            </w:tcBorders>
            <w:shd w:val="clear" w:color="auto" w:fill="auto"/>
            <w:noWrap/>
            <w:vAlign w:val="bottom"/>
            <w:hideMark/>
          </w:tcPr>
          <w:p w14:paraId="29ADE820" w14:textId="77777777" w:rsidR="00E31587" w:rsidRPr="00730B1E" w:rsidRDefault="00E31587" w:rsidP="00E31587">
            <w:pPr>
              <w:spacing w:line="240" w:lineRule="auto"/>
              <w:jc w:val="left"/>
              <w:rPr>
                <w:rFonts w:eastAsia="Times New Roman"/>
                <w:szCs w:val="24"/>
                <w:lang w:eastAsia="cs-CZ"/>
              </w:rPr>
            </w:pPr>
            <w:r w:rsidRPr="00730B1E">
              <w:rPr>
                <w:rFonts w:eastAsia="Times New Roman"/>
                <w:szCs w:val="24"/>
                <w:lang w:eastAsia="cs-CZ"/>
              </w:rPr>
              <w:t>KS Plzeň</w:t>
            </w:r>
          </w:p>
        </w:tc>
        <w:tc>
          <w:tcPr>
            <w:tcW w:w="941" w:type="dxa"/>
            <w:tcBorders>
              <w:top w:val="nil"/>
              <w:left w:val="nil"/>
              <w:bottom w:val="single" w:sz="4" w:space="0" w:color="auto"/>
              <w:right w:val="nil"/>
            </w:tcBorders>
            <w:shd w:val="clear" w:color="auto" w:fill="auto"/>
            <w:noWrap/>
            <w:vAlign w:val="bottom"/>
            <w:hideMark/>
          </w:tcPr>
          <w:p w14:paraId="0FAEE321"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16</w:t>
            </w:r>
          </w:p>
        </w:tc>
        <w:tc>
          <w:tcPr>
            <w:tcW w:w="1275" w:type="dxa"/>
            <w:tcBorders>
              <w:top w:val="nil"/>
              <w:left w:val="nil"/>
              <w:bottom w:val="single" w:sz="4" w:space="0" w:color="auto"/>
              <w:right w:val="nil"/>
            </w:tcBorders>
            <w:shd w:val="clear" w:color="auto" w:fill="auto"/>
            <w:noWrap/>
            <w:vAlign w:val="center"/>
            <w:hideMark/>
          </w:tcPr>
          <w:p w14:paraId="434C11C0"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851" w:type="dxa"/>
            <w:tcBorders>
              <w:top w:val="nil"/>
              <w:left w:val="single" w:sz="4" w:space="0" w:color="auto"/>
              <w:bottom w:val="single" w:sz="4" w:space="0" w:color="auto"/>
              <w:right w:val="nil"/>
            </w:tcBorders>
            <w:shd w:val="clear" w:color="auto" w:fill="auto"/>
            <w:noWrap/>
            <w:vAlign w:val="bottom"/>
            <w:hideMark/>
          </w:tcPr>
          <w:p w14:paraId="5851C565"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8</w:t>
            </w:r>
          </w:p>
        </w:tc>
        <w:tc>
          <w:tcPr>
            <w:tcW w:w="1134" w:type="dxa"/>
            <w:tcBorders>
              <w:top w:val="nil"/>
              <w:left w:val="nil"/>
              <w:bottom w:val="single" w:sz="4" w:space="0" w:color="auto"/>
              <w:right w:val="single" w:sz="4" w:space="0" w:color="auto"/>
            </w:tcBorders>
            <w:shd w:val="clear" w:color="auto" w:fill="auto"/>
            <w:noWrap/>
            <w:vAlign w:val="center"/>
            <w:hideMark/>
          </w:tcPr>
          <w:p w14:paraId="540E9AF1"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992" w:type="dxa"/>
            <w:tcBorders>
              <w:top w:val="nil"/>
              <w:left w:val="nil"/>
              <w:bottom w:val="single" w:sz="4" w:space="0" w:color="auto"/>
              <w:right w:val="nil"/>
            </w:tcBorders>
            <w:shd w:val="clear" w:color="auto" w:fill="auto"/>
            <w:noWrap/>
            <w:vAlign w:val="bottom"/>
            <w:hideMark/>
          </w:tcPr>
          <w:p w14:paraId="4F5AF4EE"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34</w:t>
            </w:r>
          </w:p>
        </w:tc>
        <w:tc>
          <w:tcPr>
            <w:tcW w:w="1287" w:type="dxa"/>
            <w:tcBorders>
              <w:top w:val="nil"/>
              <w:left w:val="nil"/>
              <w:bottom w:val="single" w:sz="4" w:space="0" w:color="auto"/>
              <w:right w:val="nil"/>
            </w:tcBorders>
            <w:shd w:val="clear" w:color="auto" w:fill="auto"/>
            <w:noWrap/>
            <w:vAlign w:val="center"/>
            <w:hideMark/>
          </w:tcPr>
          <w:p w14:paraId="6F731F15"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3496AE89" w14:textId="77777777" w:rsidTr="00A50D80">
        <w:trPr>
          <w:trHeight w:val="315"/>
        </w:trPr>
        <w:tc>
          <w:tcPr>
            <w:tcW w:w="2320" w:type="dxa"/>
            <w:tcBorders>
              <w:top w:val="nil"/>
              <w:left w:val="nil"/>
              <w:bottom w:val="single" w:sz="4" w:space="0" w:color="auto"/>
              <w:right w:val="nil"/>
            </w:tcBorders>
            <w:shd w:val="clear" w:color="auto" w:fill="auto"/>
            <w:noWrap/>
            <w:vAlign w:val="bottom"/>
            <w:hideMark/>
          </w:tcPr>
          <w:p w14:paraId="729E29DA" w14:textId="77777777" w:rsidR="00E31587" w:rsidRPr="00730B1E" w:rsidRDefault="00E31587" w:rsidP="00E31587">
            <w:pPr>
              <w:spacing w:line="240" w:lineRule="auto"/>
              <w:jc w:val="left"/>
              <w:rPr>
                <w:rFonts w:eastAsia="Times New Roman"/>
                <w:szCs w:val="24"/>
                <w:lang w:eastAsia="cs-CZ"/>
              </w:rPr>
            </w:pPr>
            <w:r w:rsidRPr="00730B1E">
              <w:rPr>
                <w:rFonts w:eastAsia="Times New Roman"/>
                <w:szCs w:val="24"/>
                <w:lang w:eastAsia="cs-CZ"/>
              </w:rPr>
              <w:t>KS Ústí n. Labem</w:t>
            </w:r>
          </w:p>
        </w:tc>
        <w:tc>
          <w:tcPr>
            <w:tcW w:w="941" w:type="dxa"/>
            <w:tcBorders>
              <w:top w:val="nil"/>
              <w:left w:val="nil"/>
              <w:bottom w:val="single" w:sz="4" w:space="0" w:color="auto"/>
              <w:right w:val="nil"/>
            </w:tcBorders>
            <w:shd w:val="clear" w:color="auto" w:fill="auto"/>
            <w:noWrap/>
            <w:vAlign w:val="bottom"/>
            <w:hideMark/>
          </w:tcPr>
          <w:p w14:paraId="38B88409"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30</w:t>
            </w:r>
          </w:p>
        </w:tc>
        <w:tc>
          <w:tcPr>
            <w:tcW w:w="1275" w:type="dxa"/>
            <w:tcBorders>
              <w:top w:val="nil"/>
              <w:left w:val="nil"/>
              <w:bottom w:val="single" w:sz="4" w:space="0" w:color="auto"/>
              <w:right w:val="nil"/>
            </w:tcBorders>
            <w:shd w:val="clear" w:color="auto" w:fill="auto"/>
            <w:noWrap/>
            <w:vAlign w:val="center"/>
            <w:hideMark/>
          </w:tcPr>
          <w:p w14:paraId="19AE2038"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851" w:type="dxa"/>
            <w:tcBorders>
              <w:top w:val="nil"/>
              <w:left w:val="single" w:sz="4" w:space="0" w:color="auto"/>
              <w:bottom w:val="single" w:sz="4" w:space="0" w:color="auto"/>
              <w:right w:val="nil"/>
            </w:tcBorders>
            <w:shd w:val="clear" w:color="auto" w:fill="auto"/>
            <w:noWrap/>
            <w:vAlign w:val="bottom"/>
            <w:hideMark/>
          </w:tcPr>
          <w:p w14:paraId="4816BABE"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13</w:t>
            </w:r>
          </w:p>
        </w:tc>
        <w:tc>
          <w:tcPr>
            <w:tcW w:w="1134" w:type="dxa"/>
            <w:tcBorders>
              <w:top w:val="nil"/>
              <w:left w:val="nil"/>
              <w:bottom w:val="single" w:sz="4" w:space="0" w:color="auto"/>
              <w:right w:val="single" w:sz="4" w:space="0" w:color="auto"/>
            </w:tcBorders>
            <w:shd w:val="clear" w:color="auto" w:fill="auto"/>
            <w:noWrap/>
            <w:vAlign w:val="center"/>
            <w:hideMark/>
          </w:tcPr>
          <w:p w14:paraId="2B06DFEB"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c>
          <w:tcPr>
            <w:tcW w:w="992" w:type="dxa"/>
            <w:tcBorders>
              <w:top w:val="nil"/>
              <w:left w:val="nil"/>
              <w:bottom w:val="single" w:sz="4" w:space="0" w:color="auto"/>
              <w:right w:val="nil"/>
            </w:tcBorders>
            <w:shd w:val="clear" w:color="auto" w:fill="auto"/>
            <w:noWrap/>
            <w:vAlign w:val="bottom"/>
            <w:hideMark/>
          </w:tcPr>
          <w:p w14:paraId="41C90C7E"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56</w:t>
            </w:r>
          </w:p>
        </w:tc>
        <w:tc>
          <w:tcPr>
            <w:tcW w:w="1287" w:type="dxa"/>
            <w:tcBorders>
              <w:top w:val="nil"/>
              <w:left w:val="nil"/>
              <w:bottom w:val="single" w:sz="4" w:space="0" w:color="auto"/>
              <w:right w:val="nil"/>
            </w:tcBorders>
            <w:shd w:val="clear" w:color="auto" w:fill="auto"/>
            <w:noWrap/>
            <w:vAlign w:val="center"/>
            <w:hideMark/>
          </w:tcPr>
          <w:p w14:paraId="58F11A9C"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r>
      <w:tr w:rsidR="00B64E96" w:rsidRPr="00730B1E" w14:paraId="78F9713D" w14:textId="77777777" w:rsidTr="00A50D80">
        <w:trPr>
          <w:trHeight w:val="315"/>
        </w:trPr>
        <w:tc>
          <w:tcPr>
            <w:tcW w:w="2320" w:type="dxa"/>
            <w:tcBorders>
              <w:top w:val="nil"/>
              <w:left w:val="nil"/>
              <w:bottom w:val="single" w:sz="4" w:space="0" w:color="auto"/>
              <w:right w:val="nil"/>
            </w:tcBorders>
            <w:shd w:val="clear" w:color="auto" w:fill="auto"/>
            <w:noWrap/>
            <w:vAlign w:val="bottom"/>
            <w:hideMark/>
          </w:tcPr>
          <w:p w14:paraId="13B28BC6" w14:textId="77777777" w:rsidR="00E31587" w:rsidRPr="00730B1E" w:rsidRDefault="00E31587" w:rsidP="00E31587">
            <w:pPr>
              <w:spacing w:line="240" w:lineRule="auto"/>
              <w:jc w:val="left"/>
              <w:rPr>
                <w:rFonts w:eastAsia="Times New Roman"/>
                <w:szCs w:val="24"/>
                <w:lang w:eastAsia="cs-CZ"/>
              </w:rPr>
            </w:pPr>
            <w:r w:rsidRPr="00730B1E">
              <w:rPr>
                <w:rFonts w:eastAsia="Times New Roman"/>
                <w:szCs w:val="24"/>
                <w:lang w:eastAsia="cs-CZ"/>
              </w:rPr>
              <w:t>KS Hr. Králové</w:t>
            </w:r>
          </w:p>
        </w:tc>
        <w:tc>
          <w:tcPr>
            <w:tcW w:w="941" w:type="dxa"/>
            <w:tcBorders>
              <w:top w:val="nil"/>
              <w:left w:val="nil"/>
              <w:bottom w:val="single" w:sz="4" w:space="0" w:color="auto"/>
              <w:right w:val="nil"/>
            </w:tcBorders>
            <w:shd w:val="clear" w:color="auto" w:fill="auto"/>
            <w:noWrap/>
            <w:vAlign w:val="bottom"/>
            <w:hideMark/>
          </w:tcPr>
          <w:p w14:paraId="43A8E1C7"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18</w:t>
            </w:r>
          </w:p>
        </w:tc>
        <w:tc>
          <w:tcPr>
            <w:tcW w:w="1275" w:type="dxa"/>
            <w:tcBorders>
              <w:top w:val="nil"/>
              <w:left w:val="nil"/>
              <w:bottom w:val="single" w:sz="4" w:space="0" w:color="auto"/>
              <w:right w:val="nil"/>
            </w:tcBorders>
            <w:shd w:val="clear" w:color="auto" w:fill="auto"/>
            <w:noWrap/>
            <w:vAlign w:val="center"/>
            <w:hideMark/>
          </w:tcPr>
          <w:p w14:paraId="40EA67A2"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851" w:type="dxa"/>
            <w:tcBorders>
              <w:top w:val="nil"/>
              <w:left w:val="single" w:sz="4" w:space="0" w:color="auto"/>
              <w:bottom w:val="single" w:sz="4" w:space="0" w:color="auto"/>
              <w:right w:val="nil"/>
            </w:tcBorders>
            <w:shd w:val="clear" w:color="auto" w:fill="auto"/>
            <w:noWrap/>
            <w:vAlign w:val="bottom"/>
            <w:hideMark/>
          </w:tcPr>
          <w:p w14:paraId="7B96919B"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9</w:t>
            </w:r>
          </w:p>
        </w:tc>
        <w:tc>
          <w:tcPr>
            <w:tcW w:w="1134" w:type="dxa"/>
            <w:tcBorders>
              <w:top w:val="nil"/>
              <w:left w:val="nil"/>
              <w:bottom w:val="single" w:sz="4" w:space="0" w:color="auto"/>
              <w:right w:val="single" w:sz="4" w:space="0" w:color="auto"/>
            </w:tcBorders>
            <w:shd w:val="clear" w:color="auto" w:fill="auto"/>
            <w:noWrap/>
            <w:vAlign w:val="center"/>
            <w:hideMark/>
          </w:tcPr>
          <w:p w14:paraId="5A5CECC1"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c>
          <w:tcPr>
            <w:tcW w:w="992" w:type="dxa"/>
            <w:tcBorders>
              <w:top w:val="nil"/>
              <w:left w:val="nil"/>
              <w:bottom w:val="single" w:sz="4" w:space="0" w:color="auto"/>
              <w:right w:val="nil"/>
            </w:tcBorders>
            <w:shd w:val="clear" w:color="auto" w:fill="auto"/>
            <w:noWrap/>
            <w:vAlign w:val="bottom"/>
            <w:hideMark/>
          </w:tcPr>
          <w:p w14:paraId="39F39549"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33</w:t>
            </w:r>
          </w:p>
        </w:tc>
        <w:tc>
          <w:tcPr>
            <w:tcW w:w="1287" w:type="dxa"/>
            <w:tcBorders>
              <w:top w:val="nil"/>
              <w:left w:val="nil"/>
              <w:bottom w:val="single" w:sz="4" w:space="0" w:color="auto"/>
              <w:right w:val="nil"/>
            </w:tcBorders>
            <w:shd w:val="clear" w:color="auto" w:fill="auto"/>
            <w:noWrap/>
            <w:vAlign w:val="center"/>
            <w:hideMark/>
          </w:tcPr>
          <w:p w14:paraId="50B2DDF2"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52AA47AE" w14:textId="77777777" w:rsidTr="00A50D80">
        <w:trPr>
          <w:trHeight w:val="315"/>
        </w:trPr>
        <w:tc>
          <w:tcPr>
            <w:tcW w:w="2320" w:type="dxa"/>
            <w:tcBorders>
              <w:top w:val="nil"/>
              <w:left w:val="nil"/>
              <w:bottom w:val="single" w:sz="4" w:space="0" w:color="auto"/>
              <w:right w:val="nil"/>
            </w:tcBorders>
            <w:shd w:val="clear" w:color="auto" w:fill="auto"/>
            <w:noWrap/>
            <w:vAlign w:val="bottom"/>
            <w:hideMark/>
          </w:tcPr>
          <w:p w14:paraId="147A39AF" w14:textId="77777777" w:rsidR="00E31587" w:rsidRPr="00730B1E" w:rsidRDefault="00E31587" w:rsidP="00E31587">
            <w:pPr>
              <w:spacing w:line="240" w:lineRule="auto"/>
              <w:jc w:val="left"/>
              <w:rPr>
                <w:rFonts w:eastAsia="Times New Roman"/>
                <w:szCs w:val="24"/>
                <w:lang w:eastAsia="cs-CZ"/>
              </w:rPr>
            </w:pPr>
            <w:r w:rsidRPr="00730B1E">
              <w:rPr>
                <w:rFonts w:eastAsia="Times New Roman"/>
                <w:szCs w:val="24"/>
                <w:lang w:eastAsia="cs-CZ"/>
              </w:rPr>
              <w:t>KS Brno</w:t>
            </w:r>
          </w:p>
        </w:tc>
        <w:tc>
          <w:tcPr>
            <w:tcW w:w="941" w:type="dxa"/>
            <w:tcBorders>
              <w:top w:val="nil"/>
              <w:left w:val="nil"/>
              <w:bottom w:val="single" w:sz="4" w:space="0" w:color="auto"/>
              <w:right w:val="nil"/>
            </w:tcBorders>
            <w:shd w:val="clear" w:color="auto" w:fill="auto"/>
            <w:noWrap/>
            <w:vAlign w:val="bottom"/>
            <w:hideMark/>
          </w:tcPr>
          <w:p w14:paraId="3003A041"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39</w:t>
            </w:r>
          </w:p>
        </w:tc>
        <w:tc>
          <w:tcPr>
            <w:tcW w:w="1275" w:type="dxa"/>
            <w:tcBorders>
              <w:top w:val="nil"/>
              <w:left w:val="nil"/>
              <w:bottom w:val="single" w:sz="4" w:space="0" w:color="auto"/>
              <w:right w:val="nil"/>
            </w:tcBorders>
            <w:shd w:val="clear" w:color="auto" w:fill="auto"/>
            <w:noWrap/>
            <w:vAlign w:val="center"/>
            <w:hideMark/>
          </w:tcPr>
          <w:p w14:paraId="1627A180"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851" w:type="dxa"/>
            <w:tcBorders>
              <w:top w:val="nil"/>
              <w:left w:val="single" w:sz="4" w:space="0" w:color="auto"/>
              <w:bottom w:val="single" w:sz="4" w:space="0" w:color="auto"/>
              <w:right w:val="nil"/>
            </w:tcBorders>
            <w:shd w:val="clear" w:color="auto" w:fill="auto"/>
            <w:noWrap/>
            <w:vAlign w:val="bottom"/>
            <w:hideMark/>
          </w:tcPr>
          <w:p w14:paraId="096B74B5"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21</w:t>
            </w:r>
          </w:p>
        </w:tc>
        <w:tc>
          <w:tcPr>
            <w:tcW w:w="1134" w:type="dxa"/>
            <w:tcBorders>
              <w:top w:val="nil"/>
              <w:left w:val="nil"/>
              <w:bottom w:val="single" w:sz="4" w:space="0" w:color="auto"/>
              <w:right w:val="single" w:sz="4" w:space="0" w:color="auto"/>
            </w:tcBorders>
            <w:shd w:val="clear" w:color="auto" w:fill="auto"/>
            <w:noWrap/>
            <w:vAlign w:val="center"/>
            <w:hideMark/>
          </w:tcPr>
          <w:p w14:paraId="7A6908FC"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992" w:type="dxa"/>
            <w:tcBorders>
              <w:top w:val="nil"/>
              <w:left w:val="nil"/>
              <w:bottom w:val="single" w:sz="4" w:space="0" w:color="auto"/>
              <w:right w:val="nil"/>
            </w:tcBorders>
            <w:shd w:val="clear" w:color="auto" w:fill="auto"/>
            <w:noWrap/>
            <w:vAlign w:val="bottom"/>
            <w:hideMark/>
          </w:tcPr>
          <w:p w14:paraId="2A8AA575"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79</w:t>
            </w:r>
          </w:p>
        </w:tc>
        <w:tc>
          <w:tcPr>
            <w:tcW w:w="1287" w:type="dxa"/>
            <w:tcBorders>
              <w:top w:val="nil"/>
              <w:left w:val="nil"/>
              <w:bottom w:val="single" w:sz="4" w:space="0" w:color="auto"/>
              <w:right w:val="nil"/>
            </w:tcBorders>
            <w:shd w:val="clear" w:color="auto" w:fill="auto"/>
            <w:noWrap/>
            <w:vAlign w:val="center"/>
            <w:hideMark/>
          </w:tcPr>
          <w:p w14:paraId="23FA415D"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718D949E" w14:textId="77777777" w:rsidTr="00A50D80">
        <w:trPr>
          <w:trHeight w:val="330"/>
        </w:trPr>
        <w:tc>
          <w:tcPr>
            <w:tcW w:w="2320" w:type="dxa"/>
            <w:tcBorders>
              <w:top w:val="nil"/>
              <w:left w:val="nil"/>
              <w:bottom w:val="double" w:sz="6" w:space="0" w:color="auto"/>
              <w:right w:val="nil"/>
            </w:tcBorders>
            <w:shd w:val="clear" w:color="auto" w:fill="auto"/>
            <w:noWrap/>
            <w:vAlign w:val="bottom"/>
            <w:hideMark/>
          </w:tcPr>
          <w:p w14:paraId="698CAF35" w14:textId="77777777" w:rsidR="00E31587" w:rsidRPr="00730B1E" w:rsidRDefault="00E31587" w:rsidP="00E31587">
            <w:pPr>
              <w:spacing w:line="240" w:lineRule="auto"/>
              <w:jc w:val="left"/>
              <w:rPr>
                <w:rFonts w:eastAsia="Times New Roman"/>
                <w:szCs w:val="24"/>
                <w:lang w:eastAsia="cs-CZ"/>
              </w:rPr>
            </w:pPr>
            <w:r w:rsidRPr="00730B1E">
              <w:rPr>
                <w:rFonts w:eastAsia="Times New Roman"/>
                <w:szCs w:val="24"/>
                <w:lang w:eastAsia="cs-CZ"/>
              </w:rPr>
              <w:t>KS Ostrava</w:t>
            </w:r>
          </w:p>
        </w:tc>
        <w:tc>
          <w:tcPr>
            <w:tcW w:w="941" w:type="dxa"/>
            <w:tcBorders>
              <w:top w:val="nil"/>
              <w:left w:val="nil"/>
              <w:bottom w:val="double" w:sz="6" w:space="0" w:color="auto"/>
              <w:right w:val="nil"/>
            </w:tcBorders>
            <w:shd w:val="clear" w:color="auto" w:fill="auto"/>
            <w:noWrap/>
            <w:vAlign w:val="bottom"/>
            <w:hideMark/>
          </w:tcPr>
          <w:p w14:paraId="552A6BA7"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50</w:t>
            </w:r>
          </w:p>
        </w:tc>
        <w:tc>
          <w:tcPr>
            <w:tcW w:w="1275" w:type="dxa"/>
            <w:tcBorders>
              <w:top w:val="nil"/>
              <w:left w:val="nil"/>
              <w:bottom w:val="double" w:sz="6" w:space="0" w:color="auto"/>
              <w:right w:val="nil"/>
            </w:tcBorders>
            <w:shd w:val="clear" w:color="auto" w:fill="auto"/>
            <w:noWrap/>
            <w:vAlign w:val="center"/>
            <w:hideMark/>
          </w:tcPr>
          <w:p w14:paraId="5770D8FB"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+35 %  </w:t>
            </w:r>
          </w:p>
        </w:tc>
        <w:tc>
          <w:tcPr>
            <w:tcW w:w="851" w:type="dxa"/>
            <w:tcBorders>
              <w:top w:val="nil"/>
              <w:left w:val="single" w:sz="4" w:space="0" w:color="auto"/>
              <w:bottom w:val="double" w:sz="6" w:space="0" w:color="auto"/>
              <w:right w:val="nil"/>
            </w:tcBorders>
            <w:shd w:val="clear" w:color="auto" w:fill="auto"/>
            <w:noWrap/>
            <w:vAlign w:val="bottom"/>
            <w:hideMark/>
          </w:tcPr>
          <w:p w14:paraId="1F4103EE"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21</w:t>
            </w:r>
          </w:p>
        </w:tc>
        <w:tc>
          <w:tcPr>
            <w:tcW w:w="1134" w:type="dxa"/>
            <w:tcBorders>
              <w:top w:val="nil"/>
              <w:left w:val="nil"/>
              <w:bottom w:val="double" w:sz="6" w:space="0" w:color="auto"/>
              <w:right w:val="single" w:sz="4" w:space="0" w:color="auto"/>
            </w:tcBorders>
            <w:shd w:val="clear" w:color="auto" w:fill="auto"/>
            <w:noWrap/>
            <w:vAlign w:val="center"/>
            <w:hideMark/>
          </w:tcPr>
          <w:p w14:paraId="1C4086C6"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+24 %  </w:t>
            </w:r>
          </w:p>
        </w:tc>
        <w:tc>
          <w:tcPr>
            <w:tcW w:w="992" w:type="dxa"/>
            <w:tcBorders>
              <w:top w:val="nil"/>
              <w:left w:val="nil"/>
              <w:bottom w:val="double" w:sz="6" w:space="0" w:color="auto"/>
              <w:right w:val="nil"/>
            </w:tcBorders>
            <w:shd w:val="clear" w:color="auto" w:fill="auto"/>
            <w:noWrap/>
            <w:vAlign w:val="bottom"/>
            <w:hideMark/>
          </w:tcPr>
          <w:p w14:paraId="727F0E14" w14:textId="77777777" w:rsidR="00E31587" w:rsidRPr="00730B1E" w:rsidRDefault="00E31587" w:rsidP="00E31587">
            <w:pPr>
              <w:spacing w:line="240" w:lineRule="auto"/>
              <w:jc w:val="center"/>
              <w:rPr>
                <w:rFonts w:eastAsia="Times New Roman"/>
                <w:szCs w:val="24"/>
                <w:lang w:eastAsia="cs-CZ"/>
              </w:rPr>
            </w:pPr>
            <w:r w:rsidRPr="00730B1E">
              <w:rPr>
                <w:rFonts w:eastAsia="Times New Roman"/>
                <w:szCs w:val="24"/>
                <w:lang w:eastAsia="cs-CZ"/>
              </w:rPr>
              <w:t>129</w:t>
            </w:r>
          </w:p>
        </w:tc>
        <w:tc>
          <w:tcPr>
            <w:tcW w:w="1287" w:type="dxa"/>
            <w:tcBorders>
              <w:top w:val="nil"/>
              <w:left w:val="nil"/>
              <w:bottom w:val="double" w:sz="6" w:space="0" w:color="auto"/>
              <w:right w:val="nil"/>
            </w:tcBorders>
            <w:shd w:val="clear" w:color="auto" w:fill="auto"/>
            <w:noWrap/>
            <w:vAlign w:val="center"/>
            <w:hideMark/>
          </w:tcPr>
          <w:p w14:paraId="0F4BFF4B" w14:textId="77777777" w:rsidR="00E31587" w:rsidRPr="00730B1E" w:rsidRDefault="00E31587" w:rsidP="00E31587">
            <w:pPr>
              <w:spacing w:line="240" w:lineRule="auto"/>
              <w:jc w:val="center"/>
              <w:rPr>
                <w:rFonts w:eastAsia="Times New Roman"/>
                <w:sz w:val="20"/>
                <w:szCs w:val="20"/>
                <w:lang w:eastAsia="cs-CZ"/>
              </w:rPr>
            </w:pPr>
            <w:r w:rsidRPr="00730B1E">
              <w:rPr>
                <w:rFonts w:eastAsia="Times New Roman"/>
                <w:sz w:val="20"/>
                <w:szCs w:val="20"/>
                <w:lang w:eastAsia="cs-CZ"/>
              </w:rPr>
              <w:t xml:space="preserve">+79 %  </w:t>
            </w:r>
          </w:p>
        </w:tc>
      </w:tr>
      <w:tr w:rsidR="00B64E96" w:rsidRPr="00730B1E" w14:paraId="298E09A8" w14:textId="77777777" w:rsidTr="00A50D80">
        <w:trPr>
          <w:trHeight w:val="345"/>
        </w:trPr>
        <w:tc>
          <w:tcPr>
            <w:tcW w:w="2320" w:type="dxa"/>
            <w:tcBorders>
              <w:top w:val="nil"/>
              <w:left w:val="nil"/>
              <w:bottom w:val="double" w:sz="6" w:space="0" w:color="auto"/>
              <w:right w:val="nil"/>
            </w:tcBorders>
            <w:shd w:val="clear" w:color="auto" w:fill="auto"/>
            <w:noWrap/>
            <w:vAlign w:val="bottom"/>
            <w:hideMark/>
          </w:tcPr>
          <w:p w14:paraId="5F8B7053" w14:textId="77777777" w:rsidR="00E31587" w:rsidRPr="00730B1E" w:rsidRDefault="00E31587" w:rsidP="00E31587">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941" w:type="dxa"/>
            <w:tcBorders>
              <w:top w:val="nil"/>
              <w:left w:val="nil"/>
              <w:bottom w:val="double" w:sz="6" w:space="0" w:color="auto"/>
              <w:right w:val="nil"/>
            </w:tcBorders>
            <w:shd w:val="clear" w:color="auto" w:fill="auto"/>
            <w:noWrap/>
            <w:vAlign w:val="bottom"/>
            <w:hideMark/>
          </w:tcPr>
          <w:p w14:paraId="036114F8" w14:textId="77777777" w:rsidR="00E31587" w:rsidRPr="00730B1E" w:rsidRDefault="00E31587" w:rsidP="00E31587">
            <w:pPr>
              <w:spacing w:line="240" w:lineRule="auto"/>
              <w:jc w:val="center"/>
              <w:rPr>
                <w:rFonts w:eastAsia="Times New Roman"/>
                <w:b/>
                <w:bCs/>
                <w:szCs w:val="24"/>
                <w:lang w:eastAsia="cs-CZ"/>
              </w:rPr>
            </w:pPr>
            <w:r w:rsidRPr="00730B1E">
              <w:rPr>
                <w:rFonts w:eastAsia="Times New Roman"/>
                <w:b/>
                <w:bCs/>
                <w:szCs w:val="24"/>
                <w:lang w:eastAsia="cs-CZ"/>
              </w:rPr>
              <w:t>30</w:t>
            </w:r>
          </w:p>
        </w:tc>
        <w:tc>
          <w:tcPr>
            <w:tcW w:w="1275" w:type="dxa"/>
            <w:tcBorders>
              <w:top w:val="nil"/>
              <w:left w:val="nil"/>
              <w:bottom w:val="double" w:sz="6" w:space="0" w:color="auto"/>
              <w:right w:val="nil"/>
            </w:tcBorders>
            <w:shd w:val="clear" w:color="auto" w:fill="auto"/>
            <w:noWrap/>
            <w:vAlign w:val="center"/>
            <w:hideMark/>
          </w:tcPr>
          <w:p w14:paraId="3E6E2863" w14:textId="77777777" w:rsidR="00E31587" w:rsidRPr="00730B1E" w:rsidRDefault="00E31587" w:rsidP="00E31587">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+7 %  </w:t>
            </w:r>
          </w:p>
        </w:tc>
        <w:tc>
          <w:tcPr>
            <w:tcW w:w="851" w:type="dxa"/>
            <w:tcBorders>
              <w:top w:val="nil"/>
              <w:left w:val="single" w:sz="4" w:space="0" w:color="auto"/>
              <w:bottom w:val="double" w:sz="6" w:space="0" w:color="auto"/>
              <w:right w:val="nil"/>
            </w:tcBorders>
            <w:shd w:val="clear" w:color="auto" w:fill="auto"/>
            <w:noWrap/>
            <w:vAlign w:val="bottom"/>
            <w:hideMark/>
          </w:tcPr>
          <w:p w14:paraId="231043F2" w14:textId="77777777" w:rsidR="00E31587" w:rsidRPr="00730B1E" w:rsidRDefault="00E31587" w:rsidP="00E31587">
            <w:pPr>
              <w:spacing w:line="240" w:lineRule="auto"/>
              <w:jc w:val="center"/>
              <w:rPr>
                <w:rFonts w:eastAsia="Times New Roman"/>
                <w:b/>
                <w:bCs/>
                <w:szCs w:val="24"/>
                <w:lang w:eastAsia="cs-CZ"/>
              </w:rPr>
            </w:pPr>
            <w:r w:rsidRPr="00730B1E">
              <w:rPr>
                <w:rFonts w:eastAsia="Times New Roman"/>
                <w:b/>
                <w:bCs/>
                <w:szCs w:val="24"/>
                <w:lang w:eastAsia="cs-CZ"/>
              </w:rPr>
              <w:t>12</w:t>
            </w:r>
          </w:p>
        </w:tc>
        <w:tc>
          <w:tcPr>
            <w:tcW w:w="1134" w:type="dxa"/>
            <w:tcBorders>
              <w:top w:val="nil"/>
              <w:left w:val="nil"/>
              <w:bottom w:val="double" w:sz="6" w:space="0" w:color="auto"/>
              <w:right w:val="single" w:sz="4" w:space="0" w:color="auto"/>
            </w:tcBorders>
            <w:shd w:val="clear" w:color="auto" w:fill="auto"/>
            <w:noWrap/>
            <w:vAlign w:val="center"/>
            <w:hideMark/>
          </w:tcPr>
          <w:p w14:paraId="420B568F" w14:textId="77777777" w:rsidR="00E31587" w:rsidRPr="00730B1E" w:rsidRDefault="00E31587" w:rsidP="00E31587">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+0 %  </w:t>
            </w:r>
          </w:p>
        </w:tc>
        <w:tc>
          <w:tcPr>
            <w:tcW w:w="992" w:type="dxa"/>
            <w:tcBorders>
              <w:top w:val="nil"/>
              <w:left w:val="nil"/>
              <w:bottom w:val="double" w:sz="6" w:space="0" w:color="auto"/>
              <w:right w:val="nil"/>
            </w:tcBorders>
            <w:shd w:val="clear" w:color="auto" w:fill="auto"/>
            <w:noWrap/>
            <w:vAlign w:val="bottom"/>
            <w:hideMark/>
          </w:tcPr>
          <w:p w14:paraId="480475E7" w14:textId="77777777" w:rsidR="00E31587" w:rsidRPr="00730B1E" w:rsidRDefault="00E31587" w:rsidP="00E31587">
            <w:pPr>
              <w:spacing w:line="240" w:lineRule="auto"/>
              <w:jc w:val="center"/>
              <w:rPr>
                <w:rFonts w:eastAsia="Times New Roman"/>
                <w:b/>
                <w:bCs/>
                <w:szCs w:val="24"/>
                <w:lang w:eastAsia="cs-CZ"/>
              </w:rPr>
            </w:pPr>
            <w:r w:rsidRPr="00730B1E">
              <w:rPr>
                <w:rFonts w:eastAsia="Times New Roman"/>
                <w:b/>
                <w:bCs/>
                <w:szCs w:val="24"/>
                <w:lang w:eastAsia="cs-CZ"/>
              </w:rPr>
              <w:t>62</w:t>
            </w:r>
          </w:p>
        </w:tc>
        <w:tc>
          <w:tcPr>
            <w:tcW w:w="1287" w:type="dxa"/>
            <w:tcBorders>
              <w:top w:val="nil"/>
              <w:left w:val="nil"/>
              <w:bottom w:val="double" w:sz="6" w:space="0" w:color="auto"/>
              <w:right w:val="nil"/>
            </w:tcBorders>
            <w:shd w:val="clear" w:color="auto" w:fill="auto"/>
            <w:noWrap/>
            <w:vAlign w:val="center"/>
            <w:hideMark/>
          </w:tcPr>
          <w:p w14:paraId="6E2C0378" w14:textId="77777777" w:rsidR="00E31587" w:rsidRPr="00730B1E" w:rsidRDefault="00E31587" w:rsidP="00E31587">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+13 %  </w:t>
            </w:r>
          </w:p>
        </w:tc>
      </w:tr>
      <w:tr w:rsidR="00B64E96" w:rsidRPr="00730B1E" w14:paraId="4A3D4A33" w14:textId="77777777" w:rsidTr="00A50D80">
        <w:trPr>
          <w:trHeight w:val="330"/>
        </w:trPr>
        <w:tc>
          <w:tcPr>
            <w:tcW w:w="2320" w:type="dxa"/>
            <w:tcBorders>
              <w:top w:val="nil"/>
              <w:left w:val="nil"/>
              <w:bottom w:val="nil"/>
              <w:right w:val="nil"/>
            </w:tcBorders>
            <w:shd w:val="clear" w:color="auto" w:fill="auto"/>
            <w:noWrap/>
            <w:vAlign w:val="bottom"/>
            <w:hideMark/>
          </w:tcPr>
          <w:p w14:paraId="49153DA2" w14:textId="77777777" w:rsidR="00E31587" w:rsidRPr="00730B1E" w:rsidRDefault="00E31587" w:rsidP="00E31587">
            <w:pPr>
              <w:spacing w:line="240" w:lineRule="auto"/>
              <w:jc w:val="center"/>
              <w:rPr>
                <w:rFonts w:eastAsia="Times New Roman"/>
                <w:b/>
                <w:bCs/>
                <w:sz w:val="20"/>
                <w:szCs w:val="20"/>
                <w:lang w:eastAsia="cs-CZ"/>
              </w:rPr>
            </w:pPr>
          </w:p>
        </w:tc>
        <w:tc>
          <w:tcPr>
            <w:tcW w:w="941" w:type="dxa"/>
            <w:tcBorders>
              <w:top w:val="nil"/>
              <w:left w:val="nil"/>
              <w:bottom w:val="nil"/>
              <w:right w:val="nil"/>
            </w:tcBorders>
            <w:shd w:val="clear" w:color="auto" w:fill="auto"/>
            <w:noWrap/>
            <w:vAlign w:val="bottom"/>
            <w:hideMark/>
          </w:tcPr>
          <w:p w14:paraId="4EEA5441" w14:textId="77777777" w:rsidR="00E31587" w:rsidRPr="00DF07F3" w:rsidRDefault="00E31587" w:rsidP="00E31587">
            <w:pPr>
              <w:spacing w:line="240" w:lineRule="auto"/>
              <w:jc w:val="left"/>
              <w:rPr>
                <w:sz w:val="20"/>
              </w:rPr>
            </w:pPr>
          </w:p>
        </w:tc>
        <w:tc>
          <w:tcPr>
            <w:tcW w:w="1275" w:type="dxa"/>
            <w:tcBorders>
              <w:top w:val="nil"/>
              <w:left w:val="nil"/>
              <w:bottom w:val="nil"/>
              <w:right w:val="nil"/>
            </w:tcBorders>
            <w:shd w:val="clear" w:color="auto" w:fill="auto"/>
            <w:noWrap/>
            <w:vAlign w:val="bottom"/>
            <w:hideMark/>
          </w:tcPr>
          <w:p w14:paraId="0EAF2ABE" w14:textId="77777777" w:rsidR="00E31587" w:rsidRPr="00DF07F3" w:rsidRDefault="00E31587" w:rsidP="00E31587">
            <w:pPr>
              <w:spacing w:line="240" w:lineRule="auto"/>
              <w:jc w:val="left"/>
              <w:rPr>
                <w:sz w:val="20"/>
              </w:rPr>
            </w:pPr>
          </w:p>
        </w:tc>
        <w:tc>
          <w:tcPr>
            <w:tcW w:w="851" w:type="dxa"/>
            <w:tcBorders>
              <w:top w:val="nil"/>
              <w:left w:val="nil"/>
              <w:bottom w:val="nil"/>
              <w:right w:val="nil"/>
            </w:tcBorders>
            <w:shd w:val="clear" w:color="auto" w:fill="auto"/>
            <w:noWrap/>
            <w:vAlign w:val="bottom"/>
            <w:hideMark/>
          </w:tcPr>
          <w:p w14:paraId="7107686D" w14:textId="77777777" w:rsidR="00E31587" w:rsidRPr="00DF07F3" w:rsidRDefault="00E31587" w:rsidP="00E31587">
            <w:pPr>
              <w:spacing w:line="240" w:lineRule="auto"/>
              <w:jc w:val="left"/>
              <w:rPr>
                <w:sz w:val="20"/>
              </w:rPr>
            </w:pPr>
          </w:p>
        </w:tc>
        <w:tc>
          <w:tcPr>
            <w:tcW w:w="1134" w:type="dxa"/>
            <w:tcBorders>
              <w:top w:val="nil"/>
              <w:left w:val="nil"/>
              <w:bottom w:val="nil"/>
              <w:right w:val="nil"/>
            </w:tcBorders>
            <w:shd w:val="clear" w:color="auto" w:fill="auto"/>
            <w:noWrap/>
            <w:vAlign w:val="bottom"/>
            <w:hideMark/>
          </w:tcPr>
          <w:p w14:paraId="443E20A6" w14:textId="77777777" w:rsidR="00E31587" w:rsidRPr="00DF07F3" w:rsidRDefault="00E31587" w:rsidP="00E31587">
            <w:pPr>
              <w:spacing w:line="240" w:lineRule="auto"/>
              <w:jc w:val="left"/>
              <w:rPr>
                <w:sz w:val="20"/>
              </w:rPr>
            </w:pPr>
          </w:p>
        </w:tc>
        <w:tc>
          <w:tcPr>
            <w:tcW w:w="992" w:type="dxa"/>
            <w:tcBorders>
              <w:top w:val="nil"/>
              <w:left w:val="nil"/>
              <w:bottom w:val="nil"/>
              <w:right w:val="nil"/>
            </w:tcBorders>
            <w:shd w:val="clear" w:color="auto" w:fill="auto"/>
            <w:noWrap/>
            <w:vAlign w:val="bottom"/>
            <w:hideMark/>
          </w:tcPr>
          <w:p w14:paraId="1E774E4F" w14:textId="77777777" w:rsidR="00E31587" w:rsidRPr="00DF07F3" w:rsidRDefault="00E31587" w:rsidP="00E31587">
            <w:pPr>
              <w:spacing w:line="240" w:lineRule="auto"/>
              <w:jc w:val="left"/>
              <w:rPr>
                <w:sz w:val="20"/>
              </w:rPr>
            </w:pPr>
          </w:p>
        </w:tc>
        <w:tc>
          <w:tcPr>
            <w:tcW w:w="1287" w:type="dxa"/>
            <w:tcBorders>
              <w:top w:val="nil"/>
              <w:left w:val="nil"/>
              <w:bottom w:val="nil"/>
              <w:right w:val="nil"/>
            </w:tcBorders>
            <w:shd w:val="clear" w:color="auto" w:fill="auto"/>
            <w:noWrap/>
            <w:vAlign w:val="bottom"/>
            <w:hideMark/>
          </w:tcPr>
          <w:p w14:paraId="6203E38C" w14:textId="77777777" w:rsidR="00E31587" w:rsidRPr="00DF07F3" w:rsidRDefault="00E31587" w:rsidP="00E31587">
            <w:pPr>
              <w:spacing w:line="240" w:lineRule="auto"/>
              <w:jc w:val="left"/>
              <w:rPr>
                <w:sz w:val="20"/>
              </w:rPr>
            </w:pPr>
          </w:p>
        </w:tc>
      </w:tr>
    </w:tbl>
    <w:p w14:paraId="334A270D" w14:textId="1ACAFD96" w:rsidR="009625E9" w:rsidRPr="00730B1E" w:rsidRDefault="009625E9" w:rsidP="009625E9">
      <w:r w:rsidRPr="00730B1E">
        <w:t xml:space="preserve">Obecně je možné </w:t>
      </w:r>
      <w:r w:rsidR="007523B0" w:rsidRPr="00730B1E">
        <w:t>konstatovat</w:t>
      </w:r>
      <w:r w:rsidRPr="00730B1E">
        <w:t>, že délky řízení se ustálily na hodnotách, které se mění jen nevýznamně a jsou řádově nižší než u klasického civilního řízení (rejstřík C). Například mediánová délka řízení v roce 2023 byla v klasickém civilním řízení 162 dnů, v elektronickém rozkazním řízení pouze 12 dnů. To je čtrnáctkrát méně. To samozřejmě plyne z již diskutované výrazně nižší obtížnosti agendy EPR. Z nižší délky logicky vyplývají i nižší absolutní rozdíly mezi jednotlivými soudy a kraji. Mezi nejrychlejšími a nejpomalejšími kraji je rozdíl pouze 13 dnů v mediánové délce řízení. Z jednotlivých soudů jsou nejrychlejší OS pro Praha 5, OS pro Prahu 3, OS pro Prahu 4 a Rokycany (medián 6 dnů). Nejpomalejší je OS Žďár nad Sázavou (70 dnů), OS Ostrava (52 dnů) OS Třebíč (44 dnů).</w:t>
      </w:r>
    </w:p>
    <w:p w14:paraId="3EC8FD8E" w14:textId="075295F5" w:rsidR="009625E9" w:rsidRPr="00730B1E" w:rsidRDefault="009625E9" w:rsidP="009625E9">
      <w:r w:rsidRPr="00730B1E">
        <w:t>Z výše uvedeného také plyne menší variabilita v absolutních číslech mezi roky. Z tabulky vyplývá, že u většiny krajů došlo k velmi malé změně ve všech ukazatelích. Někde je procentní změna větší, řádově se ale jedná v absolutních číslech pouze o dny. Určitý nárůst je tento rok vidět v Severomoravském kraji.</w:t>
      </w:r>
    </w:p>
    <w:p w14:paraId="691448A2" w14:textId="27A58A8C" w:rsidR="008430BD" w:rsidRPr="00730B1E" w:rsidRDefault="008430BD" w:rsidP="008430BD">
      <w:pPr>
        <w:pStyle w:val="Nadpis3"/>
        <w:numPr>
          <w:ilvl w:val="2"/>
          <w:numId w:val="1"/>
        </w:numPr>
        <w:rPr>
          <w:color w:val="auto"/>
        </w:rPr>
      </w:pPr>
      <w:bookmarkStart w:id="305" w:name="_Toc515871228"/>
      <w:bookmarkStart w:id="306" w:name="_Toc106092725"/>
      <w:bookmarkStart w:id="307" w:name="_Toc169250809"/>
      <w:bookmarkStart w:id="308" w:name="_Toc174080845"/>
      <w:r w:rsidRPr="00730B1E">
        <w:rPr>
          <w:color w:val="auto"/>
        </w:rPr>
        <w:t>Vyřizování věcí</w:t>
      </w:r>
      <w:bookmarkEnd w:id="305"/>
      <w:bookmarkEnd w:id="306"/>
      <w:bookmarkEnd w:id="307"/>
      <w:bookmarkEnd w:id="308"/>
    </w:p>
    <w:p w14:paraId="025202A0" w14:textId="28D71921" w:rsidR="009625E9" w:rsidRPr="00730B1E" w:rsidRDefault="009625E9" w:rsidP="009625E9">
      <w:r w:rsidRPr="00730B1E">
        <w:t xml:space="preserve">Je zřejmé, že s vyřizováním této agendy nemají až na výjimky soudy žádné potíže. To ilustruje </w:t>
      </w:r>
      <w:r w:rsidR="00E62F28" w:rsidRPr="00730B1E">
        <w:t>i </w:t>
      </w:r>
      <w:r w:rsidRPr="00730B1E">
        <w:t xml:space="preserve">poměr počtu nevyřízených věcí k počtu vyřízených věcí či k nápadu. V roce 2020 došlo </w:t>
      </w:r>
      <w:r w:rsidR="00E62F28" w:rsidRPr="00730B1E">
        <w:t>k </w:t>
      </w:r>
      <w:r w:rsidRPr="00730B1E">
        <w:t xml:space="preserve">nemalému nárůstu (o 17 %) v počtu příchozích věcí oproti roku 2019. K obdobnému nárůstu došlo ve všech krajích. Pandemie COVID 19 a vládní restrikce tedy zřejmě ovlivnily nápad </w:t>
      </w:r>
      <w:r w:rsidR="00E62F28" w:rsidRPr="00730B1E">
        <w:t>v </w:t>
      </w:r>
      <w:r w:rsidRPr="00730B1E">
        <w:t xml:space="preserve">opačném směru, než u rejstříku C. To koneckonců dává smysl – EPR je agenda elektronická, </w:t>
      </w:r>
      <w:r w:rsidR="00E62F28" w:rsidRPr="00730B1E">
        <w:t>a </w:t>
      </w:r>
      <w:r w:rsidRPr="00730B1E">
        <w:t xml:space="preserve">tudíž nijak omezená zavedenými vládními opatřeními. Lze tedy konstatovat, že nárůst této agendy </w:t>
      </w:r>
      <w:r w:rsidR="00E62F28" w:rsidRPr="00730B1E">
        <w:t>v </w:t>
      </w:r>
      <w:r w:rsidRPr="00730B1E">
        <w:t xml:space="preserve">době pandemie COVID 19 pravděpodobně souvisí s podstatným přesunem komunikace všeobecně do bezkontaktní a elektronické sféry. V posledních letech počet příchozích i vyřízených věcí fluktuuje, jednou naroste, jednou klesne. V roce 2022 narostl počet nevyřízených věcí, aby pak v roce 2023 opět klesl. </w:t>
      </w:r>
      <w:r w:rsidR="00A921F1" w:rsidRPr="00730B1E">
        <w:t xml:space="preserve">Pokles lze přičíst především Severomoravskému kraji, který vykázal míru vyřizování 110,5 %. </w:t>
      </w:r>
    </w:p>
    <w:p w14:paraId="167C5C82" w14:textId="54F533A5" w:rsidR="009625E9" w:rsidRPr="00730B1E" w:rsidRDefault="009625E9" w:rsidP="009625E9">
      <w:pPr>
        <w:pStyle w:val="Podnadpis"/>
        <w:numPr>
          <w:ilvl w:val="0"/>
          <w:numId w:val="0"/>
        </w:numPr>
        <w:rPr>
          <w:color w:val="auto"/>
        </w:rPr>
      </w:pPr>
      <w:bookmarkStart w:id="309" w:name="_Toc515871347"/>
      <w:bookmarkStart w:id="310" w:name="_Toc11135082"/>
      <w:bookmarkStart w:id="311" w:name="_Toc43841398"/>
      <w:bookmarkStart w:id="312" w:name="_Toc75952199"/>
      <w:bookmarkStart w:id="313" w:name="_Toc106106653"/>
      <w:bookmarkStart w:id="314" w:name="_Toc144104130"/>
      <w:bookmarkStart w:id="315" w:name="_Toc169250938"/>
      <w:bookmarkStart w:id="316" w:name="_Toc174080624"/>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19</w:t>
      </w:r>
      <w:r w:rsidRPr="00730B1E">
        <w:rPr>
          <w:color w:val="auto"/>
        </w:rPr>
        <w:fldChar w:fldCharType="end"/>
      </w:r>
      <w:r w:rsidRPr="00730B1E">
        <w:rPr>
          <w:color w:val="auto"/>
        </w:rPr>
        <w:t>: OS – vyřizování věcí v rejstříku EPR v letech 201</w:t>
      </w:r>
      <w:r w:rsidR="002263C3" w:rsidRPr="00730B1E">
        <w:rPr>
          <w:color w:val="auto"/>
        </w:rPr>
        <w:t>4</w:t>
      </w:r>
      <w:r w:rsidRPr="00730B1E">
        <w:rPr>
          <w:color w:val="auto"/>
        </w:rPr>
        <w:t>–20</w:t>
      </w:r>
      <w:bookmarkEnd w:id="309"/>
      <w:bookmarkEnd w:id="310"/>
      <w:bookmarkEnd w:id="311"/>
      <w:r w:rsidRPr="00730B1E">
        <w:rPr>
          <w:color w:val="auto"/>
        </w:rPr>
        <w:t>2</w:t>
      </w:r>
      <w:bookmarkEnd w:id="312"/>
      <w:bookmarkEnd w:id="313"/>
      <w:bookmarkEnd w:id="314"/>
      <w:r w:rsidR="002263C3" w:rsidRPr="00730B1E">
        <w:rPr>
          <w:color w:val="auto"/>
        </w:rPr>
        <w:t>3</w:t>
      </w:r>
      <w:bookmarkEnd w:id="315"/>
      <w:bookmarkEnd w:id="316"/>
    </w:p>
    <w:p w14:paraId="37B72450" w14:textId="77777777" w:rsidR="00A921F1" w:rsidRPr="00730B1E" w:rsidRDefault="009625E9">
      <w:pPr>
        <w:spacing w:after="160" w:line="259" w:lineRule="auto"/>
        <w:jc w:val="left"/>
      </w:pPr>
      <w:r w:rsidRPr="00730B1E">
        <w:rPr>
          <w:noProof/>
          <w:lang w:eastAsia="cs-CZ"/>
        </w:rPr>
        <w:drawing>
          <wp:inline distT="0" distB="0" distL="0" distR="0" wp14:anchorId="3AB99312" wp14:editId="239ABAC6">
            <wp:extent cx="5029200" cy="365760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1D1832D" w14:textId="77777777" w:rsidR="00A921F1" w:rsidRPr="00730B1E" w:rsidRDefault="00A921F1">
      <w:pPr>
        <w:spacing w:after="160" w:line="259" w:lineRule="auto"/>
        <w:jc w:val="left"/>
      </w:pPr>
    </w:p>
    <w:p w14:paraId="3C971567" w14:textId="7EB75B83" w:rsidR="00A921F1" w:rsidRPr="00730B1E" w:rsidRDefault="00A921F1" w:rsidP="00A921F1">
      <w:pPr>
        <w:pStyle w:val="Podnadpis"/>
        <w:numPr>
          <w:ilvl w:val="0"/>
          <w:numId w:val="0"/>
        </w:numPr>
        <w:rPr>
          <w:color w:val="auto"/>
        </w:rPr>
      </w:pPr>
      <w:bookmarkStart w:id="317" w:name="_Toc106106780"/>
      <w:bookmarkStart w:id="318" w:name="_Toc144104258"/>
      <w:bookmarkStart w:id="319" w:name="_Toc169251074"/>
      <w:bookmarkStart w:id="320" w:name="_Toc174080760"/>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17</w:t>
      </w:r>
      <w:r w:rsidRPr="00730B1E">
        <w:rPr>
          <w:color w:val="auto"/>
        </w:rPr>
        <w:fldChar w:fldCharType="end"/>
      </w:r>
      <w:r w:rsidRPr="00730B1E">
        <w:rPr>
          <w:color w:val="auto"/>
        </w:rPr>
        <w:t>: OS – vyřizování věcí v rejstříku EPR dle krajů</w:t>
      </w:r>
      <w:bookmarkEnd w:id="317"/>
      <w:bookmarkEnd w:id="318"/>
      <w:r w:rsidR="00174FE5" w:rsidRPr="00730B1E">
        <w:rPr>
          <w:color w:val="auto"/>
        </w:rPr>
        <w:t>, 2023</w:t>
      </w:r>
      <w:bookmarkEnd w:id="319"/>
      <w:bookmarkEnd w:id="320"/>
    </w:p>
    <w:tbl>
      <w:tblPr>
        <w:tblW w:w="9300" w:type="dxa"/>
        <w:tblCellMar>
          <w:left w:w="70" w:type="dxa"/>
          <w:right w:w="70" w:type="dxa"/>
        </w:tblCellMar>
        <w:tblLook w:val="04A0" w:firstRow="1" w:lastRow="0" w:firstColumn="1" w:lastColumn="0" w:noHBand="0" w:noVBand="1"/>
      </w:tblPr>
      <w:tblGrid>
        <w:gridCol w:w="2020"/>
        <w:gridCol w:w="1138"/>
        <w:gridCol w:w="752"/>
        <w:gridCol w:w="1163"/>
        <w:gridCol w:w="860"/>
        <w:gridCol w:w="967"/>
        <w:gridCol w:w="860"/>
        <w:gridCol w:w="1540"/>
      </w:tblGrid>
      <w:tr w:rsidR="00B64E96" w:rsidRPr="00730B1E" w14:paraId="772C90F5" w14:textId="77777777" w:rsidTr="00A921F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AC7686A" w14:textId="77777777"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5740" w:type="dxa"/>
            <w:gridSpan w:val="6"/>
            <w:tcBorders>
              <w:top w:val="double" w:sz="6" w:space="0" w:color="auto"/>
              <w:left w:val="nil"/>
              <w:bottom w:val="nil"/>
              <w:right w:val="single" w:sz="4" w:space="0" w:color="000000"/>
            </w:tcBorders>
            <w:shd w:val="clear" w:color="auto" w:fill="auto"/>
            <w:noWrap/>
            <w:vAlign w:val="center"/>
            <w:hideMark/>
          </w:tcPr>
          <w:p w14:paraId="5EFD8D1D" w14:textId="77777777"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401B6CE0" w14:textId="77777777"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062CF61E" w14:textId="77777777" w:rsidTr="00A921F1">
        <w:trPr>
          <w:trHeight w:val="330"/>
        </w:trPr>
        <w:tc>
          <w:tcPr>
            <w:tcW w:w="2020" w:type="dxa"/>
            <w:vMerge/>
            <w:tcBorders>
              <w:top w:val="double" w:sz="6" w:space="0" w:color="auto"/>
              <w:left w:val="nil"/>
              <w:bottom w:val="double" w:sz="6" w:space="0" w:color="000000"/>
              <w:right w:val="nil"/>
            </w:tcBorders>
            <w:vAlign w:val="center"/>
            <w:hideMark/>
          </w:tcPr>
          <w:p w14:paraId="03C20111" w14:textId="77777777" w:rsidR="00A921F1" w:rsidRPr="00730B1E" w:rsidRDefault="00A921F1" w:rsidP="00A921F1">
            <w:pPr>
              <w:spacing w:line="240" w:lineRule="auto"/>
              <w:jc w:val="left"/>
              <w:rPr>
                <w:rFonts w:eastAsia="Times New Roman"/>
                <w:b/>
                <w:bCs/>
                <w:szCs w:val="24"/>
                <w:lang w:eastAsia="cs-CZ"/>
              </w:rPr>
            </w:pPr>
          </w:p>
        </w:tc>
        <w:tc>
          <w:tcPr>
            <w:tcW w:w="1890" w:type="dxa"/>
            <w:gridSpan w:val="2"/>
            <w:tcBorders>
              <w:top w:val="nil"/>
              <w:left w:val="nil"/>
              <w:bottom w:val="double" w:sz="6" w:space="0" w:color="auto"/>
              <w:right w:val="nil"/>
            </w:tcBorders>
            <w:shd w:val="clear" w:color="auto" w:fill="auto"/>
            <w:noWrap/>
            <w:vAlign w:val="center"/>
            <w:hideMark/>
          </w:tcPr>
          <w:p w14:paraId="44AF989B" w14:textId="0F338BC1"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2023"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F7E4B53" w14:textId="77777777"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827" w:type="dxa"/>
            <w:gridSpan w:val="2"/>
            <w:tcBorders>
              <w:top w:val="nil"/>
              <w:left w:val="nil"/>
              <w:bottom w:val="double" w:sz="6" w:space="0" w:color="auto"/>
              <w:right w:val="single" w:sz="4" w:space="0" w:color="000000"/>
            </w:tcBorders>
            <w:shd w:val="clear" w:color="auto" w:fill="auto"/>
            <w:noWrap/>
            <w:vAlign w:val="center"/>
            <w:hideMark/>
          </w:tcPr>
          <w:p w14:paraId="4B1C80E6" w14:textId="77777777"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1F89D7EA" w14:textId="77777777" w:rsidR="00A921F1" w:rsidRPr="00730B1E" w:rsidRDefault="00A921F1" w:rsidP="00A921F1">
            <w:pPr>
              <w:spacing w:line="240" w:lineRule="auto"/>
              <w:jc w:val="left"/>
              <w:rPr>
                <w:rFonts w:eastAsia="Times New Roman"/>
                <w:b/>
                <w:bCs/>
                <w:szCs w:val="24"/>
                <w:lang w:eastAsia="cs-CZ"/>
              </w:rPr>
            </w:pPr>
          </w:p>
        </w:tc>
      </w:tr>
      <w:tr w:rsidR="00B64E96" w:rsidRPr="00730B1E" w14:paraId="7DF9232A" w14:textId="77777777" w:rsidTr="00A921F1">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5EA82AB" w14:textId="77777777" w:rsidR="00A921F1" w:rsidRPr="00730B1E" w:rsidRDefault="00A921F1" w:rsidP="00A921F1">
            <w:pPr>
              <w:spacing w:line="240" w:lineRule="auto"/>
              <w:jc w:val="left"/>
              <w:rPr>
                <w:rFonts w:eastAsia="Times New Roman"/>
                <w:szCs w:val="24"/>
                <w:lang w:eastAsia="cs-CZ"/>
              </w:rPr>
            </w:pPr>
            <w:r w:rsidRPr="00730B1E">
              <w:rPr>
                <w:rFonts w:eastAsia="Times New Roman"/>
                <w:szCs w:val="24"/>
                <w:lang w:eastAsia="cs-CZ"/>
              </w:rPr>
              <w:t>MS Praha</w:t>
            </w:r>
          </w:p>
        </w:tc>
        <w:tc>
          <w:tcPr>
            <w:tcW w:w="1138" w:type="dxa"/>
            <w:tcBorders>
              <w:top w:val="single" w:sz="4" w:space="0" w:color="auto"/>
              <w:left w:val="nil"/>
              <w:bottom w:val="single" w:sz="4" w:space="0" w:color="auto"/>
              <w:right w:val="nil"/>
            </w:tcBorders>
            <w:shd w:val="clear" w:color="auto" w:fill="auto"/>
            <w:noWrap/>
            <w:vAlign w:val="bottom"/>
            <w:hideMark/>
          </w:tcPr>
          <w:p w14:paraId="10A37C37"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49 744</w:t>
            </w:r>
          </w:p>
        </w:tc>
        <w:tc>
          <w:tcPr>
            <w:tcW w:w="752" w:type="dxa"/>
            <w:tcBorders>
              <w:top w:val="single" w:sz="4" w:space="0" w:color="auto"/>
              <w:left w:val="nil"/>
              <w:bottom w:val="single" w:sz="4" w:space="0" w:color="auto"/>
              <w:right w:val="nil"/>
            </w:tcBorders>
            <w:shd w:val="clear" w:color="auto" w:fill="auto"/>
            <w:noWrap/>
            <w:vAlign w:val="center"/>
            <w:hideMark/>
          </w:tcPr>
          <w:p w14:paraId="6AE11641"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-13 %  </w:t>
            </w:r>
          </w:p>
        </w:tc>
        <w:tc>
          <w:tcPr>
            <w:tcW w:w="1163" w:type="dxa"/>
            <w:tcBorders>
              <w:top w:val="single" w:sz="4" w:space="0" w:color="auto"/>
              <w:left w:val="single" w:sz="4" w:space="0" w:color="auto"/>
              <w:bottom w:val="single" w:sz="4" w:space="0" w:color="auto"/>
              <w:right w:val="nil"/>
            </w:tcBorders>
            <w:shd w:val="clear" w:color="auto" w:fill="auto"/>
            <w:noWrap/>
            <w:vAlign w:val="bottom"/>
            <w:hideMark/>
          </w:tcPr>
          <w:p w14:paraId="581FB85E"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49 267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53F0D89F"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-15 %  </w:t>
            </w:r>
          </w:p>
        </w:tc>
        <w:tc>
          <w:tcPr>
            <w:tcW w:w="967" w:type="dxa"/>
            <w:tcBorders>
              <w:top w:val="single" w:sz="4" w:space="0" w:color="auto"/>
              <w:left w:val="nil"/>
              <w:bottom w:val="single" w:sz="4" w:space="0" w:color="auto"/>
              <w:right w:val="nil"/>
            </w:tcBorders>
            <w:shd w:val="clear" w:color="auto" w:fill="auto"/>
            <w:noWrap/>
            <w:vAlign w:val="bottom"/>
            <w:hideMark/>
          </w:tcPr>
          <w:p w14:paraId="59B329DF"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1 859</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495A2F3F"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+35 %  </w:t>
            </w:r>
          </w:p>
        </w:tc>
        <w:tc>
          <w:tcPr>
            <w:tcW w:w="1540" w:type="dxa"/>
            <w:tcBorders>
              <w:top w:val="nil"/>
              <w:left w:val="nil"/>
              <w:bottom w:val="single" w:sz="4" w:space="0" w:color="auto"/>
              <w:right w:val="nil"/>
            </w:tcBorders>
            <w:shd w:val="clear" w:color="auto" w:fill="auto"/>
            <w:noWrap/>
            <w:vAlign w:val="center"/>
            <w:hideMark/>
          </w:tcPr>
          <w:p w14:paraId="23D3588F" w14:textId="0838604B"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99,0 %</w:t>
            </w:r>
          </w:p>
        </w:tc>
      </w:tr>
      <w:tr w:rsidR="00B64E96" w:rsidRPr="00730B1E" w14:paraId="3BEB0C72" w14:textId="77777777" w:rsidTr="00A921F1">
        <w:trPr>
          <w:trHeight w:val="315"/>
        </w:trPr>
        <w:tc>
          <w:tcPr>
            <w:tcW w:w="2020" w:type="dxa"/>
            <w:tcBorders>
              <w:top w:val="nil"/>
              <w:left w:val="nil"/>
              <w:bottom w:val="single" w:sz="4" w:space="0" w:color="auto"/>
              <w:right w:val="nil"/>
            </w:tcBorders>
            <w:shd w:val="clear" w:color="auto" w:fill="auto"/>
            <w:noWrap/>
            <w:vAlign w:val="bottom"/>
            <w:hideMark/>
          </w:tcPr>
          <w:p w14:paraId="59C6EB75" w14:textId="77777777" w:rsidR="00A921F1" w:rsidRPr="00730B1E" w:rsidRDefault="00A921F1" w:rsidP="00A921F1">
            <w:pPr>
              <w:spacing w:line="240" w:lineRule="auto"/>
              <w:jc w:val="left"/>
              <w:rPr>
                <w:rFonts w:eastAsia="Times New Roman"/>
                <w:szCs w:val="24"/>
                <w:lang w:eastAsia="cs-CZ"/>
              </w:rPr>
            </w:pPr>
            <w:r w:rsidRPr="00730B1E">
              <w:rPr>
                <w:rFonts w:eastAsia="Times New Roman"/>
                <w:szCs w:val="24"/>
                <w:lang w:eastAsia="cs-CZ"/>
              </w:rPr>
              <w:t>KS Praha</w:t>
            </w:r>
          </w:p>
        </w:tc>
        <w:tc>
          <w:tcPr>
            <w:tcW w:w="1138" w:type="dxa"/>
            <w:tcBorders>
              <w:top w:val="nil"/>
              <w:left w:val="nil"/>
              <w:bottom w:val="single" w:sz="4" w:space="0" w:color="auto"/>
              <w:right w:val="nil"/>
            </w:tcBorders>
            <w:shd w:val="clear" w:color="auto" w:fill="auto"/>
            <w:noWrap/>
            <w:vAlign w:val="bottom"/>
            <w:hideMark/>
          </w:tcPr>
          <w:p w14:paraId="3F43C23E"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40 622</w:t>
            </w:r>
          </w:p>
        </w:tc>
        <w:tc>
          <w:tcPr>
            <w:tcW w:w="752" w:type="dxa"/>
            <w:tcBorders>
              <w:top w:val="nil"/>
              <w:left w:val="nil"/>
              <w:bottom w:val="single" w:sz="4" w:space="0" w:color="auto"/>
              <w:right w:val="nil"/>
            </w:tcBorders>
            <w:shd w:val="clear" w:color="auto" w:fill="auto"/>
            <w:noWrap/>
            <w:vAlign w:val="center"/>
            <w:hideMark/>
          </w:tcPr>
          <w:p w14:paraId="257F9D17"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-3 %  </w:t>
            </w:r>
          </w:p>
        </w:tc>
        <w:tc>
          <w:tcPr>
            <w:tcW w:w="1163" w:type="dxa"/>
            <w:tcBorders>
              <w:top w:val="nil"/>
              <w:left w:val="single" w:sz="4" w:space="0" w:color="auto"/>
              <w:bottom w:val="single" w:sz="4" w:space="0" w:color="auto"/>
              <w:right w:val="nil"/>
            </w:tcBorders>
            <w:shd w:val="clear" w:color="auto" w:fill="auto"/>
            <w:noWrap/>
            <w:vAlign w:val="bottom"/>
            <w:hideMark/>
          </w:tcPr>
          <w:p w14:paraId="2BBA49A8"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40 604</w:t>
            </w:r>
          </w:p>
        </w:tc>
        <w:tc>
          <w:tcPr>
            <w:tcW w:w="860" w:type="dxa"/>
            <w:tcBorders>
              <w:top w:val="nil"/>
              <w:left w:val="nil"/>
              <w:bottom w:val="single" w:sz="4" w:space="0" w:color="auto"/>
              <w:right w:val="single" w:sz="4" w:space="0" w:color="auto"/>
            </w:tcBorders>
            <w:shd w:val="clear" w:color="auto" w:fill="auto"/>
            <w:noWrap/>
            <w:vAlign w:val="center"/>
            <w:hideMark/>
          </w:tcPr>
          <w:p w14:paraId="24A884C1"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-4 %  </w:t>
            </w:r>
          </w:p>
        </w:tc>
        <w:tc>
          <w:tcPr>
            <w:tcW w:w="967" w:type="dxa"/>
            <w:tcBorders>
              <w:top w:val="nil"/>
              <w:left w:val="nil"/>
              <w:bottom w:val="single" w:sz="4" w:space="0" w:color="auto"/>
              <w:right w:val="nil"/>
            </w:tcBorders>
            <w:shd w:val="clear" w:color="auto" w:fill="auto"/>
            <w:noWrap/>
            <w:vAlign w:val="bottom"/>
            <w:hideMark/>
          </w:tcPr>
          <w:p w14:paraId="6FF9A7F8"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715</w:t>
            </w:r>
          </w:p>
        </w:tc>
        <w:tc>
          <w:tcPr>
            <w:tcW w:w="860" w:type="dxa"/>
            <w:tcBorders>
              <w:top w:val="nil"/>
              <w:left w:val="nil"/>
              <w:bottom w:val="single" w:sz="4" w:space="0" w:color="auto"/>
              <w:right w:val="single" w:sz="4" w:space="0" w:color="auto"/>
            </w:tcBorders>
            <w:shd w:val="clear" w:color="auto" w:fill="auto"/>
            <w:noWrap/>
            <w:vAlign w:val="center"/>
            <w:hideMark/>
          </w:tcPr>
          <w:p w14:paraId="57ADB659"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+3 %  </w:t>
            </w:r>
          </w:p>
        </w:tc>
        <w:tc>
          <w:tcPr>
            <w:tcW w:w="1540" w:type="dxa"/>
            <w:tcBorders>
              <w:top w:val="nil"/>
              <w:left w:val="nil"/>
              <w:bottom w:val="single" w:sz="4" w:space="0" w:color="auto"/>
              <w:right w:val="nil"/>
            </w:tcBorders>
            <w:shd w:val="clear" w:color="auto" w:fill="auto"/>
            <w:noWrap/>
            <w:vAlign w:val="center"/>
            <w:hideMark/>
          </w:tcPr>
          <w:p w14:paraId="3E396BD8" w14:textId="315C54E0"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100,0 %</w:t>
            </w:r>
          </w:p>
        </w:tc>
      </w:tr>
      <w:tr w:rsidR="00B64E96" w:rsidRPr="00730B1E" w14:paraId="48E5CD51" w14:textId="77777777" w:rsidTr="00A921F1">
        <w:trPr>
          <w:trHeight w:val="315"/>
        </w:trPr>
        <w:tc>
          <w:tcPr>
            <w:tcW w:w="2020" w:type="dxa"/>
            <w:tcBorders>
              <w:top w:val="nil"/>
              <w:left w:val="nil"/>
              <w:bottom w:val="single" w:sz="4" w:space="0" w:color="auto"/>
              <w:right w:val="nil"/>
            </w:tcBorders>
            <w:shd w:val="clear" w:color="auto" w:fill="auto"/>
            <w:noWrap/>
            <w:vAlign w:val="bottom"/>
            <w:hideMark/>
          </w:tcPr>
          <w:p w14:paraId="43493620" w14:textId="77777777" w:rsidR="00A921F1" w:rsidRPr="00730B1E" w:rsidRDefault="00A921F1" w:rsidP="00A921F1">
            <w:pPr>
              <w:spacing w:line="240" w:lineRule="auto"/>
              <w:jc w:val="left"/>
              <w:rPr>
                <w:rFonts w:eastAsia="Times New Roman"/>
                <w:szCs w:val="24"/>
                <w:lang w:eastAsia="cs-CZ"/>
              </w:rPr>
            </w:pPr>
            <w:r w:rsidRPr="00730B1E">
              <w:rPr>
                <w:rFonts w:eastAsia="Times New Roman"/>
                <w:szCs w:val="24"/>
                <w:lang w:eastAsia="cs-CZ"/>
              </w:rPr>
              <w:t>KS Č. Budějovice</w:t>
            </w:r>
          </w:p>
        </w:tc>
        <w:tc>
          <w:tcPr>
            <w:tcW w:w="1138" w:type="dxa"/>
            <w:tcBorders>
              <w:top w:val="nil"/>
              <w:left w:val="nil"/>
              <w:bottom w:val="single" w:sz="4" w:space="0" w:color="auto"/>
              <w:right w:val="nil"/>
            </w:tcBorders>
            <w:shd w:val="clear" w:color="auto" w:fill="auto"/>
            <w:noWrap/>
            <w:vAlign w:val="bottom"/>
            <w:hideMark/>
          </w:tcPr>
          <w:p w14:paraId="6AAE32C1"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20 007</w:t>
            </w:r>
          </w:p>
        </w:tc>
        <w:tc>
          <w:tcPr>
            <w:tcW w:w="752" w:type="dxa"/>
            <w:tcBorders>
              <w:top w:val="nil"/>
              <w:left w:val="nil"/>
              <w:bottom w:val="single" w:sz="4" w:space="0" w:color="auto"/>
              <w:right w:val="nil"/>
            </w:tcBorders>
            <w:shd w:val="clear" w:color="auto" w:fill="auto"/>
            <w:noWrap/>
            <w:vAlign w:val="center"/>
            <w:hideMark/>
          </w:tcPr>
          <w:p w14:paraId="37DDFABE"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-9 %  </w:t>
            </w:r>
          </w:p>
        </w:tc>
        <w:tc>
          <w:tcPr>
            <w:tcW w:w="1163" w:type="dxa"/>
            <w:tcBorders>
              <w:top w:val="nil"/>
              <w:left w:val="single" w:sz="4" w:space="0" w:color="auto"/>
              <w:bottom w:val="single" w:sz="4" w:space="0" w:color="auto"/>
              <w:right w:val="nil"/>
            </w:tcBorders>
            <w:shd w:val="clear" w:color="auto" w:fill="auto"/>
            <w:noWrap/>
            <w:vAlign w:val="bottom"/>
            <w:hideMark/>
          </w:tcPr>
          <w:p w14:paraId="59E922B0"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19 811</w:t>
            </w:r>
          </w:p>
        </w:tc>
        <w:tc>
          <w:tcPr>
            <w:tcW w:w="860" w:type="dxa"/>
            <w:tcBorders>
              <w:top w:val="nil"/>
              <w:left w:val="nil"/>
              <w:bottom w:val="single" w:sz="4" w:space="0" w:color="auto"/>
              <w:right w:val="single" w:sz="4" w:space="0" w:color="auto"/>
            </w:tcBorders>
            <w:shd w:val="clear" w:color="auto" w:fill="auto"/>
            <w:noWrap/>
            <w:vAlign w:val="center"/>
            <w:hideMark/>
          </w:tcPr>
          <w:p w14:paraId="5FE4A7B5"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-10 %  </w:t>
            </w:r>
          </w:p>
        </w:tc>
        <w:tc>
          <w:tcPr>
            <w:tcW w:w="967" w:type="dxa"/>
            <w:tcBorders>
              <w:top w:val="nil"/>
              <w:left w:val="nil"/>
              <w:bottom w:val="single" w:sz="4" w:space="0" w:color="auto"/>
              <w:right w:val="nil"/>
            </w:tcBorders>
            <w:shd w:val="clear" w:color="auto" w:fill="auto"/>
            <w:noWrap/>
            <w:vAlign w:val="bottom"/>
            <w:hideMark/>
          </w:tcPr>
          <w:p w14:paraId="6202A890"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712</w:t>
            </w:r>
          </w:p>
        </w:tc>
        <w:tc>
          <w:tcPr>
            <w:tcW w:w="860" w:type="dxa"/>
            <w:tcBorders>
              <w:top w:val="nil"/>
              <w:left w:val="nil"/>
              <w:bottom w:val="single" w:sz="4" w:space="0" w:color="auto"/>
              <w:right w:val="single" w:sz="4" w:space="0" w:color="auto"/>
            </w:tcBorders>
            <w:shd w:val="clear" w:color="auto" w:fill="auto"/>
            <w:noWrap/>
            <w:vAlign w:val="center"/>
            <w:hideMark/>
          </w:tcPr>
          <w:p w14:paraId="1B09860A"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+25 %  </w:t>
            </w:r>
          </w:p>
        </w:tc>
        <w:tc>
          <w:tcPr>
            <w:tcW w:w="1540" w:type="dxa"/>
            <w:tcBorders>
              <w:top w:val="nil"/>
              <w:left w:val="nil"/>
              <w:bottom w:val="single" w:sz="4" w:space="0" w:color="auto"/>
              <w:right w:val="nil"/>
            </w:tcBorders>
            <w:shd w:val="clear" w:color="auto" w:fill="auto"/>
            <w:noWrap/>
            <w:vAlign w:val="center"/>
            <w:hideMark/>
          </w:tcPr>
          <w:p w14:paraId="5767EC6C" w14:textId="73EEBE53"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99,0 %</w:t>
            </w:r>
          </w:p>
        </w:tc>
      </w:tr>
      <w:tr w:rsidR="00B64E96" w:rsidRPr="00730B1E" w14:paraId="22266750" w14:textId="77777777" w:rsidTr="00A921F1">
        <w:trPr>
          <w:trHeight w:val="315"/>
        </w:trPr>
        <w:tc>
          <w:tcPr>
            <w:tcW w:w="2020" w:type="dxa"/>
            <w:tcBorders>
              <w:top w:val="nil"/>
              <w:left w:val="nil"/>
              <w:bottom w:val="single" w:sz="4" w:space="0" w:color="auto"/>
              <w:right w:val="nil"/>
            </w:tcBorders>
            <w:shd w:val="clear" w:color="auto" w:fill="auto"/>
            <w:noWrap/>
            <w:vAlign w:val="bottom"/>
            <w:hideMark/>
          </w:tcPr>
          <w:p w14:paraId="33026D59" w14:textId="77777777" w:rsidR="00A921F1" w:rsidRPr="00730B1E" w:rsidRDefault="00A921F1" w:rsidP="00A921F1">
            <w:pPr>
              <w:spacing w:line="240" w:lineRule="auto"/>
              <w:jc w:val="left"/>
              <w:rPr>
                <w:rFonts w:eastAsia="Times New Roman"/>
                <w:szCs w:val="24"/>
                <w:lang w:eastAsia="cs-CZ"/>
              </w:rPr>
            </w:pPr>
            <w:r w:rsidRPr="00730B1E">
              <w:rPr>
                <w:rFonts w:eastAsia="Times New Roman"/>
                <w:szCs w:val="24"/>
                <w:lang w:eastAsia="cs-CZ"/>
              </w:rPr>
              <w:t>KS Plzeň</w:t>
            </w:r>
          </w:p>
        </w:tc>
        <w:tc>
          <w:tcPr>
            <w:tcW w:w="1138" w:type="dxa"/>
            <w:tcBorders>
              <w:top w:val="nil"/>
              <w:left w:val="nil"/>
              <w:bottom w:val="single" w:sz="4" w:space="0" w:color="auto"/>
              <w:right w:val="nil"/>
            </w:tcBorders>
            <w:shd w:val="clear" w:color="auto" w:fill="auto"/>
            <w:noWrap/>
            <w:vAlign w:val="bottom"/>
            <w:hideMark/>
          </w:tcPr>
          <w:p w14:paraId="7F29CFC3"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33 233</w:t>
            </w:r>
          </w:p>
        </w:tc>
        <w:tc>
          <w:tcPr>
            <w:tcW w:w="752" w:type="dxa"/>
            <w:tcBorders>
              <w:top w:val="nil"/>
              <w:left w:val="nil"/>
              <w:bottom w:val="single" w:sz="4" w:space="0" w:color="auto"/>
              <w:right w:val="nil"/>
            </w:tcBorders>
            <w:shd w:val="clear" w:color="auto" w:fill="auto"/>
            <w:noWrap/>
            <w:vAlign w:val="center"/>
            <w:hideMark/>
          </w:tcPr>
          <w:p w14:paraId="02146348"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1163" w:type="dxa"/>
            <w:tcBorders>
              <w:top w:val="nil"/>
              <w:left w:val="single" w:sz="4" w:space="0" w:color="auto"/>
              <w:bottom w:val="single" w:sz="4" w:space="0" w:color="auto"/>
              <w:right w:val="nil"/>
            </w:tcBorders>
            <w:shd w:val="clear" w:color="auto" w:fill="auto"/>
            <w:noWrap/>
            <w:vAlign w:val="bottom"/>
            <w:hideMark/>
          </w:tcPr>
          <w:p w14:paraId="633162F2"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33 092</w:t>
            </w:r>
          </w:p>
        </w:tc>
        <w:tc>
          <w:tcPr>
            <w:tcW w:w="860" w:type="dxa"/>
            <w:tcBorders>
              <w:top w:val="nil"/>
              <w:left w:val="nil"/>
              <w:bottom w:val="single" w:sz="4" w:space="0" w:color="auto"/>
              <w:right w:val="single" w:sz="4" w:space="0" w:color="auto"/>
            </w:tcBorders>
            <w:shd w:val="clear" w:color="auto" w:fill="auto"/>
            <w:noWrap/>
            <w:vAlign w:val="center"/>
            <w:hideMark/>
          </w:tcPr>
          <w:p w14:paraId="78ADDB0B"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c>
          <w:tcPr>
            <w:tcW w:w="967" w:type="dxa"/>
            <w:tcBorders>
              <w:top w:val="nil"/>
              <w:left w:val="nil"/>
              <w:bottom w:val="single" w:sz="4" w:space="0" w:color="auto"/>
              <w:right w:val="nil"/>
            </w:tcBorders>
            <w:shd w:val="clear" w:color="auto" w:fill="auto"/>
            <w:noWrap/>
            <w:vAlign w:val="bottom"/>
            <w:hideMark/>
          </w:tcPr>
          <w:p w14:paraId="40B932E0"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783</w:t>
            </w:r>
          </w:p>
        </w:tc>
        <w:tc>
          <w:tcPr>
            <w:tcW w:w="860" w:type="dxa"/>
            <w:tcBorders>
              <w:top w:val="nil"/>
              <w:left w:val="nil"/>
              <w:bottom w:val="single" w:sz="4" w:space="0" w:color="auto"/>
              <w:right w:val="single" w:sz="4" w:space="0" w:color="auto"/>
            </w:tcBorders>
            <w:shd w:val="clear" w:color="auto" w:fill="auto"/>
            <w:noWrap/>
            <w:vAlign w:val="center"/>
            <w:hideMark/>
          </w:tcPr>
          <w:p w14:paraId="1BE19B36"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+22 %  </w:t>
            </w:r>
          </w:p>
        </w:tc>
        <w:tc>
          <w:tcPr>
            <w:tcW w:w="1540" w:type="dxa"/>
            <w:tcBorders>
              <w:top w:val="nil"/>
              <w:left w:val="nil"/>
              <w:bottom w:val="single" w:sz="4" w:space="0" w:color="auto"/>
              <w:right w:val="nil"/>
            </w:tcBorders>
            <w:shd w:val="clear" w:color="auto" w:fill="auto"/>
            <w:noWrap/>
            <w:vAlign w:val="center"/>
            <w:hideMark/>
          </w:tcPr>
          <w:p w14:paraId="390C264F" w14:textId="448ED45B"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99,6 %</w:t>
            </w:r>
          </w:p>
        </w:tc>
      </w:tr>
      <w:tr w:rsidR="00B64E96" w:rsidRPr="00730B1E" w14:paraId="5B56326C" w14:textId="77777777" w:rsidTr="00A921F1">
        <w:trPr>
          <w:trHeight w:val="315"/>
        </w:trPr>
        <w:tc>
          <w:tcPr>
            <w:tcW w:w="2020" w:type="dxa"/>
            <w:tcBorders>
              <w:top w:val="nil"/>
              <w:left w:val="nil"/>
              <w:bottom w:val="single" w:sz="4" w:space="0" w:color="auto"/>
              <w:right w:val="nil"/>
            </w:tcBorders>
            <w:shd w:val="clear" w:color="auto" w:fill="auto"/>
            <w:noWrap/>
            <w:vAlign w:val="bottom"/>
            <w:hideMark/>
          </w:tcPr>
          <w:p w14:paraId="36562DE6" w14:textId="77777777" w:rsidR="00A921F1" w:rsidRPr="00730B1E" w:rsidRDefault="00A921F1" w:rsidP="00A921F1">
            <w:pPr>
              <w:spacing w:line="240" w:lineRule="auto"/>
              <w:jc w:val="left"/>
              <w:rPr>
                <w:rFonts w:eastAsia="Times New Roman"/>
                <w:szCs w:val="24"/>
                <w:lang w:eastAsia="cs-CZ"/>
              </w:rPr>
            </w:pPr>
            <w:r w:rsidRPr="00730B1E">
              <w:rPr>
                <w:rFonts w:eastAsia="Times New Roman"/>
                <w:szCs w:val="24"/>
                <w:lang w:eastAsia="cs-CZ"/>
              </w:rPr>
              <w:t>KS Ústí n. Labem</w:t>
            </w:r>
          </w:p>
        </w:tc>
        <w:tc>
          <w:tcPr>
            <w:tcW w:w="1138" w:type="dxa"/>
            <w:tcBorders>
              <w:top w:val="nil"/>
              <w:left w:val="nil"/>
              <w:bottom w:val="single" w:sz="4" w:space="0" w:color="auto"/>
              <w:right w:val="nil"/>
            </w:tcBorders>
            <w:shd w:val="clear" w:color="auto" w:fill="auto"/>
            <w:noWrap/>
            <w:vAlign w:val="bottom"/>
            <w:hideMark/>
          </w:tcPr>
          <w:p w14:paraId="232B8F1F"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55 709</w:t>
            </w:r>
          </w:p>
        </w:tc>
        <w:tc>
          <w:tcPr>
            <w:tcW w:w="752" w:type="dxa"/>
            <w:tcBorders>
              <w:top w:val="nil"/>
              <w:left w:val="nil"/>
              <w:bottom w:val="single" w:sz="4" w:space="0" w:color="auto"/>
              <w:right w:val="nil"/>
            </w:tcBorders>
            <w:shd w:val="clear" w:color="auto" w:fill="auto"/>
            <w:noWrap/>
            <w:vAlign w:val="center"/>
            <w:hideMark/>
          </w:tcPr>
          <w:p w14:paraId="591E6570"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-7 %  </w:t>
            </w:r>
          </w:p>
        </w:tc>
        <w:tc>
          <w:tcPr>
            <w:tcW w:w="1163" w:type="dxa"/>
            <w:tcBorders>
              <w:top w:val="nil"/>
              <w:left w:val="single" w:sz="4" w:space="0" w:color="auto"/>
              <w:bottom w:val="single" w:sz="4" w:space="0" w:color="auto"/>
              <w:right w:val="nil"/>
            </w:tcBorders>
            <w:shd w:val="clear" w:color="auto" w:fill="auto"/>
            <w:noWrap/>
            <w:vAlign w:val="bottom"/>
            <w:hideMark/>
          </w:tcPr>
          <w:p w14:paraId="7E2656F8"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56 711</w:t>
            </w:r>
          </w:p>
        </w:tc>
        <w:tc>
          <w:tcPr>
            <w:tcW w:w="860" w:type="dxa"/>
            <w:tcBorders>
              <w:top w:val="nil"/>
              <w:left w:val="nil"/>
              <w:bottom w:val="single" w:sz="4" w:space="0" w:color="auto"/>
              <w:right w:val="single" w:sz="4" w:space="0" w:color="auto"/>
            </w:tcBorders>
            <w:shd w:val="clear" w:color="auto" w:fill="auto"/>
            <w:noWrap/>
            <w:vAlign w:val="center"/>
            <w:hideMark/>
          </w:tcPr>
          <w:p w14:paraId="1FE36DC5"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967" w:type="dxa"/>
            <w:tcBorders>
              <w:top w:val="nil"/>
              <w:left w:val="nil"/>
              <w:bottom w:val="single" w:sz="4" w:space="0" w:color="auto"/>
              <w:right w:val="nil"/>
            </w:tcBorders>
            <w:shd w:val="clear" w:color="auto" w:fill="auto"/>
            <w:noWrap/>
            <w:vAlign w:val="bottom"/>
            <w:hideMark/>
          </w:tcPr>
          <w:p w14:paraId="72F6D3D6"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2 626</w:t>
            </w:r>
          </w:p>
        </w:tc>
        <w:tc>
          <w:tcPr>
            <w:tcW w:w="860" w:type="dxa"/>
            <w:tcBorders>
              <w:top w:val="nil"/>
              <w:left w:val="nil"/>
              <w:bottom w:val="single" w:sz="4" w:space="0" w:color="auto"/>
              <w:right w:val="single" w:sz="4" w:space="0" w:color="auto"/>
            </w:tcBorders>
            <w:shd w:val="clear" w:color="auto" w:fill="auto"/>
            <w:noWrap/>
            <w:vAlign w:val="center"/>
            <w:hideMark/>
          </w:tcPr>
          <w:p w14:paraId="0229BE91"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-27 %  </w:t>
            </w:r>
          </w:p>
        </w:tc>
        <w:tc>
          <w:tcPr>
            <w:tcW w:w="1540" w:type="dxa"/>
            <w:tcBorders>
              <w:top w:val="nil"/>
              <w:left w:val="nil"/>
              <w:bottom w:val="single" w:sz="4" w:space="0" w:color="auto"/>
              <w:right w:val="nil"/>
            </w:tcBorders>
            <w:shd w:val="clear" w:color="auto" w:fill="auto"/>
            <w:noWrap/>
            <w:vAlign w:val="center"/>
            <w:hideMark/>
          </w:tcPr>
          <w:p w14:paraId="1680840A" w14:textId="57824AD5"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101,8 %</w:t>
            </w:r>
          </w:p>
        </w:tc>
      </w:tr>
      <w:tr w:rsidR="00B64E96" w:rsidRPr="00730B1E" w14:paraId="1C75CE59" w14:textId="77777777" w:rsidTr="00A921F1">
        <w:trPr>
          <w:trHeight w:val="315"/>
        </w:trPr>
        <w:tc>
          <w:tcPr>
            <w:tcW w:w="2020" w:type="dxa"/>
            <w:tcBorders>
              <w:top w:val="nil"/>
              <w:left w:val="nil"/>
              <w:bottom w:val="single" w:sz="4" w:space="0" w:color="auto"/>
              <w:right w:val="nil"/>
            </w:tcBorders>
            <w:shd w:val="clear" w:color="auto" w:fill="auto"/>
            <w:noWrap/>
            <w:vAlign w:val="bottom"/>
            <w:hideMark/>
          </w:tcPr>
          <w:p w14:paraId="14D95252" w14:textId="77777777" w:rsidR="00A921F1" w:rsidRPr="00730B1E" w:rsidRDefault="00A921F1" w:rsidP="00A921F1">
            <w:pPr>
              <w:spacing w:line="240" w:lineRule="auto"/>
              <w:jc w:val="left"/>
              <w:rPr>
                <w:rFonts w:eastAsia="Times New Roman"/>
                <w:szCs w:val="24"/>
                <w:lang w:eastAsia="cs-CZ"/>
              </w:rPr>
            </w:pPr>
            <w:r w:rsidRPr="00730B1E">
              <w:rPr>
                <w:rFonts w:eastAsia="Times New Roman"/>
                <w:szCs w:val="24"/>
                <w:lang w:eastAsia="cs-CZ"/>
              </w:rPr>
              <w:t>KS Hr. Králové</w:t>
            </w:r>
          </w:p>
        </w:tc>
        <w:tc>
          <w:tcPr>
            <w:tcW w:w="1138" w:type="dxa"/>
            <w:tcBorders>
              <w:top w:val="nil"/>
              <w:left w:val="nil"/>
              <w:bottom w:val="single" w:sz="4" w:space="0" w:color="auto"/>
              <w:right w:val="nil"/>
            </w:tcBorders>
            <w:shd w:val="clear" w:color="auto" w:fill="auto"/>
            <w:noWrap/>
            <w:vAlign w:val="bottom"/>
            <w:hideMark/>
          </w:tcPr>
          <w:p w14:paraId="7037DBA5"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33 195</w:t>
            </w:r>
          </w:p>
        </w:tc>
        <w:tc>
          <w:tcPr>
            <w:tcW w:w="752" w:type="dxa"/>
            <w:tcBorders>
              <w:top w:val="nil"/>
              <w:left w:val="nil"/>
              <w:bottom w:val="single" w:sz="4" w:space="0" w:color="auto"/>
              <w:right w:val="nil"/>
            </w:tcBorders>
            <w:shd w:val="clear" w:color="auto" w:fill="auto"/>
            <w:noWrap/>
            <w:vAlign w:val="center"/>
            <w:hideMark/>
          </w:tcPr>
          <w:p w14:paraId="29F22A33"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-3 %  </w:t>
            </w:r>
          </w:p>
        </w:tc>
        <w:tc>
          <w:tcPr>
            <w:tcW w:w="1163" w:type="dxa"/>
            <w:tcBorders>
              <w:top w:val="nil"/>
              <w:left w:val="single" w:sz="4" w:space="0" w:color="auto"/>
              <w:bottom w:val="single" w:sz="4" w:space="0" w:color="auto"/>
              <w:right w:val="nil"/>
            </w:tcBorders>
            <w:shd w:val="clear" w:color="auto" w:fill="auto"/>
            <w:noWrap/>
            <w:vAlign w:val="bottom"/>
            <w:hideMark/>
          </w:tcPr>
          <w:p w14:paraId="4A49B7AD"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32 826</w:t>
            </w:r>
          </w:p>
        </w:tc>
        <w:tc>
          <w:tcPr>
            <w:tcW w:w="860" w:type="dxa"/>
            <w:tcBorders>
              <w:top w:val="nil"/>
              <w:left w:val="nil"/>
              <w:bottom w:val="single" w:sz="4" w:space="0" w:color="auto"/>
              <w:right w:val="single" w:sz="4" w:space="0" w:color="auto"/>
            </w:tcBorders>
            <w:shd w:val="clear" w:color="auto" w:fill="auto"/>
            <w:noWrap/>
            <w:vAlign w:val="center"/>
            <w:hideMark/>
          </w:tcPr>
          <w:p w14:paraId="091836D3"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-4 %  </w:t>
            </w:r>
          </w:p>
        </w:tc>
        <w:tc>
          <w:tcPr>
            <w:tcW w:w="967" w:type="dxa"/>
            <w:tcBorders>
              <w:top w:val="nil"/>
              <w:left w:val="nil"/>
              <w:bottom w:val="single" w:sz="4" w:space="0" w:color="auto"/>
              <w:right w:val="nil"/>
            </w:tcBorders>
            <w:shd w:val="clear" w:color="auto" w:fill="auto"/>
            <w:noWrap/>
            <w:vAlign w:val="bottom"/>
            <w:hideMark/>
          </w:tcPr>
          <w:p w14:paraId="00FC015E"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782</w:t>
            </w:r>
          </w:p>
        </w:tc>
        <w:tc>
          <w:tcPr>
            <w:tcW w:w="860" w:type="dxa"/>
            <w:tcBorders>
              <w:top w:val="nil"/>
              <w:left w:val="nil"/>
              <w:bottom w:val="single" w:sz="4" w:space="0" w:color="auto"/>
              <w:right w:val="single" w:sz="4" w:space="0" w:color="auto"/>
            </w:tcBorders>
            <w:shd w:val="clear" w:color="auto" w:fill="auto"/>
            <w:noWrap/>
            <w:vAlign w:val="center"/>
            <w:hideMark/>
          </w:tcPr>
          <w:p w14:paraId="5ECD15EA"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+91 %  </w:t>
            </w:r>
          </w:p>
        </w:tc>
        <w:tc>
          <w:tcPr>
            <w:tcW w:w="1540" w:type="dxa"/>
            <w:tcBorders>
              <w:top w:val="nil"/>
              <w:left w:val="nil"/>
              <w:bottom w:val="single" w:sz="4" w:space="0" w:color="auto"/>
              <w:right w:val="nil"/>
            </w:tcBorders>
            <w:shd w:val="clear" w:color="auto" w:fill="auto"/>
            <w:noWrap/>
            <w:vAlign w:val="center"/>
            <w:hideMark/>
          </w:tcPr>
          <w:p w14:paraId="7CCE96A2" w14:textId="3FCC0FBE"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98,9 %</w:t>
            </w:r>
          </w:p>
        </w:tc>
      </w:tr>
      <w:tr w:rsidR="00B64E96" w:rsidRPr="00730B1E" w14:paraId="4A3FC4B4" w14:textId="77777777" w:rsidTr="00A921F1">
        <w:trPr>
          <w:trHeight w:val="315"/>
        </w:trPr>
        <w:tc>
          <w:tcPr>
            <w:tcW w:w="2020" w:type="dxa"/>
            <w:tcBorders>
              <w:top w:val="nil"/>
              <w:left w:val="nil"/>
              <w:bottom w:val="single" w:sz="4" w:space="0" w:color="auto"/>
              <w:right w:val="nil"/>
            </w:tcBorders>
            <w:shd w:val="clear" w:color="auto" w:fill="auto"/>
            <w:noWrap/>
            <w:vAlign w:val="bottom"/>
            <w:hideMark/>
          </w:tcPr>
          <w:p w14:paraId="6E79EBCB" w14:textId="77777777" w:rsidR="00A921F1" w:rsidRPr="00730B1E" w:rsidRDefault="00A921F1" w:rsidP="00A921F1">
            <w:pPr>
              <w:spacing w:line="240" w:lineRule="auto"/>
              <w:jc w:val="left"/>
              <w:rPr>
                <w:rFonts w:eastAsia="Times New Roman"/>
                <w:szCs w:val="24"/>
                <w:lang w:eastAsia="cs-CZ"/>
              </w:rPr>
            </w:pPr>
            <w:r w:rsidRPr="00730B1E">
              <w:rPr>
                <w:rFonts w:eastAsia="Times New Roman"/>
                <w:szCs w:val="24"/>
                <w:lang w:eastAsia="cs-CZ"/>
              </w:rPr>
              <w:t>KS Brno</w:t>
            </w:r>
          </w:p>
        </w:tc>
        <w:tc>
          <w:tcPr>
            <w:tcW w:w="1138" w:type="dxa"/>
            <w:tcBorders>
              <w:top w:val="nil"/>
              <w:left w:val="nil"/>
              <w:bottom w:val="single" w:sz="4" w:space="0" w:color="auto"/>
              <w:right w:val="nil"/>
            </w:tcBorders>
            <w:shd w:val="clear" w:color="auto" w:fill="auto"/>
            <w:noWrap/>
            <w:vAlign w:val="bottom"/>
            <w:hideMark/>
          </w:tcPr>
          <w:p w14:paraId="5657C52E"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47 718</w:t>
            </w:r>
          </w:p>
        </w:tc>
        <w:tc>
          <w:tcPr>
            <w:tcW w:w="752" w:type="dxa"/>
            <w:tcBorders>
              <w:top w:val="nil"/>
              <w:left w:val="nil"/>
              <w:bottom w:val="single" w:sz="4" w:space="0" w:color="auto"/>
              <w:right w:val="nil"/>
            </w:tcBorders>
            <w:shd w:val="clear" w:color="auto" w:fill="auto"/>
            <w:noWrap/>
            <w:vAlign w:val="center"/>
            <w:hideMark/>
          </w:tcPr>
          <w:p w14:paraId="00344810"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-2 %  </w:t>
            </w:r>
          </w:p>
        </w:tc>
        <w:tc>
          <w:tcPr>
            <w:tcW w:w="1163" w:type="dxa"/>
            <w:tcBorders>
              <w:top w:val="nil"/>
              <w:left w:val="single" w:sz="4" w:space="0" w:color="auto"/>
              <w:bottom w:val="single" w:sz="4" w:space="0" w:color="auto"/>
              <w:right w:val="nil"/>
            </w:tcBorders>
            <w:shd w:val="clear" w:color="auto" w:fill="auto"/>
            <w:noWrap/>
            <w:vAlign w:val="bottom"/>
            <w:hideMark/>
          </w:tcPr>
          <w:p w14:paraId="70BD32D3"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47 966</w:t>
            </w:r>
          </w:p>
        </w:tc>
        <w:tc>
          <w:tcPr>
            <w:tcW w:w="860" w:type="dxa"/>
            <w:tcBorders>
              <w:top w:val="nil"/>
              <w:left w:val="nil"/>
              <w:bottom w:val="single" w:sz="4" w:space="0" w:color="auto"/>
              <w:right w:val="single" w:sz="4" w:space="0" w:color="auto"/>
            </w:tcBorders>
            <w:shd w:val="clear" w:color="auto" w:fill="auto"/>
            <w:noWrap/>
            <w:vAlign w:val="center"/>
            <w:hideMark/>
          </w:tcPr>
          <w:p w14:paraId="2553BE85"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+1 %  </w:t>
            </w:r>
          </w:p>
        </w:tc>
        <w:tc>
          <w:tcPr>
            <w:tcW w:w="967" w:type="dxa"/>
            <w:tcBorders>
              <w:top w:val="nil"/>
              <w:left w:val="nil"/>
              <w:bottom w:val="single" w:sz="4" w:space="0" w:color="auto"/>
              <w:right w:val="nil"/>
            </w:tcBorders>
            <w:shd w:val="clear" w:color="auto" w:fill="auto"/>
            <w:noWrap/>
            <w:vAlign w:val="bottom"/>
            <w:hideMark/>
          </w:tcPr>
          <w:p w14:paraId="18C0AB8B"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4 081</w:t>
            </w:r>
          </w:p>
        </w:tc>
        <w:tc>
          <w:tcPr>
            <w:tcW w:w="860" w:type="dxa"/>
            <w:tcBorders>
              <w:top w:val="nil"/>
              <w:left w:val="nil"/>
              <w:bottom w:val="single" w:sz="4" w:space="0" w:color="auto"/>
              <w:right w:val="single" w:sz="4" w:space="0" w:color="auto"/>
            </w:tcBorders>
            <w:shd w:val="clear" w:color="auto" w:fill="auto"/>
            <w:noWrap/>
            <w:vAlign w:val="center"/>
            <w:hideMark/>
          </w:tcPr>
          <w:p w14:paraId="3281A1F4"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c>
          <w:tcPr>
            <w:tcW w:w="1540" w:type="dxa"/>
            <w:tcBorders>
              <w:top w:val="nil"/>
              <w:left w:val="nil"/>
              <w:bottom w:val="single" w:sz="4" w:space="0" w:color="auto"/>
              <w:right w:val="nil"/>
            </w:tcBorders>
            <w:shd w:val="clear" w:color="auto" w:fill="auto"/>
            <w:noWrap/>
            <w:vAlign w:val="center"/>
            <w:hideMark/>
          </w:tcPr>
          <w:p w14:paraId="322ED8CB" w14:textId="0B009CF4"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100,5 %</w:t>
            </w:r>
          </w:p>
        </w:tc>
      </w:tr>
      <w:tr w:rsidR="00B64E96" w:rsidRPr="00730B1E" w14:paraId="1AB81AFE" w14:textId="77777777" w:rsidTr="00A921F1">
        <w:trPr>
          <w:trHeight w:val="330"/>
        </w:trPr>
        <w:tc>
          <w:tcPr>
            <w:tcW w:w="2020" w:type="dxa"/>
            <w:tcBorders>
              <w:top w:val="nil"/>
              <w:left w:val="nil"/>
              <w:bottom w:val="double" w:sz="6" w:space="0" w:color="auto"/>
              <w:right w:val="nil"/>
            </w:tcBorders>
            <w:shd w:val="clear" w:color="auto" w:fill="auto"/>
            <w:noWrap/>
            <w:vAlign w:val="bottom"/>
            <w:hideMark/>
          </w:tcPr>
          <w:p w14:paraId="0B6A08E2" w14:textId="77777777" w:rsidR="00A921F1" w:rsidRPr="00730B1E" w:rsidRDefault="00A921F1" w:rsidP="00A921F1">
            <w:pPr>
              <w:spacing w:line="240" w:lineRule="auto"/>
              <w:jc w:val="left"/>
              <w:rPr>
                <w:rFonts w:eastAsia="Times New Roman"/>
                <w:szCs w:val="24"/>
                <w:lang w:eastAsia="cs-CZ"/>
              </w:rPr>
            </w:pPr>
            <w:r w:rsidRPr="00730B1E">
              <w:rPr>
                <w:rFonts w:eastAsia="Times New Roman"/>
                <w:szCs w:val="24"/>
                <w:lang w:eastAsia="cs-CZ"/>
              </w:rPr>
              <w:t>KS Ostrava</w:t>
            </w:r>
          </w:p>
        </w:tc>
        <w:tc>
          <w:tcPr>
            <w:tcW w:w="1138" w:type="dxa"/>
            <w:tcBorders>
              <w:top w:val="nil"/>
              <w:left w:val="nil"/>
              <w:bottom w:val="double" w:sz="6" w:space="0" w:color="auto"/>
              <w:right w:val="nil"/>
            </w:tcBorders>
            <w:shd w:val="clear" w:color="auto" w:fill="auto"/>
            <w:noWrap/>
            <w:vAlign w:val="bottom"/>
            <w:hideMark/>
          </w:tcPr>
          <w:p w14:paraId="7DE37142"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64 964</w:t>
            </w:r>
          </w:p>
        </w:tc>
        <w:tc>
          <w:tcPr>
            <w:tcW w:w="752" w:type="dxa"/>
            <w:tcBorders>
              <w:top w:val="nil"/>
              <w:left w:val="nil"/>
              <w:bottom w:val="double" w:sz="6" w:space="0" w:color="auto"/>
              <w:right w:val="nil"/>
            </w:tcBorders>
            <w:shd w:val="clear" w:color="auto" w:fill="auto"/>
            <w:noWrap/>
            <w:vAlign w:val="center"/>
            <w:hideMark/>
          </w:tcPr>
          <w:p w14:paraId="197CE2CC"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-9 %  </w:t>
            </w:r>
          </w:p>
        </w:tc>
        <w:tc>
          <w:tcPr>
            <w:tcW w:w="1163" w:type="dxa"/>
            <w:tcBorders>
              <w:top w:val="nil"/>
              <w:left w:val="single" w:sz="4" w:space="0" w:color="auto"/>
              <w:bottom w:val="double" w:sz="6" w:space="0" w:color="auto"/>
              <w:right w:val="nil"/>
            </w:tcBorders>
            <w:shd w:val="clear" w:color="auto" w:fill="auto"/>
            <w:noWrap/>
            <w:vAlign w:val="bottom"/>
            <w:hideMark/>
          </w:tcPr>
          <w:p w14:paraId="67155C49"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71 812</w:t>
            </w:r>
          </w:p>
        </w:tc>
        <w:tc>
          <w:tcPr>
            <w:tcW w:w="860" w:type="dxa"/>
            <w:tcBorders>
              <w:top w:val="nil"/>
              <w:left w:val="nil"/>
              <w:bottom w:val="double" w:sz="6" w:space="0" w:color="auto"/>
              <w:right w:val="single" w:sz="4" w:space="0" w:color="auto"/>
            </w:tcBorders>
            <w:shd w:val="clear" w:color="auto" w:fill="auto"/>
            <w:noWrap/>
            <w:vAlign w:val="center"/>
            <w:hideMark/>
          </w:tcPr>
          <w:p w14:paraId="398254DB"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+13 %  </w:t>
            </w:r>
          </w:p>
        </w:tc>
        <w:tc>
          <w:tcPr>
            <w:tcW w:w="967" w:type="dxa"/>
            <w:tcBorders>
              <w:top w:val="nil"/>
              <w:left w:val="nil"/>
              <w:bottom w:val="double" w:sz="6" w:space="0" w:color="auto"/>
              <w:right w:val="nil"/>
            </w:tcBorders>
            <w:shd w:val="clear" w:color="auto" w:fill="auto"/>
            <w:noWrap/>
            <w:vAlign w:val="bottom"/>
            <w:hideMark/>
          </w:tcPr>
          <w:p w14:paraId="57FE2475" w14:textId="77777777"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4 428</w:t>
            </w:r>
          </w:p>
        </w:tc>
        <w:tc>
          <w:tcPr>
            <w:tcW w:w="860" w:type="dxa"/>
            <w:tcBorders>
              <w:top w:val="nil"/>
              <w:left w:val="nil"/>
              <w:bottom w:val="double" w:sz="6" w:space="0" w:color="auto"/>
              <w:right w:val="single" w:sz="4" w:space="0" w:color="auto"/>
            </w:tcBorders>
            <w:shd w:val="clear" w:color="auto" w:fill="auto"/>
            <w:noWrap/>
            <w:vAlign w:val="center"/>
            <w:hideMark/>
          </w:tcPr>
          <w:p w14:paraId="4BC9809C" w14:textId="77777777" w:rsidR="00A921F1" w:rsidRPr="00730B1E" w:rsidRDefault="00A921F1" w:rsidP="00A921F1">
            <w:pPr>
              <w:spacing w:line="240" w:lineRule="auto"/>
              <w:jc w:val="right"/>
              <w:rPr>
                <w:rFonts w:eastAsia="Times New Roman"/>
                <w:sz w:val="20"/>
                <w:szCs w:val="20"/>
                <w:lang w:eastAsia="cs-CZ"/>
              </w:rPr>
            </w:pPr>
            <w:r w:rsidRPr="00730B1E">
              <w:rPr>
                <w:rFonts w:eastAsia="Times New Roman"/>
                <w:sz w:val="20"/>
                <w:szCs w:val="20"/>
                <w:lang w:eastAsia="cs-CZ"/>
              </w:rPr>
              <w:t xml:space="preserve">-61 %  </w:t>
            </w:r>
          </w:p>
        </w:tc>
        <w:tc>
          <w:tcPr>
            <w:tcW w:w="1540" w:type="dxa"/>
            <w:tcBorders>
              <w:top w:val="nil"/>
              <w:left w:val="nil"/>
              <w:bottom w:val="nil"/>
              <w:right w:val="nil"/>
            </w:tcBorders>
            <w:shd w:val="clear" w:color="auto" w:fill="auto"/>
            <w:noWrap/>
            <w:vAlign w:val="center"/>
            <w:hideMark/>
          </w:tcPr>
          <w:p w14:paraId="0C57ADED" w14:textId="44BE7734" w:rsidR="00A921F1" w:rsidRPr="00730B1E" w:rsidRDefault="00A921F1" w:rsidP="00A921F1">
            <w:pPr>
              <w:spacing w:line="240" w:lineRule="auto"/>
              <w:jc w:val="center"/>
              <w:rPr>
                <w:rFonts w:eastAsia="Times New Roman"/>
                <w:szCs w:val="24"/>
                <w:lang w:eastAsia="cs-CZ"/>
              </w:rPr>
            </w:pPr>
            <w:r w:rsidRPr="00730B1E">
              <w:rPr>
                <w:rFonts w:eastAsia="Times New Roman"/>
                <w:szCs w:val="24"/>
                <w:lang w:eastAsia="cs-CZ"/>
              </w:rPr>
              <w:t>110,5 %</w:t>
            </w:r>
          </w:p>
        </w:tc>
      </w:tr>
      <w:tr w:rsidR="00B64E96" w:rsidRPr="00730B1E" w14:paraId="54FAE19E" w14:textId="77777777" w:rsidTr="00A921F1">
        <w:trPr>
          <w:trHeight w:val="345"/>
        </w:trPr>
        <w:tc>
          <w:tcPr>
            <w:tcW w:w="2020" w:type="dxa"/>
            <w:tcBorders>
              <w:top w:val="nil"/>
              <w:left w:val="nil"/>
              <w:bottom w:val="double" w:sz="6" w:space="0" w:color="auto"/>
              <w:right w:val="nil"/>
            </w:tcBorders>
            <w:shd w:val="clear" w:color="auto" w:fill="auto"/>
            <w:noWrap/>
            <w:vAlign w:val="bottom"/>
            <w:hideMark/>
          </w:tcPr>
          <w:p w14:paraId="23F0371A" w14:textId="77777777" w:rsidR="00A921F1" w:rsidRPr="00730B1E" w:rsidRDefault="00A921F1" w:rsidP="00A921F1">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138" w:type="dxa"/>
            <w:tcBorders>
              <w:top w:val="nil"/>
              <w:left w:val="nil"/>
              <w:bottom w:val="double" w:sz="6" w:space="0" w:color="auto"/>
              <w:right w:val="nil"/>
            </w:tcBorders>
            <w:shd w:val="clear" w:color="auto" w:fill="auto"/>
            <w:noWrap/>
            <w:vAlign w:val="bottom"/>
            <w:hideMark/>
          </w:tcPr>
          <w:p w14:paraId="517E9618" w14:textId="77777777"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345 192</w:t>
            </w:r>
          </w:p>
        </w:tc>
        <w:tc>
          <w:tcPr>
            <w:tcW w:w="752" w:type="dxa"/>
            <w:tcBorders>
              <w:top w:val="nil"/>
              <w:left w:val="nil"/>
              <w:bottom w:val="double" w:sz="6" w:space="0" w:color="auto"/>
              <w:right w:val="nil"/>
            </w:tcBorders>
            <w:shd w:val="clear" w:color="auto" w:fill="auto"/>
            <w:noWrap/>
            <w:vAlign w:val="center"/>
            <w:hideMark/>
          </w:tcPr>
          <w:p w14:paraId="0050F2A9" w14:textId="77777777" w:rsidR="00A921F1" w:rsidRPr="00730B1E" w:rsidRDefault="00A921F1" w:rsidP="00A921F1">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-7 %  </w:t>
            </w:r>
          </w:p>
        </w:tc>
        <w:tc>
          <w:tcPr>
            <w:tcW w:w="1163" w:type="dxa"/>
            <w:tcBorders>
              <w:top w:val="nil"/>
              <w:left w:val="single" w:sz="4" w:space="0" w:color="auto"/>
              <w:bottom w:val="double" w:sz="6" w:space="0" w:color="auto"/>
              <w:right w:val="nil"/>
            </w:tcBorders>
            <w:shd w:val="clear" w:color="auto" w:fill="auto"/>
            <w:noWrap/>
            <w:vAlign w:val="bottom"/>
            <w:hideMark/>
          </w:tcPr>
          <w:p w14:paraId="3C79EC00" w14:textId="77777777"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352 089</w:t>
            </w:r>
          </w:p>
        </w:tc>
        <w:tc>
          <w:tcPr>
            <w:tcW w:w="860" w:type="dxa"/>
            <w:tcBorders>
              <w:top w:val="nil"/>
              <w:left w:val="nil"/>
              <w:bottom w:val="double" w:sz="6" w:space="0" w:color="auto"/>
              <w:right w:val="single" w:sz="4" w:space="0" w:color="auto"/>
            </w:tcBorders>
            <w:shd w:val="clear" w:color="auto" w:fill="auto"/>
            <w:noWrap/>
            <w:vAlign w:val="center"/>
            <w:hideMark/>
          </w:tcPr>
          <w:p w14:paraId="2C5F9518" w14:textId="77777777" w:rsidR="00A921F1" w:rsidRPr="00730B1E" w:rsidRDefault="00A921F1" w:rsidP="00A921F1">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-3 %  </w:t>
            </w:r>
          </w:p>
        </w:tc>
        <w:tc>
          <w:tcPr>
            <w:tcW w:w="967" w:type="dxa"/>
            <w:tcBorders>
              <w:top w:val="nil"/>
              <w:left w:val="nil"/>
              <w:bottom w:val="double" w:sz="6" w:space="0" w:color="auto"/>
              <w:right w:val="nil"/>
            </w:tcBorders>
            <w:shd w:val="clear" w:color="auto" w:fill="auto"/>
            <w:noWrap/>
            <w:vAlign w:val="bottom"/>
            <w:hideMark/>
          </w:tcPr>
          <w:p w14:paraId="69E77A74" w14:textId="77777777"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15 986</w:t>
            </w:r>
          </w:p>
        </w:tc>
        <w:tc>
          <w:tcPr>
            <w:tcW w:w="860" w:type="dxa"/>
            <w:tcBorders>
              <w:top w:val="nil"/>
              <w:left w:val="nil"/>
              <w:bottom w:val="double" w:sz="6" w:space="0" w:color="auto"/>
              <w:right w:val="single" w:sz="4" w:space="0" w:color="auto"/>
            </w:tcBorders>
            <w:shd w:val="clear" w:color="auto" w:fill="auto"/>
            <w:noWrap/>
            <w:vAlign w:val="center"/>
            <w:hideMark/>
          </w:tcPr>
          <w:p w14:paraId="7051B1F1" w14:textId="77777777" w:rsidR="00A921F1" w:rsidRPr="00730B1E" w:rsidRDefault="00A921F1" w:rsidP="00A921F1">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-30 %  </w:t>
            </w:r>
          </w:p>
        </w:tc>
        <w:tc>
          <w:tcPr>
            <w:tcW w:w="1540" w:type="dxa"/>
            <w:tcBorders>
              <w:top w:val="double" w:sz="6" w:space="0" w:color="auto"/>
              <w:left w:val="nil"/>
              <w:bottom w:val="double" w:sz="6" w:space="0" w:color="auto"/>
              <w:right w:val="nil"/>
            </w:tcBorders>
            <w:shd w:val="clear" w:color="auto" w:fill="auto"/>
            <w:noWrap/>
            <w:vAlign w:val="center"/>
            <w:hideMark/>
          </w:tcPr>
          <w:p w14:paraId="092469C8" w14:textId="612D88B3" w:rsidR="00A921F1" w:rsidRPr="00730B1E" w:rsidRDefault="00A921F1" w:rsidP="00A921F1">
            <w:pPr>
              <w:spacing w:line="240" w:lineRule="auto"/>
              <w:jc w:val="center"/>
              <w:rPr>
                <w:rFonts w:eastAsia="Times New Roman"/>
                <w:b/>
                <w:bCs/>
                <w:szCs w:val="24"/>
                <w:lang w:eastAsia="cs-CZ"/>
              </w:rPr>
            </w:pPr>
            <w:r w:rsidRPr="00730B1E">
              <w:rPr>
                <w:rFonts w:eastAsia="Times New Roman"/>
                <w:b/>
                <w:bCs/>
                <w:szCs w:val="24"/>
                <w:lang w:eastAsia="cs-CZ"/>
              </w:rPr>
              <w:t>102,0 %</w:t>
            </w:r>
          </w:p>
        </w:tc>
      </w:tr>
      <w:tr w:rsidR="00B64E96" w:rsidRPr="00730B1E" w14:paraId="100D574E" w14:textId="77777777" w:rsidTr="00A921F1">
        <w:trPr>
          <w:trHeight w:val="330"/>
        </w:trPr>
        <w:tc>
          <w:tcPr>
            <w:tcW w:w="2020" w:type="dxa"/>
            <w:tcBorders>
              <w:top w:val="nil"/>
              <w:left w:val="nil"/>
              <w:bottom w:val="nil"/>
              <w:right w:val="nil"/>
            </w:tcBorders>
            <w:shd w:val="clear" w:color="auto" w:fill="auto"/>
            <w:noWrap/>
            <w:vAlign w:val="bottom"/>
            <w:hideMark/>
          </w:tcPr>
          <w:p w14:paraId="37AE3A93" w14:textId="77777777" w:rsidR="00A921F1" w:rsidRPr="00730B1E" w:rsidRDefault="00A921F1" w:rsidP="00A921F1">
            <w:pPr>
              <w:spacing w:line="240" w:lineRule="auto"/>
              <w:jc w:val="center"/>
              <w:rPr>
                <w:rFonts w:eastAsia="Times New Roman"/>
                <w:b/>
                <w:bCs/>
                <w:szCs w:val="24"/>
                <w:lang w:eastAsia="cs-CZ"/>
              </w:rPr>
            </w:pPr>
          </w:p>
        </w:tc>
        <w:tc>
          <w:tcPr>
            <w:tcW w:w="1138" w:type="dxa"/>
            <w:tcBorders>
              <w:top w:val="nil"/>
              <w:left w:val="nil"/>
              <w:bottom w:val="nil"/>
              <w:right w:val="nil"/>
            </w:tcBorders>
            <w:shd w:val="clear" w:color="auto" w:fill="auto"/>
            <w:noWrap/>
            <w:vAlign w:val="bottom"/>
            <w:hideMark/>
          </w:tcPr>
          <w:p w14:paraId="3209DA84" w14:textId="77777777" w:rsidR="00A921F1" w:rsidRPr="00DF07F3" w:rsidRDefault="00A921F1" w:rsidP="00A921F1">
            <w:pPr>
              <w:spacing w:line="240" w:lineRule="auto"/>
              <w:jc w:val="left"/>
              <w:rPr>
                <w:sz w:val="20"/>
              </w:rPr>
            </w:pPr>
          </w:p>
        </w:tc>
        <w:tc>
          <w:tcPr>
            <w:tcW w:w="752" w:type="dxa"/>
            <w:tcBorders>
              <w:top w:val="nil"/>
              <w:left w:val="nil"/>
              <w:bottom w:val="nil"/>
              <w:right w:val="nil"/>
            </w:tcBorders>
            <w:shd w:val="clear" w:color="auto" w:fill="auto"/>
            <w:noWrap/>
            <w:vAlign w:val="bottom"/>
            <w:hideMark/>
          </w:tcPr>
          <w:p w14:paraId="3F10CDE0" w14:textId="77777777" w:rsidR="00A921F1" w:rsidRPr="00DF07F3" w:rsidRDefault="00A921F1" w:rsidP="00A921F1">
            <w:pPr>
              <w:spacing w:line="240" w:lineRule="auto"/>
              <w:jc w:val="left"/>
              <w:rPr>
                <w:sz w:val="20"/>
              </w:rPr>
            </w:pPr>
          </w:p>
        </w:tc>
        <w:tc>
          <w:tcPr>
            <w:tcW w:w="1163" w:type="dxa"/>
            <w:tcBorders>
              <w:top w:val="nil"/>
              <w:left w:val="nil"/>
              <w:bottom w:val="nil"/>
              <w:right w:val="nil"/>
            </w:tcBorders>
            <w:shd w:val="clear" w:color="auto" w:fill="auto"/>
            <w:noWrap/>
            <w:vAlign w:val="bottom"/>
            <w:hideMark/>
          </w:tcPr>
          <w:p w14:paraId="02B6CEA4" w14:textId="77777777" w:rsidR="00A921F1" w:rsidRPr="00DF07F3" w:rsidRDefault="00A921F1" w:rsidP="00A921F1">
            <w:pPr>
              <w:spacing w:line="240" w:lineRule="auto"/>
              <w:jc w:val="left"/>
              <w:rPr>
                <w:sz w:val="20"/>
              </w:rPr>
            </w:pPr>
          </w:p>
        </w:tc>
        <w:tc>
          <w:tcPr>
            <w:tcW w:w="860" w:type="dxa"/>
            <w:tcBorders>
              <w:top w:val="nil"/>
              <w:left w:val="nil"/>
              <w:bottom w:val="nil"/>
              <w:right w:val="nil"/>
            </w:tcBorders>
            <w:shd w:val="clear" w:color="auto" w:fill="auto"/>
            <w:noWrap/>
            <w:vAlign w:val="bottom"/>
            <w:hideMark/>
          </w:tcPr>
          <w:p w14:paraId="3A2208E6" w14:textId="77777777" w:rsidR="00A921F1" w:rsidRPr="00DF07F3" w:rsidRDefault="00A921F1" w:rsidP="00A921F1">
            <w:pPr>
              <w:spacing w:line="240" w:lineRule="auto"/>
              <w:jc w:val="left"/>
              <w:rPr>
                <w:sz w:val="20"/>
              </w:rPr>
            </w:pPr>
          </w:p>
        </w:tc>
        <w:tc>
          <w:tcPr>
            <w:tcW w:w="967" w:type="dxa"/>
            <w:tcBorders>
              <w:top w:val="nil"/>
              <w:left w:val="nil"/>
              <w:bottom w:val="nil"/>
              <w:right w:val="nil"/>
            </w:tcBorders>
            <w:shd w:val="clear" w:color="auto" w:fill="auto"/>
            <w:noWrap/>
            <w:vAlign w:val="bottom"/>
            <w:hideMark/>
          </w:tcPr>
          <w:p w14:paraId="46BC368C" w14:textId="77777777" w:rsidR="00A921F1" w:rsidRPr="00DF07F3" w:rsidRDefault="00A921F1" w:rsidP="00A921F1">
            <w:pPr>
              <w:spacing w:line="240" w:lineRule="auto"/>
              <w:jc w:val="left"/>
              <w:rPr>
                <w:sz w:val="20"/>
              </w:rPr>
            </w:pPr>
          </w:p>
        </w:tc>
        <w:tc>
          <w:tcPr>
            <w:tcW w:w="860" w:type="dxa"/>
            <w:tcBorders>
              <w:top w:val="nil"/>
              <w:left w:val="nil"/>
              <w:bottom w:val="nil"/>
              <w:right w:val="nil"/>
            </w:tcBorders>
            <w:shd w:val="clear" w:color="auto" w:fill="auto"/>
            <w:noWrap/>
            <w:vAlign w:val="bottom"/>
            <w:hideMark/>
          </w:tcPr>
          <w:p w14:paraId="3D858548" w14:textId="77777777" w:rsidR="00A921F1" w:rsidRPr="00DF07F3" w:rsidRDefault="00A921F1" w:rsidP="00A921F1">
            <w:pPr>
              <w:spacing w:line="240" w:lineRule="auto"/>
              <w:jc w:val="left"/>
              <w:rPr>
                <w:sz w:val="20"/>
              </w:rPr>
            </w:pPr>
          </w:p>
        </w:tc>
        <w:tc>
          <w:tcPr>
            <w:tcW w:w="1540" w:type="dxa"/>
            <w:tcBorders>
              <w:top w:val="nil"/>
              <w:left w:val="nil"/>
              <w:bottom w:val="nil"/>
              <w:right w:val="nil"/>
            </w:tcBorders>
            <w:shd w:val="clear" w:color="auto" w:fill="auto"/>
            <w:noWrap/>
            <w:vAlign w:val="bottom"/>
            <w:hideMark/>
          </w:tcPr>
          <w:p w14:paraId="4656EEA0" w14:textId="77777777" w:rsidR="00A921F1" w:rsidRPr="00DF07F3" w:rsidRDefault="00A921F1" w:rsidP="00A921F1">
            <w:pPr>
              <w:spacing w:line="240" w:lineRule="auto"/>
              <w:jc w:val="left"/>
              <w:rPr>
                <w:sz w:val="20"/>
              </w:rPr>
            </w:pPr>
          </w:p>
        </w:tc>
      </w:tr>
    </w:tbl>
    <w:p w14:paraId="444642A9" w14:textId="77777777" w:rsidR="00620C6E" w:rsidRPr="00730B1E" w:rsidRDefault="00620C6E" w:rsidP="00620C6E">
      <w:pPr>
        <w:pStyle w:val="Nadpis3"/>
        <w:numPr>
          <w:ilvl w:val="2"/>
          <w:numId w:val="1"/>
        </w:numPr>
        <w:rPr>
          <w:color w:val="auto"/>
        </w:rPr>
      </w:pPr>
      <w:bookmarkStart w:id="321" w:name="_Toc75952065"/>
      <w:bookmarkStart w:id="322" w:name="_Toc106092726"/>
      <w:bookmarkStart w:id="323" w:name="_Toc144104347"/>
      <w:bookmarkStart w:id="324" w:name="_Toc169250810"/>
      <w:bookmarkStart w:id="325" w:name="_Toc174080846"/>
      <w:r w:rsidRPr="00730B1E">
        <w:rPr>
          <w:color w:val="auto"/>
        </w:rPr>
        <w:t>Další statistiky</w:t>
      </w:r>
      <w:bookmarkEnd w:id="321"/>
      <w:bookmarkEnd w:id="322"/>
      <w:bookmarkEnd w:id="323"/>
      <w:bookmarkEnd w:id="324"/>
      <w:bookmarkEnd w:id="325"/>
    </w:p>
    <w:p w14:paraId="407973FA" w14:textId="284BB023" w:rsidR="00A921F1" w:rsidRPr="00730B1E" w:rsidRDefault="00A921F1" w:rsidP="00A921F1">
      <w:pPr>
        <w:pStyle w:val="OdstavecASR"/>
      </w:pPr>
      <w:r w:rsidRPr="00730B1E">
        <w:t xml:space="preserve">Velkou část civilních věcí tvoří spory o úhradu dlužné částky (např. neuhrazené pojistné, neuhrazené vyúčtování za spotřebovanou energii, neuhrazené jízdné včetně přirážky k jízdnému za přepravu bez platného jízdního dokladu, neuhrazené splatné pohledávky ze smluv o úvěru apod.), přičemž většina těchto sporů byla právě převedena z rejstříku EPR. V této kapitole tedy zodpovíme otázku, kolik věcí je vlastně z rejstříku EPR převedeno do rejstříku C, tzn. v jaké míře </w:t>
      </w:r>
      <w:r w:rsidR="00494148" w:rsidRPr="00730B1E">
        <w:t>se soudům nepodařilo</w:t>
      </w:r>
      <w:r w:rsidRPr="00730B1E">
        <w:t xml:space="preserve"> věc vyřídit jednoduše elektronickým platebním rozkazem, </w:t>
      </w:r>
      <w:r w:rsidR="00494148" w:rsidRPr="00730B1E">
        <w:t xml:space="preserve">ale muselo proběhnout </w:t>
      </w:r>
      <w:r w:rsidRPr="00730B1E">
        <w:lastRenderedPageBreak/>
        <w:t>klasické civilní řízení. Opět uvádíme časové řady za celou ČR a průřezová data po krajích za rok 2023.</w:t>
      </w:r>
    </w:p>
    <w:p w14:paraId="1B4FAD97" w14:textId="2A36A4BF" w:rsidR="00A921F1" w:rsidRPr="00730B1E" w:rsidRDefault="00A921F1" w:rsidP="00A921F1">
      <w:pPr>
        <w:pStyle w:val="Podnadpis"/>
        <w:rPr>
          <w:color w:val="auto"/>
        </w:rPr>
      </w:pPr>
      <w:bookmarkStart w:id="326" w:name="_Toc144104131"/>
      <w:bookmarkStart w:id="327" w:name="_Toc169250939"/>
      <w:bookmarkStart w:id="328" w:name="_Toc174080625"/>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20</w:t>
      </w:r>
      <w:r w:rsidRPr="00730B1E">
        <w:rPr>
          <w:color w:val="auto"/>
        </w:rPr>
        <w:fldChar w:fldCharType="end"/>
      </w:r>
      <w:r w:rsidRPr="00730B1E">
        <w:rPr>
          <w:color w:val="auto"/>
        </w:rPr>
        <w:t>: OS – převedeno z rejstříku EPR v letech 2014–202</w:t>
      </w:r>
      <w:bookmarkEnd w:id="326"/>
      <w:r w:rsidRPr="00730B1E">
        <w:rPr>
          <w:color w:val="auto"/>
        </w:rPr>
        <w:t>3</w:t>
      </w:r>
      <w:bookmarkEnd w:id="327"/>
      <w:bookmarkEnd w:id="328"/>
    </w:p>
    <w:p w14:paraId="4887C2F9" w14:textId="14536F99" w:rsidR="00A921F1" w:rsidRPr="00730B1E" w:rsidRDefault="00D54420" w:rsidP="00A921F1">
      <w:pPr>
        <w:pStyle w:val="OdstavecASR"/>
      </w:pPr>
      <w:r w:rsidRPr="00730B1E">
        <w:rPr>
          <w:noProof/>
          <w:lang w:eastAsia="cs-CZ"/>
        </w:rPr>
        <w:drawing>
          <wp:inline distT="0" distB="0" distL="0" distR="0" wp14:anchorId="1C12C8C4" wp14:editId="47B20AC1">
            <wp:extent cx="5029200" cy="3657600"/>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08D5A7E" w14:textId="261E3B36" w:rsidR="005C7908" w:rsidRPr="00730B1E" w:rsidRDefault="005C7908" w:rsidP="005C7908">
      <w:pPr>
        <w:pStyle w:val="Podnadpis"/>
        <w:rPr>
          <w:color w:val="auto"/>
        </w:rPr>
      </w:pPr>
      <w:bookmarkStart w:id="329" w:name="_Toc515871450"/>
      <w:bookmarkStart w:id="330" w:name="_Toc11133218"/>
      <w:bookmarkStart w:id="331" w:name="_Toc43931192"/>
      <w:bookmarkStart w:id="332" w:name="_Toc75952322"/>
      <w:bookmarkStart w:id="333" w:name="_Toc106106781"/>
      <w:bookmarkStart w:id="334" w:name="_Toc144104259"/>
      <w:bookmarkStart w:id="335" w:name="_Toc169251075"/>
      <w:bookmarkStart w:id="336" w:name="_Toc174080761"/>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18</w:t>
      </w:r>
      <w:r w:rsidRPr="00730B1E">
        <w:rPr>
          <w:color w:val="auto"/>
        </w:rPr>
        <w:fldChar w:fldCharType="end"/>
      </w:r>
      <w:r w:rsidRPr="00730B1E">
        <w:rPr>
          <w:color w:val="auto"/>
        </w:rPr>
        <w:t>: OS – převedeno z rejstříku EPR dle krajů</w:t>
      </w:r>
      <w:bookmarkEnd w:id="329"/>
      <w:bookmarkEnd w:id="330"/>
      <w:bookmarkEnd w:id="331"/>
      <w:bookmarkEnd w:id="332"/>
      <w:bookmarkEnd w:id="333"/>
      <w:bookmarkEnd w:id="334"/>
      <w:r w:rsidR="002263C3" w:rsidRPr="00730B1E">
        <w:rPr>
          <w:color w:val="auto"/>
        </w:rPr>
        <w:t>, 2023</w:t>
      </w:r>
      <w:bookmarkEnd w:id="335"/>
      <w:bookmarkEnd w:id="336"/>
    </w:p>
    <w:tbl>
      <w:tblPr>
        <w:tblW w:w="8860" w:type="dxa"/>
        <w:tblCellMar>
          <w:left w:w="70" w:type="dxa"/>
          <w:right w:w="70" w:type="dxa"/>
        </w:tblCellMar>
        <w:tblLook w:val="04A0" w:firstRow="1" w:lastRow="0" w:firstColumn="1" w:lastColumn="0" w:noHBand="0" w:noVBand="1"/>
      </w:tblPr>
      <w:tblGrid>
        <w:gridCol w:w="2020"/>
        <w:gridCol w:w="1377"/>
        <w:gridCol w:w="1041"/>
        <w:gridCol w:w="1170"/>
        <w:gridCol w:w="1041"/>
        <w:gridCol w:w="1170"/>
        <w:gridCol w:w="1041"/>
      </w:tblGrid>
      <w:tr w:rsidR="00B64E96" w:rsidRPr="00730B1E" w14:paraId="182EA19D" w14:textId="77777777" w:rsidTr="005C7908">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70EB1B8" w14:textId="77777777" w:rsidR="005C7908" w:rsidRPr="00730B1E" w:rsidRDefault="005C7908" w:rsidP="005C7908">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6840" w:type="dxa"/>
            <w:gridSpan w:val="6"/>
            <w:tcBorders>
              <w:top w:val="double" w:sz="6" w:space="0" w:color="auto"/>
              <w:left w:val="nil"/>
              <w:bottom w:val="nil"/>
              <w:right w:val="nil"/>
            </w:tcBorders>
            <w:shd w:val="clear" w:color="auto" w:fill="auto"/>
            <w:noWrap/>
            <w:vAlign w:val="center"/>
            <w:hideMark/>
          </w:tcPr>
          <w:p w14:paraId="49C4A65A" w14:textId="77777777" w:rsidR="005C7908" w:rsidRPr="00730B1E" w:rsidRDefault="005C7908" w:rsidP="005C7908">
            <w:pPr>
              <w:spacing w:line="240" w:lineRule="auto"/>
              <w:jc w:val="center"/>
              <w:rPr>
                <w:rFonts w:eastAsia="Times New Roman"/>
                <w:b/>
                <w:bCs/>
                <w:szCs w:val="24"/>
                <w:lang w:eastAsia="cs-CZ"/>
              </w:rPr>
            </w:pPr>
            <w:r w:rsidRPr="00730B1E">
              <w:rPr>
                <w:rFonts w:eastAsia="Times New Roman"/>
                <w:b/>
                <w:bCs/>
                <w:szCs w:val="24"/>
                <w:lang w:eastAsia="cs-CZ"/>
              </w:rPr>
              <w:t>Počet věcí</w:t>
            </w:r>
          </w:p>
        </w:tc>
      </w:tr>
      <w:tr w:rsidR="00B64E96" w:rsidRPr="00730B1E" w14:paraId="17E8B27D" w14:textId="77777777" w:rsidTr="005C7908">
        <w:trPr>
          <w:trHeight w:val="645"/>
        </w:trPr>
        <w:tc>
          <w:tcPr>
            <w:tcW w:w="2020" w:type="dxa"/>
            <w:vMerge/>
            <w:tcBorders>
              <w:top w:val="double" w:sz="6" w:space="0" w:color="auto"/>
              <w:left w:val="nil"/>
              <w:bottom w:val="double" w:sz="6" w:space="0" w:color="000000"/>
              <w:right w:val="nil"/>
            </w:tcBorders>
            <w:vAlign w:val="center"/>
            <w:hideMark/>
          </w:tcPr>
          <w:p w14:paraId="4FFAD27C" w14:textId="77777777" w:rsidR="005C7908" w:rsidRPr="00730B1E" w:rsidRDefault="005C7908" w:rsidP="005C7908">
            <w:pPr>
              <w:spacing w:line="240" w:lineRule="auto"/>
              <w:jc w:val="left"/>
              <w:rPr>
                <w:rFonts w:eastAsia="Times New Roman"/>
                <w:b/>
                <w:bCs/>
                <w:szCs w:val="24"/>
                <w:lang w:eastAsia="cs-CZ"/>
              </w:rPr>
            </w:pPr>
          </w:p>
        </w:tc>
        <w:tc>
          <w:tcPr>
            <w:tcW w:w="2418" w:type="dxa"/>
            <w:gridSpan w:val="2"/>
            <w:tcBorders>
              <w:top w:val="nil"/>
              <w:left w:val="nil"/>
              <w:bottom w:val="double" w:sz="6" w:space="0" w:color="auto"/>
              <w:right w:val="single" w:sz="4" w:space="0" w:color="000000"/>
            </w:tcBorders>
            <w:shd w:val="clear" w:color="auto" w:fill="auto"/>
            <w:noWrap/>
            <w:vAlign w:val="center"/>
            <w:hideMark/>
          </w:tcPr>
          <w:p w14:paraId="6469BFB4" w14:textId="77777777" w:rsidR="005C7908" w:rsidRPr="00730B1E" w:rsidRDefault="005C7908" w:rsidP="005C7908">
            <w:pPr>
              <w:spacing w:line="240" w:lineRule="auto"/>
              <w:jc w:val="center"/>
              <w:rPr>
                <w:rFonts w:eastAsia="Times New Roman"/>
                <w:b/>
                <w:bCs/>
                <w:szCs w:val="24"/>
                <w:lang w:eastAsia="cs-CZ"/>
              </w:rPr>
            </w:pPr>
            <w:r w:rsidRPr="00730B1E">
              <w:rPr>
                <w:rFonts w:eastAsia="Times New Roman"/>
                <w:b/>
                <w:bCs/>
                <w:szCs w:val="24"/>
                <w:lang w:eastAsia="cs-CZ"/>
              </w:rPr>
              <w:t>EPR zrušen soudem</w:t>
            </w:r>
          </w:p>
        </w:tc>
        <w:tc>
          <w:tcPr>
            <w:tcW w:w="2211" w:type="dxa"/>
            <w:gridSpan w:val="2"/>
            <w:tcBorders>
              <w:top w:val="nil"/>
              <w:left w:val="nil"/>
              <w:bottom w:val="double" w:sz="6" w:space="0" w:color="auto"/>
              <w:right w:val="single" w:sz="4" w:space="0" w:color="000000"/>
            </w:tcBorders>
            <w:shd w:val="clear" w:color="auto" w:fill="auto"/>
            <w:vAlign w:val="center"/>
            <w:hideMark/>
          </w:tcPr>
          <w:p w14:paraId="47EC425E" w14:textId="77777777" w:rsidR="005C7908" w:rsidRPr="00730B1E" w:rsidRDefault="005C7908" w:rsidP="005C7908">
            <w:pPr>
              <w:spacing w:line="240" w:lineRule="auto"/>
              <w:jc w:val="center"/>
              <w:rPr>
                <w:rFonts w:eastAsia="Times New Roman"/>
                <w:b/>
                <w:bCs/>
                <w:szCs w:val="24"/>
                <w:lang w:eastAsia="cs-CZ"/>
              </w:rPr>
            </w:pPr>
            <w:r w:rsidRPr="00730B1E">
              <w:rPr>
                <w:rFonts w:eastAsia="Times New Roman"/>
                <w:b/>
                <w:bCs/>
                <w:szCs w:val="24"/>
                <w:lang w:eastAsia="cs-CZ"/>
              </w:rPr>
              <w:t>podán odpor, který nebyl odmítnut</w:t>
            </w:r>
          </w:p>
        </w:tc>
        <w:tc>
          <w:tcPr>
            <w:tcW w:w="2211" w:type="dxa"/>
            <w:gridSpan w:val="2"/>
            <w:tcBorders>
              <w:top w:val="nil"/>
              <w:left w:val="nil"/>
              <w:bottom w:val="double" w:sz="6" w:space="0" w:color="auto"/>
              <w:right w:val="nil"/>
            </w:tcBorders>
            <w:shd w:val="clear" w:color="auto" w:fill="auto"/>
            <w:noWrap/>
            <w:vAlign w:val="center"/>
            <w:hideMark/>
          </w:tcPr>
          <w:p w14:paraId="4DBAF227" w14:textId="77777777" w:rsidR="005C7908" w:rsidRPr="00730B1E" w:rsidRDefault="005C7908" w:rsidP="005C7908">
            <w:pPr>
              <w:spacing w:line="240" w:lineRule="auto"/>
              <w:jc w:val="center"/>
              <w:rPr>
                <w:rFonts w:eastAsia="Times New Roman"/>
                <w:b/>
                <w:bCs/>
                <w:szCs w:val="24"/>
                <w:lang w:eastAsia="cs-CZ"/>
              </w:rPr>
            </w:pPr>
            <w:r w:rsidRPr="00730B1E">
              <w:rPr>
                <w:rFonts w:eastAsia="Times New Roman"/>
                <w:b/>
                <w:bCs/>
                <w:szCs w:val="24"/>
                <w:lang w:eastAsia="cs-CZ"/>
              </w:rPr>
              <w:t>jiný důvod</w:t>
            </w:r>
          </w:p>
        </w:tc>
      </w:tr>
      <w:tr w:rsidR="00B64E96" w:rsidRPr="00730B1E" w14:paraId="7CC96416" w14:textId="77777777" w:rsidTr="005C7908">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5514239A" w14:textId="77777777" w:rsidR="005C7908" w:rsidRPr="00730B1E" w:rsidRDefault="005C7908" w:rsidP="005C7908">
            <w:pPr>
              <w:spacing w:line="240" w:lineRule="auto"/>
              <w:jc w:val="left"/>
              <w:rPr>
                <w:rFonts w:eastAsia="Times New Roman"/>
                <w:szCs w:val="24"/>
                <w:lang w:eastAsia="cs-CZ"/>
              </w:rPr>
            </w:pPr>
            <w:r w:rsidRPr="00730B1E">
              <w:rPr>
                <w:rFonts w:eastAsia="Times New Roman"/>
                <w:szCs w:val="24"/>
                <w:lang w:eastAsia="cs-CZ"/>
              </w:rPr>
              <w:t>MS Praha</w:t>
            </w:r>
          </w:p>
        </w:tc>
        <w:tc>
          <w:tcPr>
            <w:tcW w:w="1377" w:type="dxa"/>
            <w:tcBorders>
              <w:top w:val="single" w:sz="4" w:space="0" w:color="auto"/>
              <w:left w:val="nil"/>
              <w:bottom w:val="single" w:sz="4" w:space="0" w:color="auto"/>
              <w:right w:val="nil"/>
            </w:tcBorders>
            <w:shd w:val="clear" w:color="auto" w:fill="auto"/>
            <w:noWrap/>
            <w:vAlign w:val="bottom"/>
            <w:hideMark/>
          </w:tcPr>
          <w:p w14:paraId="00A69BA6"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25 222</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12ADD479" w14:textId="2CA23D8F"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-18 %</w:t>
            </w:r>
          </w:p>
        </w:tc>
        <w:tc>
          <w:tcPr>
            <w:tcW w:w="1170" w:type="dxa"/>
            <w:tcBorders>
              <w:top w:val="single" w:sz="4" w:space="0" w:color="auto"/>
              <w:left w:val="nil"/>
              <w:bottom w:val="single" w:sz="4" w:space="0" w:color="auto"/>
              <w:right w:val="nil"/>
            </w:tcBorders>
            <w:shd w:val="clear" w:color="auto" w:fill="auto"/>
            <w:noWrap/>
            <w:vAlign w:val="bottom"/>
            <w:hideMark/>
          </w:tcPr>
          <w:p w14:paraId="31BCDD08"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2 863</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35784E4A" w14:textId="67205703"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-4 %</w:t>
            </w:r>
          </w:p>
        </w:tc>
        <w:tc>
          <w:tcPr>
            <w:tcW w:w="1170" w:type="dxa"/>
            <w:tcBorders>
              <w:top w:val="single" w:sz="4" w:space="0" w:color="auto"/>
              <w:left w:val="nil"/>
              <w:bottom w:val="single" w:sz="4" w:space="0" w:color="auto"/>
              <w:right w:val="nil"/>
            </w:tcBorders>
            <w:shd w:val="clear" w:color="auto" w:fill="auto"/>
            <w:noWrap/>
            <w:vAlign w:val="bottom"/>
            <w:hideMark/>
          </w:tcPr>
          <w:p w14:paraId="63604EED"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2 082</w:t>
            </w:r>
          </w:p>
        </w:tc>
        <w:tc>
          <w:tcPr>
            <w:tcW w:w="1041" w:type="dxa"/>
            <w:tcBorders>
              <w:top w:val="single" w:sz="4" w:space="0" w:color="auto"/>
              <w:left w:val="nil"/>
              <w:bottom w:val="single" w:sz="4" w:space="0" w:color="auto"/>
              <w:right w:val="nil"/>
            </w:tcBorders>
            <w:shd w:val="clear" w:color="auto" w:fill="auto"/>
            <w:noWrap/>
            <w:vAlign w:val="center"/>
            <w:hideMark/>
          </w:tcPr>
          <w:p w14:paraId="00C0BAC2" w14:textId="5EB6F38B"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-43 %</w:t>
            </w:r>
          </w:p>
        </w:tc>
      </w:tr>
      <w:tr w:rsidR="00B64E96" w:rsidRPr="00730B1E" w14:paraId="5FF9F7E9" w14:textId="77777777" w:rsidTr="005C7908">
        <w:trPr>
          <w:trHeight w:val="315"/>
        </w:trPr>
        <w:tc>
          <w:tcPr>
            <w:tcW w:w="2020" w:type="dxa"/>
            <w:tcBorders>
              <w:top w:val="nil"/>
              <w:left w:val="nil"/>
              <w:bottom w:val="single" w:sz="4" w:space="0" w:color="auto"/>
              <w:right w:val="nil"/>
            </w:tcBorders>
            <w:shd w:val="clear" w:color="auto" w:fill="auto"/>
            <w:noWrap/>
            <w:vAlign w:val="bottom"/>
            <w:hideMark/>
          </w:tcPr>
          <w:p w14:paraId="5511A85D" w14:textId="77777777" w:rsidR="005C7908" w:rsidRPr="00730B1E" w:rsidRDefault="005C7908" w:rsidP="005C7908">
            <w:pPr>
              <w:spacing w:line="240" w:lineRule="auto"/>
              <w:jc w:val="left"/>
              <w:rPr>
                <w:rFonts w:eastAsia="Times New Roman"/>
                <w:szCs w:val="24"/>
                <w:lang w:eastAsia="cs-CZ"/>
              </w:rPr>
            </w:pPr>
            <w:r w:rsidRPr="00730B1E">
              <w:rPr>
                <w:rFonts w:eastAsia="Times New Roman"/>
                <w:szCs w:val="24"/>
                <w:lang w:eastAsia="cs-CZ"/>
              </w:rPr>
              <w:t>KS Praha</w:t>
            </w:r>
          </w:p>
        </w:tc>
        <w:tc>
          <w:tcPr>
            <w:tcW w:w="1377" w:type="dxa"/>
            <w:tcBorders>
              <w:top w:val="nil"/>
              <w:left w:val="nil"/>
              <w:bottom w:val="single" w:sz="4" w:space="0" w:color="auto"/>
              <w:right w:val="nil"/>
            </w:tcBorders>
            <w:shd w:val="clear" w:color="auto" w:fill="auto"/>
            <w:noWrap/>
            <w:vAlign w:val="bottom"/>
            <w:hideMark/>
          </w:tcPr>
          <w:p w14:paraId="2174CD48"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19 909</w:t>
            </w:r>
          </w:p>
        </w:tc>
        <w:tc>
          <w:tcPr>
            <w:tcW w:w="1041" w:type="dxa"/>
            <w:tcBorders>
              <w:top w:val="nil"/>
              <w:left w:val="nil"/>
              <w:bottom w:val="single" w:sz="4" w:space="0" w:color="auto"/>
              <w:right w:val="single" w:sz="4" w:space="0" w:color="auto"/>
            </w:tcBorders>
            <w:shd w:val="clear" w:color="auto" w:fill="auto"/>
            <w:noWrap/>
            <w:vAlign w:val="center"/>
            <w:hideMark/>
          </w:tcPr>
          <w:p w14:paraId="18F4004D" w14:textId="2BA9F317"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-9 %</w:t>
            </w:r>
          </w:p>
        </w:tc>
        <w:tc>
          <w:tcPr>
            <w:tcW w:w="1170" w:type="dxa"/>
            <w:tcBorders>
              <w:top w:val="nil"/>
              <w:left w:val="nil"/>
              <w:bottom w:val="single" w:sz="4" w:space="0" w:color="auto"/>
              <w:right w:val="nil"/>
            </w:tcBorders>
            <w:shd w:val="clear" w:color="auto" w:fill="auto"/>
            <w:noWrap/>
            <w:vAlign w:val="bottom"/>
            <w:hideMark/>
          </w:tcPr>
          <w:p w14:paraId="63BC45D7"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1 216</w:t>
            </w:r>
          </w:p>
        </w:tc>
        <w:tc>
          <w:tcPr>
            <w:tcW w:w="1041" w:type="dxa"/>
            <w:tcBorders>
              <w:top w:val="nil"/>
              <w:left w:val="nil"/>
              <w:bottom w:val="single" w:sz="4" w:space="0" w:color="auto"/>
              <w:right w:val="single" w:sz="4" w:space="0" w:color="auto"/>
            </w:tcBorders>
            <w:shd w:val="clear" w:color="auto" w:fill="auto"/>
            <w:noWrap/>
            <w:vAlign w:val="center"/>
            <w:hideMark/>
          </w:tcPr>
          <w:p w14:paraId="48D027F7" w14:textId="31DF79CC"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+4 %</w:t>
            </w:r>
          </w:p>
        </w:tc>
        <w:tc>
          <w:tcPr>
            <w:tcW w:w="1170" w:type="dxa"/>
            <w:tcBorders>
              <w:top w:val="nil"/>
              <w:left w:val="nil"/>
              <w:bottom w:val="single" w:sz="4" w:space="0" w:color="auto"/>
              <w:right w:val="nil"/>
            </w:tcBorders>
            <w:shd w:val="clear" w:color="auto" w:fill="auto"/>
            <w:noWrap/>
            <w:vAlign w:val="bottom"/>
            <w:hideMark/>
          </w:tcPr>
          <w:p w14:paraId="749A06EB"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2 455</w:t>
            </w:r>
          </w:p>
        </w:tc>
        <w:tc>
          <w:tcPr>
            <w:tcW w:w="1041" w:type="dxa"/>
            <w:tcBorders>
              <w:top w:val="nil"/>
              <w:left w:val="nil"/>
              <w:bottom w:val="single" w:sz="4" w:space="0" w:color="auto"/>
              <w:right w:val="nil"/>
            </w:tcBorders>
            <w:shd w:val="clear" w:color="auto" w:fill="auto"/>
            <w:noWrap/>
            <w:vAlign w:val="center"/>
            <w:hideMark/>
          </w:tcPr>
          <w:p w14:paraId="54085D8E" w14:textId="655042AD"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-6 %</w:t>
            </w:r>
          </w:p>
        </w:tc>
      </w:tr>
      <w:tr w:rsidR="00B64E96" w:rsidRPr="00730B1E" w14:paraId="58C6925D" w14:textId="77777777" w:rsidTr="005C7908">
        <w:trPr>
          <w:trHeight w:val="315"/>
        </w:trPr>
        <w:tc>
          <w:tcPr>
            <w:tcW w:w="2020" w:type="dxa"/>
            <w:tcBorders>
              <w:top w:val="nil"/>
              <w:left w:val="nil"/>
              <w:bottom w:val="single" w:sz="4" w:space="0" w:color="auto"/>
              <w:right w:val="nil"/>
            </w:tcBorders>
            <w:shd w:val="clear" w:color="auto" w:fill="auto"/>
            <w:noWrap/>
            <w:vAlign w:val="bottom"/>
            <w:hideMark/>
          </w:tcPr>
          <w:p w14:paraId="13A891FE" w14:textId="77777777" w:rsidR="005C7908" w:rsidRPr="00730B1E" w:rsidRDefault="005C7908" w:rsidP="005C7908">
            <w:pPr>
              <w:spacing w:line="240" w:lineRule="auto"/>
              <w:jc w:val="left"/>
              <w:rPr>
                <w:rFonts w:eastAsia="Times New Roman"/>
                <w:szCs w:val="24"/>
                <w:lang w:eastAsia="cs-CZ"/>
              </w:rPr>
            </w:pPr>
            <w:r w:rsidRPr="00730B1E">
              <w:rPr>
                <w:rFonts w:eastAsia="Times New Roman"/>
                <w:szCs w:val="24"/>
                <w:lang w:eastAsia="cs-CZ"/>
              </w:rPr>
              <w:t>KS Č. Budějovice</w:t>
            </w:r>
          </w:p>
        </w:tc>
        <w:tc>
          <w:tcPr>
            <w:tcW w:w="1377" w:type="dxa"/>
            <w:tcBorders>
              <w:top w:val="nil"/>
              <w:left w:val="nil"/>
              <w:bottom w:val="single" w:sz="4" w:space="0" w:color="auto"/>
              <w:right w:val="nil"/>
            </w:tcBorders>
            <w:shd w:val="clear" w:color="auto" w:fill="auto"/>
            <w:noWrap/>
            <w:vAlign w:val="bottom"/>
            <w:hideMark/>
          </w:tcPr>
          <w:p w14:paraId="44F589C6"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9 399</w:t>
            </w:r>
          </w:p>
        </w:tc>
        <w:tc>
          <w:tcPr>
            <w:tcW w:w="1041" w:type="dxa"/>
            <w:tcBorders>
              <w:top w:val="nil"/>
              <w:left w:val="nil"/>
              <w:bottom w:val="single" w:sz="4" w:space="0" w:color="auto"/>
              <w:right w:val="single" w:sz="4" w:space="0" w:color="auto"/>
            </w:tcBorders>
            <w:shd w:val="clear" w:color="auto" w:fill="auto"/>
            <w:noWrap/>
            <w:vAlign w:val="center"/>
            <w:hideMark/>
          </w:tcPr>
          <w:p w14:paraId="1AB35C3B" w14:textId="531AD032"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-9 %</w:t>
            </w:r>
          </w:p>
        </w:tc>
        <w:tc>
          <w:tcPr>
            <w:tcW w:w="1170" w:type="dxa"/>
            <w:tcBorders>
              <w:top w:val="nil"/>
              <w:left w:val="nil"/>
              <w:bottom w:val="single" w:sz="4" w:space="0" w:color="auto"/>
              <w:right w:val="nil"/>
            </w:tcBorders>
            <w:shd w:val="clear" w:color="auto" w:fill="auto"/>
            <w:noWrap/>
            <w:vAlign w:val="bottom"/>
            <w:hideMark/>
          </w:tcPr>
          <w:p w14:paraId="6DE5FB1A"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682</w:t>
            </w:r>
          </w:p>
        </w:tc>
        <w:tc>
          <w:tcPr>
            <w:tcW w:w="1041" w:type="dxa"/>
            <w:tcBorders>
              <w:top w:val="nil"/>
              <w:left w:val="nil"/>
              <w:bottom w:val="single" w:sz="4" w:space="0" w:color="auto"/>
              <w:right w:val="single" w:sz="4" w:space="0" w:color="auto"/>
            </w:tcBorders>
            <w:shd w:val="clear" w:color="auto" w:fill="auto"/>
            <w:noWrap/>
            <w:vAlign w:val="center"/>
            <w:hideMark/>
          </w:tcPr>
          <w:p w14:paraId="2ADF1313" w14:textId="46B1F6D7"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+24 %</w:t>
            </w:r>
          </w:p>
        </w:tc>
        <w:tc>
          <w:tcPr>
            <w:tcW w:w="1170" w:type="dxa"/>
            <w:tcBorders>
              <w:top w:val="nil"/>
              <w:left w:val="nil"/>
              <w:bottom w:val="single" w:sz="4" w:space="0" w:color="auto"/>
              <w:right w:val="nil"/>
            </w:tcBorders>
            <w:shd w:val="clear" w:color="auto" w:fill="auto"/>
            <w:noWrap/>
            <w:vAlign w:val="bottom"/>
            <w:hideMark/>
          </w:tcPr>
          <w:p w14:paraId="4AEB98D8"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404</w:t>
            </w:r>
          </w:p>
        </w:tc>
        <w:tc>
          <w:tcPr>
            <w:tcW w:w="1041" w:type="dxa"/>
            <w:tcBorders>
              <w:top w:val="nil"/>
              <w:left w:val="nil"/>
              <w:bottom w:val="single" w:sz="4" w:space="0" w:color="auto"/>
              <w:right w:val="nil"/>
            </w:tcBorders>
            <w:shd w:val="clear" w:color="auto" w:fill="auto"/>
            <w:noWrap/>
            <w:vAlign w:val="center"/>
            <w:hideMark/>
          </w:tcPr>
          <w:p w14:paraId="4B53613F" w14:textId="3457666E"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-30 %</w:t>
            </w:r>
          </w:p>
        </w:tc>
      </w:tr>
      <w:tr w:rsidR="00B64E96" w:rsidRPr="00730B1E" w14:paraId="7E9F678F" w14:textId="77777777" w:rsidTr="005C7908">
        <w:trPr>
          <w:trHeight w:val="315"/>
        </w:trPr>
        <w:tc>
          <w:tcPr>
            <w:tcW w:w="2020" w:type="dxa"/>
            <w:tcBorders>
              <w:top w:val="nil"/>
              <w:left w:val="nil"/>
              <w:bottom w:val="single" w:sz="4" w:space="0" w:color="auto"/>
              <w:right w:val="nil"/>
            </w:tcBorders>
            <w:shd w:val="clear" w:color="auto" w:fill="auto"/>
            <w:noWrap/>
            <w:vAlign w:val="bottom"/>
            <w:hideMark/>
          </w:tcPr>
          <w:p w14:paraId="54E9E9E0" w14:textId="77777777" w:rsidR="005C7908" w:rsidRPr="00730B1E" w:rsidRDefault="005C7908" w:rsidP="005C7908">
            <w:pPr>
              <w:spacing w:line="240" w:lineRule="auto"/>
              <w:jc w:val="left"/>
              <w:rPr>
                <w:rFonts w:eastAsia="Times New Roman"/>
                <w:szCs w:val="24"/>
                <w:lang w:eastAsia="cs-CZ"/>
              </w:rPr>
            </w:pPr>
            <w:r w:rsidRPr="00730B1E">
              <w:rPr>
                <w:rFonts w:eastAsia="Times New Roman"/>
                <w:szCs w:val="24"/>
                <w:lang w:eastAsia="cs-CZ"/>
              </w:rPr>
              <w:t>KS Plzeň</w:t>
            </w:r>
          </w:p>
        </w:tc>
        <w:tc>
          <w:tcPr>
            <w:tcW w:w="1377" w:type="dxa"/>
            <w:tcBorders>
              <w:top w:val="nil"/>
              <w:left w:val="nil"/>
              <w:bottom w:val="single" w:sz="4" w:space="0" w:color="auto"/>
              <w:right w:val="nil"/>
            </w:tcBorders>
            <w:shd w:val="clear" w:color="auto" w:fill="auto"/>
            <w:noWrap/>
            <w:vAlign w:val="bottom"/>
            <w:hideMark/>
          </w:tcPr>
          <w:p w14:paraId="2CBE2C63"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17 852</w:t>
            </w:r>
          </w:p>
        </w:tc>
        <w:tc>
          <w:tcPr>
            <w:tcW w:w="1041" w:type="dxa"/>
            <w:tcBorders>
              <w:top w:val="nil"/>
              <w:left w:val="nil"/>
              <w:bottom w:val="single" w:sz="4" w:space="0" w:color="auto"/>
              <w:right w:val="single" w:sz="4" w:space="0" w:color="auto"/>
            </w:tcBorders>
            <w:shd w:val="clear" w:color="auto" w:fill="auto"/>
            <w:noWrap/>
            <w:vAlign w:val="center"/>
            <w:hideMark/>
          </w:tcPr>
          <w:p w14:paraId="16B9AF07" w14:textId="18015903"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-5 %</w:t>
            </w:r>
          </w:p>
        </w:tc>
        <w:tc>
          <w:tcPr>
            <w:tcW w:w="1170" w:type="dxa"/>
            <w:tcBorders>
              <w:top w:val="nil"/>
              <w:left w:val="nil"/>
              <w:bottom w:val="single" w:sz="4" w:space="0" w:color="auto"/>
              <w:right w:val="nil"/>
            </w:tcBorders>
            <w:shd w:val="clear" w:color="auto" w:fill="auto"/>
            <w:noWrap/>
            <w:vAlign w:val="bottom"/>
            <w:hideMark/>
          </w:tcPr>
          <w:p w14:paraId="6C7C69F2"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635</w:t>
            </w:r>
          </w:p>
        </w:tc>
        <w:tc>
          <w:tcPr>
            <w:tcW w:w="1041" w:type="dxa"/>
            <w:tcBorders>
              <w:top w:val="nil"/>
              <w:left w:val="nil"/>
              <w:bottom w:val="single" w:sz="4" w:space="0" w:color="auto"/>
              <w:right w:val="single" w:sz="4" w:space="0" w:color="auto"/>
            </w:tcBorders>
            <w:shd w:val="clear" w:color="auto" w:fill="auto"/>
            <w:noWrap/>
            <w:vAlign w:val="center"/>
            <w:hideMark/>
          </w:tcPr>
          <w:p w14:paraId="7BF950E9" w14:textId="06C093C5"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-6 %</w:t>
            </w:r>
          </w:p>
        </w:tc>
        <w:tc>
          <w:tcPr>
            <w:tcW w:w="1170" w:type="dxa"/>
            <w:tcBorders>
              <w:top w:val="nil"/>
              <w:left w:val="nil"/>
              <w:bottom w:val="single" w:sz="4" w:space="0" w:color="auto"/>
              <w:right w:val="nil"/>
            </w:tcBorders>
            <w:shd w:val="clear" w:color="auto" w:fill="auto"/>
            <w:noWrap/>
            <w:vAlign w:val="bottom"/>
            <w:hideMark/>
          </w:tcPr>
          <w:p w14:paraId="26A1FF58"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2 969</w:t>
            </w:r>
          </w:p>
        </w:tc>
        <w:tc>
          <w:tcPr>
            <w:tcW w:w="1041" w:type="dxa"/>
            <w:tcBorders>
              <w:top w:val="nil"/>
              <w:left w:val="nil"/>
              <w:bottom w:val="single" w:sz="4" w:space="0" w:color="auto"/>
              <w:right w:val="nil"/>
            </w:tcBorders>
            <w:shd w:val="clear" w:color="auto" w:fill="auto"/>
            <w:noWrap/>
            <w:vAlign w:val="center"/>
            <w:hideMark/>
          </w:tcPr>
          <w:p w14:paraId="2FCDA0D2" w14:textId="24F1B194"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-9 %</w:t>
            </w:r>
          </w:p>
        </w:tc>
      </w:tr>
      <w:tr w:rsidR="00B64E96" w:rsidRPr="00730B1E" w14:paraId="550091D6" w14:textId="77777777" w:rsidTr="005C7908">
        <w:trPr>
          <w:trHeight w:val="315"/>
        </w:trPr>
        <w:tc>
          <w:tcPr>
            <w:tcW w:w="2020" w:type="dxa"/>
            <w:tcBorders>
              <w:top w:val="nil"/>
              <w:left w:val="nil"/>
              <w:bottom w:val="single" w:sz="4" w:space="0" w:color="auto"/>
              <w:right w:val="nil"/>
            </w:tcBorders>
            <w:shd w:val="clear" w:color="auto" w:fill="auto"/>
            <w:noWrap/>
            <w:vAlign w:val="bottom"/>
            <w:hideMark/>
          </w:tcPr>
          <w:p w14:paraId="4454DFE5" w14:textId="77777777" w:rsidR="005C7908" w:rsidRPr="00730B1E" w:rsidRDefault="005C7908" w:rsidP="005C7908">
            <w:pPr>
              <w:spacing w:line="240" w:lineRule="auto"/>
              <w:jc w:val="left"/>
              <w:rPr>
                <w:rFonts w:eastAsia="Times New Roman"/>
                <w:szCs w:val="24"/>
                <w:lang w:eastAsia="cs-CZ"/>
              </w:rPr>
            </w:pPr>
            <w:r w:rsidRPr="00730B1E">
              <w:rPr>
                <w:rFonts w:eastAsia="Times New Roman"/>
                <w:szCs w:val="24"/>
                <w:lang w:eastAsia="cs-CZ"/>
              </w:rPr>
              <w:t>KS Ústí n. Labem</w:t>
            </w:r>
          </w:p>
        </w:tc>
        <w:tc>
          <w:tcPr>
            <w:tcW w:w="1377" w:type="dxa"/>
            <w:tcBorders>
              <w:top w:val="nil"/>
              <w:left w:val="nil"/>
              <w:bottom w:val="single" w:sz="4" w:space="0" w:color="auto"/>
              <w:right w:val="nil"/>
            </w:tcBorders>
            <w:shd w:val="clear" w:color="auto" w:fill="auto"/>
            <w:noWrap/>
            <w:vAlign w:val="bottom"/>
            <w:hideMark/>
          </w:tcPr>
          <w:p w14:paraId="071E3347"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31 658</w:t>
            </w:r>
          </w:p>
        </w:tc>
        <w:tc>
          <w:tcPr>
            <w:tcW w:w="1041" w:type="dxa"/>
            <w:tcBorders>
              <w:top w:val="nil"/>
              <w:left w:val="nil"/>
              <w:bottom w:val="single" w:sz="4" w:space="0" w:color="auto"/>
              <w:right w:val="single" w:sz="4" w:space="0" w:color="auto"/>
            </w:tcBorders>
            <w:shd w:val="clear" w:color="auto" w:fill="auto"/>
            <w:noWrap/>
            <w:vAlign w:val="center"/>
            <w:hideMark/>
          </w:tcPr>
          <w:p w14:paraId="2CA1F187" w14:textId="67363967"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-6 %</w:t>
            </w:r>
          </w:p>
        </w:tc>
        <w:tc>
          <w:tcPr>
            <w:tcW w:w="1170" w:type="dxa"/>
            <w:tcBorders>
              <w:top w:val="nil"/>
              <w:left w:val="nil"/>
              <w:bottom w:val="single" w:sz="4" w:space="0" w:color="auto"/>
              <w:right w:val="nil"/>
            </w:tcBorders>
            <w:shd w:val="clear" w:color="auto" w:fill="auto"/>
            <w:noWrap/>
            <w:vAlign w:val="bottom"/>
            <w:hideMark/>
          </w:tcPr>
          <w:p w14:paraId="5BBB8D80"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1 139</w:t>
            </w:r>
          </w:p>
        </w:tc>
        <w:tc>
          <w:tcPr>
            <w:tcW w:w="1041" w:type="dxa"/>
            <w:tcBorders>
              <w:top w:val="nil"/>
              <w:left w:val="nil"/>
              <w:bottom w:val="single" w:sz="4" w:space="0" w:color="auto"/>
              <w:right w:val="single" w:sz="4" w:space="0" w:color="auto"/>
            </w:tcBorders>
            <w:shd w:val="clear" w:color="auto" w:fill="auto"/>
            <w:noWrap/>
            <w:vAlign w:val="center"/>
            <w:hideMark/>
          </w:tcPr>
          <w:p w14:paraId="45304FF3" w14:textId="26451EED"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-9 %</w:t>
            </w:r>
          </w:p>
        </w:tc>
        <w:tc>
          <w:tcPr>
            <w:tcW w:w="1170" w:type="dxa"/>
            <w:tcBorders>
              <w:top w:val="nil"/>
              <w:left w:val="nil"/>
              <w:bottom w:val="single" w:sz="4" w:space="0" w:color="auto"/>
              <w:right w:val="nil"/>
            </w:tcBorders>
            <w:shd w:val="clear" w:color="auto" w:fill="auto"/>
            <w:noWrap/>
            <w:vAlign w:val="bottom"/>
            <w:hideMark/>
          </w:tcPr>
          <w:p w14:paraId="6977FF0E"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2 277</w:t>
            </w:r>
          </w:p>
        </w:tc>
        <w:tc>
          <w:tcPr>
            <w:tcW w:w="1041" w:type="dxa"/>
            <w:tcBorders>
              <w:top w:val="nil"/>
              <w:left w:val="nil"/>
              <w:bottom w:val="single" w:sz="4" w:space="0" w:color="auto"/>
              <w:right w:val="nil"/>
            </w:tcBorders>
            <w:shd w:val="clear" w:color="auto" w:fill="auto"/>
            <w:noWrap/>
            <w:vAlign w:val="center"/>
            <w:hideMark/>
          </w:tcPr>
          <w:p w14:paraId="3B80BDDD" w14:textId="44C04343"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+15 %</w:t>
            </w:r>
          </w:p>
        </w:tc>
      </w:tr>
      <w:tr w:rsidR="00B64E96" w:rsidRPr="00730B1E" w14:paraId="1FC261BA" w14:textId="77777777" w:rsidTr="005C7908">
        <w:trPr>
          <w:trHeight w:val="315"/>
        </w:trPr>
        <w:tc>
          <w:tcPr>
            <w:tcW w:w="2020" w:type="dxa"/>
            <w:tcBorders>
              <w:top w:val="nil"/>
              <w:left w:val="nil"/>
              <w:bottom w:val="single" w:sz="4" w:space="0" w:color="auto"/>
              <w:right w:val="nil"/>
            </w:tcBorders>
            <w:shd w:val="clear" w:color="auto" w:fill="auto"/>
            <w:noWrap/>
            <w:vAlign w:val="bottom"/>
            <w:hideMark/>
          </w:tcPr>
          <w:p w14:paraId="11E7B4AF" w14:textId="77777777" w:rsidR="005C7908" w:rsidRPr="00730B1E" w:rsidRDefault="005C7908" w:rsidP="005C7908">
            <w:pPr>
              <w:spacing w:line="240" w:lineRule="auto"/>
              <w:jc w:val="left"/>
              <w:rPr>
                <w:rFonts w:eastAsia="Times New Roman"/>
                <w:szCs w:val="24"/>
                <w:lang w:eastAsia="cs-CZ"/>
              </w:rPr>
            </w:pPr>
            <w:r w:rsidRPr="00730B1E">
              <w:rPr>
                <w:rFonts w:eastAsia="Times New Roman"/>
                <w:szCs w:val="24"/>
                <w:lang w:eastAsia="cs-CZ"/>
              </w:rPr>
              <w:t>KS Hr. Králové</w:t>
            </w:r>
          </w:p>
        </w:tc>
        <w:tc>
          <w:tcPr>
            <w:tcW w:w="1377" w:type="dxa"/>
            <w:tcBorders>
              <w:top w:val="nil"/>
              <w:left w:val="nil"/>
              <w:bottom w:val="single" w:sz="4" w:space="0" w:color="auto"/>
              <w:right w:val="nil"/>
            </w:tcBorders>
            <w:shd w:val="clear" w:color="auto" w:fill="auto"/>
            <w:noWrap/>
            <w:vAlign w:val="bottom"/>
            <w:hideMark/>
          </w:tcPr>
          <w:p w14:paraId="010B4D4F"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15 850</w:t>
            </w:r>
          </w:p>
        </w:tc>
        <w:tc>
          <w:tcPr>
            <w:tcW w:w="1041" w:type="dxa"/>
            <w:tcBorders>
              <w:top w:val="nil"/>
              <w:left w:val="nil"/>
              <w:bottom w:val="single" w:sz="4" w:space="0" w:color="auto"/>
              <w:right w:val="single" w:sz="4" w:space="0" w:color="auto"/>
            </w:tcBorders>
            <w:shd w:val="clear" w:color="auto" w:fill="auto"/>
            <w:noWrap/>
            <w:vAlign w:val="center"/>
            <w:hideMark/>
          </w:tcPr>
          <w:p w14:paraId="29A177DD" w14:textId="1EE14107"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-0 %</w:t>
            </w:r>
          </w:p>
        </w:tc>
        <w:tc>
          <w:tcPr>
            <w:tcW w:w="1170" w:type="dxa"/>
            <w:tcBorders>
              <w:top w:val="nil"/>
              <w:left w:val="nil"/>
              <w:bottom w:val="single" w:sz="4" w:space="0" w:color="auto"/>
              <w:right w:val="nil"/>
            </w:tcBorders>
            <w:shd w:val="clear" w:color="auto" w:fill="auto"/>
            <w:noWrap/>
            <w:vAlign w:val="bottom"/>
            <w:hideMark/>
          </w:tcPr>
          <w:p w14:paraId="32801A8D"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1 020</w:t>
            </w:r>
          </w:p>
        </w:tc>
        <w:tc>
          <w:tcPr>
            <w:tcW w:w="1041" w:type="dxa"/>
            <w:tcBorders>
              <w:top w:val="nil"/>
              <w:left w:val="nil"/>
              <w:bottom w:val="single" w:sz="4" w:space="0" w:color="auto"/>
              <w:right w:val="single" w:sz="4" w:space="0" w:color="auto"/>
            </w:tcBorders>
            <w:shd w:val="clear" w:color="auto" w:fill="auto"/>
            <w:noWrap/>
            <w:vAlign w:val="center"/>
            <w:hideMark/>
          </w:tcPr>
          <w:p w14:paraId="77875A37" w14:textId="42885B4C"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-9 %</w:t>
            </w:r>
          </w:p>
        </w:tc>
        <w:tc>
          <w:tcPr>
            <w:tcW w:w="1170" w:type="dxa"/>
            <w:tcBorders>
              <w:top w:val="nil"/>
              <w:left w:val="nil"/>
              <w:bottom w:val="single" w:sz="4" w:space="0" w:color="auto"/>
              <w:right w:val="nil"/>
            </w:tcBorders>
            <w:shd w:val="clear" w:color="auto" w:fill="auto"/>
            <w:noWrap/>
            <w:vAlign w:val="bottom"/>
            <w:hideMark/>
          </w:tcPr>
          <w:p w14:paraId="1E9CE103"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1 358</w:t>
            </w:r>
          </w:p>
        </w:tc>
        <w:tc>
          <w:tcPr>
            <w:tcW w:w="1041" w:type="dxa"/>
            <w:tcBorders>
              <w:top w:val="nil"/>
              <w:left w:val="nil"/>
              <w:bottom w:val="single" w:sz="4" w:space="0" w:color="auto"/>
              <w:right w:val="nil"/>
            </w:tcBorders>
            <w:shd w:val="clear" w:color="auto" w:fill="auto"/>
            <w:noWrap/>
            <w:vAlign w:val="center"/>
            <w:hideMark/>
          </w:tcPr>
          <w:p w14:paraId="0370F70D" w14:textId="04233D77"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-6 %</w:t>
            </w:r>
          </w:p>
        </w:tc>
      </w:tr>
      <w:tr w:rsidR="00B64E96" w:rsidRPr="00730B1E" w14:paraId="79D8B6F9" w14:textId="77777777" w:rsidTr="005C7908">
        <w:trPr>
          <w:trHeight w:val="315"/>
        </w:trPr>
        <w:tc>
          <w:tcPr>
            <w:tcW w:w="2020" w:type="dxa"/>
            <w:tcBorders>
              <w:top w:val="nil"/>
              <w:left w:val="nil"/>
              <w:bottom w:val="single" w:sz="4" w:space="0" w:color="auto"/>
              <w:right w:val="nil"/>
            </w:tcBorders>
            <w:shd w:val="clear" w:color="auto" w:fill="auto"/>
            <w:noWrap/>
            <w:vAlign w:val="bottom"/>
            <w:hideMark/>
          </w:tcPr>
          <w:p w14:paraId="7F2BD24A" w14:textId="77777777" w:rsidR="005C7908" w:rsidRPr="00730B1E" w:rsidRDefault="005C7908" w:rsidP="005C7908">
            <w:pPr>
              <w:spacing w:line="240" w:lineRule="auto"/>
              <w:jc w:val="left"/>
              <w:rPr>
                <w:rFonts w:eastAsia="Times New Roman"/>
                <w:szCs w:val="24"/>
                <w:lang w:eastAsia="cs-CZ"/>
              </w:rPr>
            </w:pPr>
            <w:r w:rsidRPr="00730B1E">
              <w:rPr>
                <w:rFonts w:eastAsia="Times New Roman"/>
                <w:szCs w:val="24"/>
                <w:lang w:eastAsia="cs-CZ"/>
              </w:rPr>
              <w:t>KS Brno</w:t>
            </w:r>
          </w:p>
        </w:tc>
        <w:tc>
          <w:tcPr>
            <w:tcW w:w="1377" w:type="dxa"/>
            <w:tcBorders>
              <w:top w:val="nil"/>
              <w:left w:val="nil"/>
              <w:bottom w:val="single" w:sz="4" w:space="0" w:color="auto"/>
              <w:right w:val="nil"/>
            </w:tcBorders>
            <w:shd w:val="clear" w:color="auto" w:fill="auto"/>
            <w:noWrap/>
            <w:vAlign w:val="bottom"/>
            <w:hideMark/>
          </w:tcPr>
          <w:p w14:paraId="4F2F6A27"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23 565</w:t>
            </w:r>
          </w:p>
        </w:tc>
        <w:tc>
          <w:tcPr>
            <w:tcW w:w="1041" w:type="dxa"/>
            <w:tcBorders>
              <w:top w:val="nil"/>
              <w:left w:val="nil"/>
              <w:bottom w:val="single" w:sz="4" w:space="0" w:color="auto"/>
              <w:right w:val="single" w:sz="4" w:space="0" w:color="auto"/>
            </w:tcBorders>
            <w:shd w:val="clear" w:color="auto" w:fill="auto"/>
            <w:noWrap/>
            <w:vAlign w:val="center"/>
            <w:hideMark/>
          </w:tcPr>
          <w:p w14:paraId="69082B03" w14:textId="56F9C350"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+2 %</w:t>
            </w:r>
          </w:p>
        </w:tc>
        <w:tc>
          <w:tcPr>
            <w:tcW w:w="1170" w:type="dxa"/>
            <w:tcBorders>
              <w:top w:val="nil"/>
              <w:left w:val="nil"/>
              <w:bottom w:val="single" w:sz="4" w:space="0" w:color="auto"/>
              <w:right w:val="nil"/>
            </w:tcBorders>
            <w:shd w:val="clear" w:color="auto" w:fill="auto"/>
            <w:noWrap/>
            <w:vAlign w:val="bottom"/>
            <w:hideMark/>
          </w:tcPr>
          <w:p w14:paraId="796711EA"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1 678</w:t>
            </w:r>
          </w:p>
        </w:tc>
        <w:tc>
          <w:tcPr>
            <w:tcW w:w="1041" w:type="dxa"/>
            <w:tcBorders>
              <w:top w:val="nil"/>
              <w:left w:val="nil"/>
              <w:bottom w:val="single" w:sz="4" w:space="0" w:color="auto"/>
              <w:right w:val="single" w:sz="4" w:space="0" w:color="auto"/>
            </w:tcBorders>
            <w:shd w:val="clear" w:color="auto" w:fill="auto"/>
            <w:noWrap/>
            <w:vAlign w:val="center"/>
            <w:hideMark/>
          </w:tcPr>
          <w:p w14:paraId="02273992" w14:textId="46C6C009"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-0 %</w:t>
            </w:r>
          </w:p>
        </w:tc>
        <w:tc>
          <w:tcPr>
            <w:tcW w:w="1170" w:type="dxa"/>
            <w:tcBorders>
              <w:top w:val="nil"/>
              <w:left w:val="nil"/>
              <w:bottom w:val="single" w:sz="4" w:space="0" w:color="auto"/>
              <w:right w:val="nil"/>
            </w:tcBorders>
            <w:shd w:val="clear" w:color="auto" w:fill="auto"/>
            <w:noWrap/>
            <w:vAlign w:val="bottom"/>
            <w:hideMark/>
          </w:tcPr>
          <w:p w14:paraId="35D83762"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2 742</w:t>
            </w:r>
          </w:p>
        </w:tc>
        <w:tc>
          <w:tcPr>
            <w:tcW w:w="1041" w:type="dxa"/>
            <w:tcBorders>
              <w:top w:val="nil"/>
              <w:left w:val="nil"/>
              <w:bottom w:val="single" w:sz="4" w:space="0" w:color="auto"/>
              <w:right w:val="nil"/>
            </w:tcBorders>
            <w:shd w:val="clear" w:color="auto" w:fill="auto"/>
            <w:noWrap/>
            <w:vAlign w:val="center"/>
            <w:hideMark/>
          </w:tcPr>
          <w:p w14:paraId="42D17DED" w14:textId="51C1E94B"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+16 %</w:t>
            </w:r>
          </w:p>
        </w:tc>
      </w:tr>
      <w:tr w:rsidR="00B64E96" w:rsidRPr="00730B1E" w14:paraId="6673EE94" w14:textId="77777777" w:rsidTr="005C7908">
        <w:trPr>
          <w:trHeight w:val="330"/>
        </w:trPr>
        <w:tc>
          <w:tcPr>
            <w:tcW w:w="2020" w:type="dxa"/>
            <w:tcBorders>
              <w:top w:val="nil"/>
              <w:left w:val="nil"/>
              <w:bottom w:val="double" w:sz="6" w:space="0" w:color="auto"/>
              <w:right w:val="nil"/>
            </w:tcBorders>
            <w:shd w:val="clear" w:color="auto" w:fill="auto"/>
            <w:noWrap/>
            <w:vAlign w:val="bottom"/>
            <w:hideMark/>
          </w:tcPr>
          <w:p w14:paraId="09F07269" w14:textId="77777777" w:rsidR="005C7908" w:rsidRPr="00730B1E" w:rsidRDefault="005C7908" w:rsidP="005C7908">
            <w:pPr>
              <w:spacing w:line="240" w:lineRule="auto"/>
              <w:jc w:val="left"/>
              <w:rPr>
                <w:rFonts w:eastAsia="Times New Roman"/>
                <w:szCs w:val="24"/>
                <w:lang w:eastAsia="cs-CZ"/>
              </w:rPr>
            </w:pPr>
            <w:r w:rsidRPr="00730B1E">
              <w:rPr>
                <w:rFonts w:eastAsia="Times New Roman"/>
                <w:szCs w:val="24"/>
                <w:lang w:eastAsia="cs-CZ"/>
              </w:rPr>
              <w:t>KS Ostrava</w:t>
            </w:r>
          </w:p>
        </w:tc>
        <w:tc>
          <w:tcPr>
            <w:tcW w:w="1377" w:type="dxa"/>
            <w:tcBorders>
              <w:top w:val="nil"/>
              <w:left w:val="nil"/>
              <w:bottom w:val="double" w:sz="6" w:space="0" w:color="auto"/>
              <w:right w:val="nil"/>
            </w:tcBorders>
            <w:shd w:val="clear" w:color="auto" w:fill="auto"/>
            <w:noWrap/>
            <w:vAlign w:val="bottom"/>
            <w:hideMark/>
          </w:tcPr>
          <w:p w14:paraId="6861D4AC"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33 841</w:t>
            </w:r>
          </w:p>
        </w:tc>
        <w:tc>
          <w:tcPr>
            <w:tcW w:w="1041" w:type="dxa"/>
            <w:tcBorders>
              <w:top w:val="nil"/>
              <w:left w:val="nil"/>
              <w:bottom w:val="double" w:sz="6" w:space="0" w:color="auto"/>
              <w:right w:val="single" w:sz="4" w:space="0" w:color="auto"/>
            </w:tcBorders>
            <w:shd w:val="clear" w:color="auto" w:fill="auto"/>
            <w:noWrap/>
            <w:vAlign w:val="center"/>
            <w:hideMark/>
          </w:tcPr>
          <w:p w14:paraId="0C28C2F9" w14:textId="171FBBCA"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+24 %</w:t>
            </w:r>
          </w:p>
        </w:tc>
        <w:tc>
          <w:tcPr>
            <w:tcW w:w="1170" w:type="dxa"/>
            <w:tcBorders>
              <w:top w:val="nil"/>
              <w:left w:val="nil"/>
              <w:bottom w:val="double" w:sz="6" w:space="0" w:color="auto"/>
              <w:right w:val="nil"/>
            </w:tcBorders>
            <w:shd w:val="clear" w:color="auto" w:fill="auto"/>
            <w:noWrap/>
            <w:vAlign w:val="bottom"/>
            <w:hideMark/>
          </w:tcPr>
          <w:p w14:paraId="12CC80EF"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1 589</w:t>
            </w:r>
          </w:p>
        </w:tc>
        <w:tc>
          <w:tcPr>
            <w:tcW w:w="1041" w:type="dxa"/>
            <w:tcBorders>
              <w:top w:val="nil"/>
              <w:left w:val="nil"/>
              <w:bottom w:val="double" w:sz="6" w:space="0" w:color="auto"/>
              <w:right w:val="single" w:sz="4" w:space="0" w:color="auto"/>
            </w:tcBorders>
            <w:shd w:val="clear" w:color="auto" w:fill="auto"/>
            <w:noWrap/>
            <w:vAlign w:val="center"/>
            <w:hideMark/>
          </w:tcPr>
          <w:p w14:paraId="4A7B0653" w14:textId="3773EA2F"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-1 %</w:t>
            </w:r>
          </w:p>
        </w:tc>
        <w:tc>
          <w:tcPr>
            <w:tcW w:w="1170" w:type="dxa"/>
            <w:tcBorders>
              <w:top w:val="nil"/>
              <w:left w:val="nil"/>
              <w:bottom w:val="double" w:sz="6" w:space="0" w:color="auto"/>
              <w:right w:val="nil"/>
            </w:tcBorders>
            <w:shd w:val="clear" w:color="auto" w:fill="auto"/>
            <w:noWrap/>
            <w:vAlign w:val="bottom"/>
            <w:hideMark/>
          </w:tcPr>
          <w:p w14:paraId="6CAE6C26" w14:textId="77777777" w:rsidR="005C7908" w:rsidRPr="00730B1E" w:rsidRDefault="005C7908" w:rsidP="005C7908">
            <w:pPr>
              <w:spacing w:line="240" w:lineRule="auto"/>
              <w:jc w:val="center"/>
              <w:rPr>
                <w:rFonts w:eastAsia="Times New Roman"/>
                <w:szCs w:val="24"/>
                <w:lang w:eastAsia="cs-CZ"/>
              </w:rPr>
            </w:pPr>
            <w:r w:rsidRPr="00730B1E">
              <w:rPr>
                <w:rFonts w:eastAsia="Times New Roman"/>
                <w:szCs w:val="24"/>
                <w:lang w:eastAsia="cs-CZ"/>
              </w:rPr>
              <w:t>4 798</w:t>
            </w:r>
          </w:p>
        </w:tc>
        <w:tc>
          <w:tcPr>
            <w:tcW w:w="1041" w:type="dxa"/>
            <w:tcBorders>
              <w:top w:val="nil"/>
              <w:left w:val="nil"/>
              <w:bottom w:val="double" w:sz="6" w:space="0" w:color="auto"/>
              <w:right w:val="nil"/>
            </w:tcBorders>
            <w:shd w:val="clear" w:color="auto" w:fill="auto"/>
            <w:noWrap/>
            <w:vAlign w:val="center"/>
            <w:hideMark/>
          </w:tcPr>
          <w:p w14:paraId="7A77F160" w14:textId="74EBD095" w:rsidR="005C7908" w:rsidRPr="00730B1E" w:rsidRDefault="005C7908" w:rsidP="005C7908">
            <w:pPr>
              <w:spacing w:line="240" w:lineRule="auto"/>
              <w:jc w:val="center"/>
              <w:rPr>
                <w:rFonts w:eastAsia="Times New Roman"/>
                <w:sz w:val="20"/>
                <w:szCs w:val="20"/>
                <w:lang w:eastAsia="cs-CZ"/>
              </w:rPr>
            </w:pPr>
            <w:r w:rsidRPr="00730B1E">
              <w:rPr>
                <w:rFonts w:eastAsia="Times New Roman"/>
                <w:sz w:val="20"/>
                <w:szCs w:val="20"/>
                <w:lang w:eastAsia="cs-CZ"/>
              </w:rPr>
              <w:t>+11 %</w:t>
            </w:r>
          </w:p>
        </w:tc>
      </w:tr>
      <w:tr w:rsidR="00B64E96" w:rsidRPr="00730B1E" w14:paraId="764D19B5" w14:textId="77777777" w:rsidTr="005C7908">
        <w:trPr>
          <w:trHeight w:val="345"/>
        </w:trPr>
        <w:tc>
          <w:tcPr>
            <w:tcW w:w="2020" w:type="dxa"/>
            <w:tcBorders>
              <w:top w:val="nil"/>
              <w:left w:val="nil"/>
              <w:bottom w:val="double" w:sz="6" w:space="0" w:color="auto"/>
              <w:right w:val="nil"/>
            </w:tcBorders>
            <w:shd w:val="clear" w:color="auto" w:fill="auto"/>
            <w:noWrap/>
            <w:vAlign w:val="bottom"/>
            <w:hideMark/>
          </w:tcPr>
          <w:p w14:paraId="0894839A" w14:textId="77777777" w:rsidR="005C7908" w:rsidRPr="00730B1E" w:rsidRDefault="005C7908" w:rsidP="005C7908">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377" w:type="dxa"/>
            <w:tcBorders>
              <w:top w:val="nil"/>
              <w:left w:val="nil"/>
              <w:bottom w:val="double" w:sz="6" w:space="0" w:color="auto"/>
              <w:right w:val="nil"/>
            </w:tcBorders>
            <w:shd w:val="clear" w:color="auto" w:fill="auto"/>
            <w:noWrap/>
            <w:vAlign w:val="bottom"/>
            <w:hideMark/>
          </w:tcPr>
          <w:p w14:paraId="44896AA2" w14:textId="77777777" w:rsidR="005C7908" w:rsidRPr="00730B1E" w:rsidRDefault="005C7908" w:rsidP="005C7908">
            <w:pPr>
              <w:spacing w:line="240" w:lineRule="auto"/>
              <w:jc w:val="center"/>
              <w:rPr>
                <w:rFonts w:eastAsia="Times New Roman"/>
                <w:b/>
                <w:bCs/>
                <w:szCs w:val="24"/>
                <w:lang w:eastAsia="cs-CZ"/>
              </w:rPr>
            </w:pPr>
            <w:r w:rsidRPr="00730B1E">
              <w:rPr>
                <w:rFonts w:eastAsia="Times New Roman"/>
                <w:b/>
                <w:bCs/>
                <w:szCs w:val="24"/>
                <w:lang w:eastAsia="cs-CZ"/>
              </w:rPr>
              <w:t>177 296</w:t>
            </w:r>
          </w:p>
        </w:tc>
        <w:tc>
          <w:tcPr>
            <w:tcW w:w="1041" w:type="dxa"/>
            <w:tcBorders>
              <w:top w:val="nil"/>
              <w:left w:val="nil"/>
              <w:bottom w:val="double" w:sz="6" w:space="0" w:color="auto"/>
              <w:right w:val="single" w:sz="4" w:space="0" w:color="auto"/>
            </w:tcBorders>
            <w:shd w:val="clear" w:color="auto" w:fill="auto"/>
            <w:noWrap/>
            <w:vAlign w:val="center"/>
            <w:hideMark/>
          </w:tcPr>
          <w:p w14:paraId="66CCB1D3" w14:textId="15ADD739" w:rsidR="005C7908" w:rsidRPr="00730B1E" w:rsidRDefault="005C7908" w:rsidP="005C7908">
            <w:pPr>
              <w:spacing w:line="240" w:lineRule="auto"/>
              <w:jc w:val="center"/>
              <w:rPr>
                <w:rFonts w:eastAsia="Times New Roman"/>
                <w:b/>
                <w:bCs/>
                <w:sz w:val="20"/>
                <w:szCs w:val="20"/>
                <w:lang w:eastAsia="cs-CZ"/>
              </w:rPr>
            </w:pPr>
            <w:r w:rsidRPr="00730B1E">
              <w:rPr>
                <w:rFonts w:eastAsia="Times New Roman"/>
                <w:b/>
                <w:bCs/>
                <w:sz w:val="20"/>
                <w:szCs w:val="20"/>
                <w:lang w:eastAsia="cs-CZ"/>
              </w:rPr>
              <w:t>-3 %</w:t>
            </w:r>
          </w:p>
        </w:tc>
        <w:tc>
          <w:tcPr>
            <w:tcW w:w="1170" w:type="dxa"/>
            <w:tcBorders>
              <w:top w:val="nil"/>
              <w:left w:val="nil"/>
              <w:bottom w:val="double" w:sz="6" w:space="0" w:color="auto"/>
              <w:right w:val="nil"/>
            </w:tcBorders>
            <w:shd w:val="clear" w:color="auto" w:fill="auto"/>
            <w:noWrap/>
            <w:vAlign w:val="bottom"/>
            <w:hideMark/>
          </w:tcPr>
          <w:p w14:paraId="55CED7D9" w14:textId="77777777" w:rsidR="005C7908" w:rsidRPr="00730B1E" w:rsidRDefault="005C7908" w:rsidP="005C7908">
            <w:pPr>
              <w:spacing w:line="240" w:lineRule="auto"/>
              <w:jc w:val="center"/>
              <w:rPr>
                <w:rFonts w:eastAsia="Times New Roman"/>
                <w:b/>
                <w:bCs/>
                <w:szCs w:val="24"/>
                <w:lang w:eastAsia="cs-CZ"/>
              </w:rPr>
            </w:pPr>
            <w:r w:rsidRPr="00730B1E">
              <w:rPr>
                <w:rFonts w:eastAsia="Times New Roman"/>
                <w:b/>
                <w:bCs/>
                <w:szCs w:val="24"/>
                <w:lang w:eastAsia="cs-CZ"/>
              </w:rPr>
              <w:t>10 822</w:t>
            </w:r>
          </w:p>
        </w:tc>
        <w:tc>
          <w:tcPr>
            <w:tcW w:w="1041" w:type="dxa"/>
            <w:tcBorders>
              <w:top w:val="nil"/>
              <w:left w:val="nil"/>
              <w:bottom w:val="double" w:sz="6" w:space="0" w:color="auto"/>
              <w:right w:val="single" w:sz="4" w:space="0" w:color="auto"/>
            </w:tcBorders>
            <w:shd w:val="clear" w:color="auto" w:fill="auto"/>
            <w:noWrap/>
            <w:vAlign w:val="center"/>
            <w:hideMark/>
          </w:tcPr>
          <w:p w14:paraId="7B3B84C2" w14:textId="4926592F" w:rsidR="005C7908" w:rsidRPr="00730B1E" w:rsidRDefault="005C7908" w:rsidP="005C7908">
            <w:pPr>
              <w:spacing w:line="240" w:lineRule="auto"/>
              <w:jc w:val="center"/>
              <w:rPr>
                <w:rFonts w:eastAsia="Times New Roman"/>
                <w:b/>
                <w:bCs/>
                <w:sz w:val="20"/>
                <w:szCs w:val="20"/>
                <w:lang w:eastAsia="cs-CZ"/>
              </w:rPr>
            </w:pPr>
            <w:r w:rsidRPr="00730B1E">
              <w:rPr>
                <w:rFonts w:eastAsia="Times New Roman"/>
                <w:b/>
                <w:bCs/>
                <w:sz w:val="20"/>
                <w:szCs w:val="20"/>
                <w:lang w:eastAsia="cs-CZ"/>
              </w:rPr>
              <w:t>-2 %</w:t>
            </w:r>
          </w:p>
        </w:tc>
        <w:tc>
          <w:tcPr>
            <w:tcW w:w="1170" w:type="dxa"/>
            <w:tcBorders>
              <w:top w:val="nil"/>
              <w:left w:val="nil"/>
              <w:bottom w:val="double" w:sz="6" w:space="0" w:color="auto"/>
              <w:right w:val="nil"/>
            </w:tcBorders>
            <w:shd w:val="clear" w:color="auto" w:fill="auto"/>
            <w:noWrap/>
            <w:vAlign w:val="bottom"/>
            <w:hideMark/>
          </w:tcPr>
          <w:p w14:paraId="3560FA04" w14:textId="77777777" w:rsidR="005C7908" w:rsidRPr="00730B1E" w:rsidRDefault="005C7908" w:rsidP="005C7908">
            <w:pPr>
              <w:spacing w:line="240" w:lineRule="auto"/>
              <w:jc w:val="center"/>
              <w:rPr>
                <w:rFonts w:eastAsia="Times New Roman"/>
                <w:b/>
                <w:bCs/>
                <w:szCs w:val="24"/>
                <w:lang w:eastAsia="cs-CZ"/>
              </w:rPr>
            </w:pPr>
            <w:r w:rsidRPr="00730B1E">
              <w:rPr>
                <w:rFonts w:eastAsia="Times New Roman"/>
                <w:b/>
                <w:bCs/>
                <w:szCs w:val="24"/>
                <w:lang w:eastAsia="cs-CZ"/>
              </w:rPr>
              <w:t>19 085</w:t>
            </w:r>
          </w:p>
        </w:tc>
        <w:tc>
          <w:tcPr>
            <w:tcW w:w="1041" w:type="dxa"/>
            <w:tcBorders>
              <w:top w:val="nil"/>
              <w:left w:val="nil"/>
              <w:bottom w:val="double" w:sz="6" w:space="0" w:color="auto"/>
              <w:right w:val="nil"/>
            </w:tcBorders>
            <w:shd w:val="clear" w:color="auto" w:fill="auto"/>
            <w:noWrap/>
            <w:vAlign w:val="center"/>
            <w:hideMark/>
          </w:tcPr>
          <w:p w14:paraId="646448E3" w14:textId="5F3831BF" w:rsidR="005C7908" w:rsidRPr="00730B1E" w:rsidRDefault="005C7908" w:rsidP="005C7908">
            <w:pPr>
              <w:spacing w:line="240" w:lineRule="auto"/>
              <w:jc w:val="center"/>
              <w:rPr>
                <w:rFonts w:eastAsia="Times New Roman"/>
                <w:b/>
                <w:bCs/>
                <w:sz w:val="20"/>
                <w:szCs w:val="20"/>
                <w:lang w:eastAsia="cs-CZ"/>
              </w:rPr>
            </w:pPr>
            <w:r w:rsidRPr="00730B1E">
              <w:rPr>
                <w:rFonts w:eastAsia="Times New Roman"/>
                <w:b/>
                <w:bCs/>
                <w:sz w:val="20"/>
                <w:szCs w:val="20"/>
                <w:lang w:eastAsia="cs-CZ"/>
              </w:rPr>
              <w:t>-5 %</w:t>
            </w:r>
          </w:p>
        </w:tc>
      </w:tr>
      <w:tr w:rsidR="00B64E96" w:rsidRPr="00730B1E" w14:paraId="546DC5B4" w14:textId="77777777" w:rsidTr="005C7908">
        <w:trPr>
          <w:trHeight w:val="330"/>
        </w:trPr>
        <w:tc>
          <w:tcPr>
            <w:tcW w:w="2020" w:type="dxa"/>
            <w:tcBorders>
              <w:top w:val="nil"/>
              <w:left w:val="nil"/>
              <w:bottom w:val="nil"/>
              <w:right w:val="nil"/>
            </w:tcBorders>
            <w:shd w:val="clear" w:color="auto" w:fill="auto"/>
            <w:noWrap/>
            <w:vAlign w:val="bottom"/>
            <w:hideMark/>
          </w:tcPr>
          <w:p w14:paraId="06E02E84" w14:textId="77777777" w:rsidR="005C7908" w:rsidRPr="00730B1E" w:rsidRDefault="005C7908" w:rsidP="005C7908">
            <w:pPr>
              <w:spacing w:line="240" w:lineRule="auto"/>
              <w:jc w:val="right"/>
              <w:rPr>
                <w:rFonts w:eastAsia="Times New Roman"/>
                <w:b/>
                <w:bCs/>
                <w:sz w:val="20"/>
                <w:szCs w:val="20"/>
                <w:lang w:eastAsia="cs-CZ"/>
              </w:rPr>
            </w:pPr>
          </w:p>
        </w:tc>
        <w:tc>
          <w:tcPr>
            <w:tcW w:w="1377" w:type="dxa"/>
            <w:tcBorders>
              <w:top w:val="nil"/>
              <w:left w:val="nil"/>
              <w:bottom w:val="nil"/>
              <w:right w:val="nil"/>
            </w:tcBorders>
            <w:shd w:val="clear" w:color="auto" w:fill="auto"/>
            <w:noWrap/>
            <w:vAlign w:val="bottom"/>
            <w:hideMark/>
          </w:tcPr>
          <w:p w14:paraId="616537DF" w14:textId="77777777" w:rsidR="005C7908" w:rsidRPr="00DF07F3" w:rsidRDefault="005C7908" w:rsidP="005C7908">
            <w:pPr>
              <w:spacing w:line="240" w:lineRule="auto"/>
              <w:jc w:val="left"/>
              <w:rPr>
                <w:sz w:val="20"/>
              </w:rPr>
            </w:pPr>
          </w:p>
        </w:tc>
        <w:tc>
          <w:tcPr>
            <w:tcW w:w="1041" w:type="dxa"/>
            <w:tcBorders>
              <w:top w:val="nil"/>
              <w:left w:val="nil"/>
              <w:bottom w:val="nil"/>
              <w:right w:val="nil"/>
            </w:tcBorders>
            <w:shd w:val="clear" w:color="auto" w:fill="auto"/>
            <w:noWrap/>
            <w:vAlign w:val="bottom"/>
            <w:hideMark/>
          </w:tcPr>
          <w:p w14:paraId="031D4F84" w14:textId="77777777" w:rsidR="005C7908" w:rsidRPr="00DF07F3" w:rsidRDefault="005C7908" w:rsidP="005C7908">
            <w:pPr>
              <w:spacing w:line="240" w:lineRule="auto"/>
              <w:jc w:val="left"/>
              <w:rPr>
                <w:sz w:val="20"/>
              </w:rPr>
            </w:pPr>
          </w:p>
        </w:tc>
        <w:tc>
          <w:tcPr>
            <w:tcW w:w="1170" w:type="dxa"/>
            <w:tcBorders>
              <w:top w:val="nil"/>
              <w:left w:val="nil"/>
              <w:bottom w:val="nil"/>
              <w:right w:val="nil"/>
            </w:tcBorders>
            <w:shd w:val="clear" w:color="auto" w:fill="auto"/>
            <w:noWrap/>
            <w:vAlign w:val="bottom"/>
            <w:hideMark/>
          </w:tcPr>
          <w:p w14:paraId="168024D7" w14:textId="77777777" w:rsidR="005C7908" w:rsidRPr="00DF07F3" w:rsidRDefault="005C7908" w:rsidP="005C7908">
            <w:pPr>
              <w:spacing w:line="240" w:lineRule="auto"/>
              <w:jc w:val="left"/>
              <w:rPr>
                <w:sz w:val="20"/>
              </w:rPr>
            </w:pPr>
          </w:p>
        </w:tc>
        <w:tc>
          <w:tcPr>
            <w:tcW w:w="1041" w:type="dxa"/>
            <w:tcBorders>
              <w:top w:val="nil"/>
              <w:left w:val="nil"/>
              <w:bottom w:val="nil"/>
              <w:right w:val="nil"/>
            </w:tcBorders>
            <w:shd w:val="clear" w:color="auto" w:fill="auto"/>
            <w:noWrap/>
            <w:vAlign w:val="bottom"/>
            <w:hideMark/>
          </w:tcPr>
          <w:p w14:paraId="4D121430" w14:textId="77777777" w:rsidR="005C7908" w:rsidRPr="00DF07F3" w:rsidRDefault="005C7908" w:rsidP="005C7908">
            <w:pPr>
              <w:spacing w:line="240" w:lineRule="auto"/>
              <w:jc w:val="left"/>
              <w:rPr>
                <w:sz w:val="20"/>
              </w:rPr>
            </w:pPr>
          </w:p>
        </w:tc>
        <w:tc>
          <w:tcPr>
            <w:tcW w:w="1170" w:type="dxa"/>
            <w:tcBorders>
              <w:top w:val="nil"/>
              <w:left w:val="nil"/>
              <w:bottom w:val="nil"/>
              <w:right w:val="nil"/>
            </w:tcBorders>
            <w:shd w:val="clear" w:color="auto" w:fill="auto"/>
            <w:noWrap/>
            <w:vAlign w:val="bottom"/>
            <w:hideMark/>
          </w:tcPr>
          <w:p w14:paraId="499D5C3D" w14:textId="77777777" w:rsidR="005C7908" w:rsidRPr="00DF07F3" w:rsidRDefault="005C7908" w:rsidP="005C7908">
            <w:pPr>
              <w:spacing w:line="240" w:lineRule="auto"/>
              <w:jc w:val="left"/>
              <w:rPr>
                <w:sz w:val="20"/>
              </w:rPr>
            </w:pPr>
          </w:p>
        </w:tc>
        <w:tc>
          <w:tcPr>
            <w:tcW w:w="1041" w:type="dxa"/>
            <w:tcBorders>
              <w:top w:val="nil"/>
              <w:left w:val="nil"/>
              <w:bottom w:val="nil"/>
              <w:right w:val="nil"/>
            </w:tcBorders>
            <w:shd w:val="clear" w:color="auto" w:fill="auto"/>
            <w:noWrap/>
            <w:vAlign w:val="bottom"/>
            <w:hideMark/>
          </w:tcPr>
          <w:p w14:paraId="34E87218" w14:textId="77777777" w:rsidR="005C7908" w:rsidRPr="00DF07F3" w:rsidRDefault="005C7908" w:rsidP="005C7908">
            <w:pPr>
              <w:spacing w:line="240" w:lineRule="auto"/>
              <w:jc w:val="left"/>
              <w:rPr>
                <w:sz w:val="20"/>
              </w:rPr>
            </w:pPr>
          </w:p>
        </w:tc>
      </w:tr>
    </w:tbl>
    <w:p w14:paraId="624BC774" w14:textId="77777777" w:rsidR="005C7908" w:rsidRPr="00730B1E" w:rsidRDefault="005C7908" w:rsidP="005C7908">
      <w:pPr>
        <w:pStyle w:val="OdstavecASR"/>
      </w:pPr>
      <w:r w:rsidRPr="00730B1E">
        <w:t>Statisticky jsou sledovány tři důvody, proč je věc převedena z rejstříku EPR do rejstříku C:</w:t>
      </w:r>
    </w:p>
    <w:p w14:paraId="102F9DD6" w14:textId="1994F9D1" w:rsidR="005C7908" w:rsidRPr="00730B1E" w:rsidRDefault="005C7908" w:rsidP="00A94F8F">
      <w:pPr>
        <w:pStyle w:val="OdstavecASR"/>
        <w:numPr>
          <w:ilvl w:val="0"/>
          <w:numId w:val="7"/>
        </w:numPr>
      </w:pPr>
      <w:r w:rsidRPr="00730B1E">
        <w:rPr>
          <w:b/>
        </w:rPr>
        <w:t>EPR zrušen soudem</w:t>
      </w:r>
      <w:r w:rsidRPr="00730B1E">
        <w:t>: elektronický platební rozkaz je zrušen, protože ho nebylo možné doručit. To může mít různé důvody, například pokud se účastník sporu přestěhoval bez udání další či nové adresy nebo má hlášenou adresu bydliště na městském úřadu a dále ho není možné nikterak dohledat.</w:t>
      </w:r>
    </w:p>
    <w:p w14:paraId="0DC6D56A" w14:textId="77777777" w:rsidR="005C7908" w:rsidRPr="00730B1E" w:rsidRDefault="005C7908" w:rsidP="00A94F8F">
      <w:pPr>
        <w:pStyle w:val="OdstavecASR"/>
        <w:numPr>
          <w:ilvl w:val="0"/>
          <w:numId w:val="7"/>
        </w:numPr>
      </w:pPr>
      <w:r w:rsidRPr="00730B1E">
        <w:rPr>
          <w:rFonts w:eastAsia="Times New Roman"/>
          <w:b/>
          <w:bCs/>
          <w:szCs w:val="24"/>
          <w:lang w:eastAsia="cs-CZ"/>
        </w:rPr>
        <w:lastRenderedPageBreak/>
        <w:t xml:space="preserve">Podán odpor, který nebyl odmítnut: </w:t>
      </w:r>
      <w:r w:rsidRPr="00730B1E">
        <w:rPr>
          <w:rFonts w:eastAsia="Times New Roman"/>
          <w:bCs/>
          <w:szCs w:val="24"/>
          <w:lang w:eastAsia="cs-CZ"/>
        </w:rPr>
        <w:t>byl podán odpor proti elektronickému platebnímu rozkazu. Odpor byl podán včas a oprávněnou osobou.</w:t>
      </w:r>
    </w:p>
    <w:p w14:paraId="1FF5FF9A" w14:textId="77777777" w:rsidR="005C7908" w:rsidRPr="00730B1E" w:rsidRDefault="005C7908" w:rsidP="00A94F8F">
      <w:pPr>
        <w:pStyle w:val="OdstavecASR"/>
        <w:numPr>
          <w:ilvl w:val="0"/>
          <w:numId w:val="7"/>
        </w:numPr>
      </w:pPr>
      <w:r w:rsidRPr="00730B1E">
        <w:rPr>
          <w:rFonts w:eastAsia="Times New Roman"/>
          <w:b/>
          <w:bCs/>
          <w:szCs w:val="24"/>
          <w:lang w:eastAsia="cs-CZ"/>
        </w:rPr>
        <w:t>Jiný důvod:</w:t>
      </w:r>
      <w:r w:rsidRPr="00730B1E">
        <w:t xml:space="preserve"> zahrnuje všechny ostatní důvody pro převedení věci, zpravidla proto, že nebylo možné z jiného důvodu vydat EPR (platební rozkaz by například měl být doručen žalovanému do ciziny nebo žalobce uplatňuje nárok převyšující jeden milion korun českých).</w:t>
      </w:r>
    </w:p>
    <w:p w14:paraId="3B5B8459" w14:textId="278F331C" w:rsidR="005C7908" w:rsidRPr="00730B1E" w:rsidRDefault="005C7908" w:rsidP="005C7908">
      <w:r w:rsidRPr="00730B1E">
        <w:t>V datech vidíme, že převedených věcí je opravdu velké množství. Porovnáme-li počet převedených věcí s počtem věcí vyřízených, vidíme, že tento podíl v letech 2013 až 2017 tvořil 51 až 56 %.</w:t>
      </w:r>
      <w:r w:rsidRPr="00730B1E">
        <w:rPr>
          <w:rStyle w:val="Znakapoznpodarou"/>
        </w:rPr>
        <w:footnoteReference w:id="7"/>
      </w:r>
      <w:r w:rsidRPr="00730B1E">
        <w:t xml:space="preserve"> V zásadě každá druhá věc v rejstříku EPR tak byla převedena do klasického civilního řízení. V letech 2018 a 2019 tento podíl přesáhl 60 %. V roce 2020 byl tento podíl 54 %, v roce 2021 dosáhl 62 % a v letech 2022 a 2023 činil 59 %.</w:t>
      </w:r>
      <w:r w:rsidR="00174FE5" w:rsidRPr="00730B1E">
        <w:t xml:space="preserve"> Zároveň tak platí, že více než polovina všech věcí nově napadlých do rejstříku C odpovídá nedoručeným EPR</w:t>
      </w:r>
      <w:r w:rsidR="00183D23" w:rsidRPr="00730B1E">
        <w:t>.</w:t>
      </w:r>
    </w:p>
    <w:p w14:paraId="46F7772E" w14:textId="77777777" w:rsidR="005C7908" w:rsidRPr="00730B1E" w:rsidRDefault="005C7908" w:rsidP="005C7908"/>
    <w:p w14:paraId="4AE813A3" w14:textId="255719C5" w:rsidR="008257A6" w:rsidRPr="00730B1E" w:rsidRDefault="008257A6">
      <w:pPr>
        <w:spacing w:after="160" w:line="259" w:lineRule="auto"/>
        <w:jc w:val="left"/>
      </w:pPr>
      <w:r w:rsidRPr="00730B1E">
        <w:br w:type="page"/>
      </w:r>
    </w:p>
    <w:p w14:paraId="67F1B57F" w14:textId="1BE26B46" w:rsidR="00E26C17" w:rsidRPr="00730B1E" w:rsidRDefault="008430BD" w:rsidP="00E26C17">
      <w:pPr>
        <w:pStyle w:val="Nadpis2"/>
        <w:numPr>
          <w:ilvl w:val="1"/>
          <w:numId w:val="1"/>
        </w:numPr>
        <w:spacing w:before="120"/>
        <w:rPr>
          <w:color w:val="auto"/>
        </w:rPr>
      </w:pPr>
      <w:bookmarkStart w:id="337" w:name="_Ref511307908"/>
      <w:bookmarkStart w:id="338" w:name="_Toc515871230"/>
      <w:bookmarkStart w:id="339" w:name="_Toc106092727"/>
      <w:bookmarkStart w:id="340" w:name="_Toc169250811"/>
      <w:bookmarkStart w:id="341" w:name="_Toc174080847"/>
      <w:r w:rsidRPr="00730B1E">
        <w:rPr>
          <w:color w:val="auto"/>
        </w:rPr>
        <w:lastRenderedPageBreak/>
        <w:t>Trestní agenda</w:t>
      </w:r>
      <w:bookmarkEnd w:id="337"/>
      <w:bookmarkEnd w:id="338"/>
      <w:bookmarkEnd w:id="339"/>
      <w:bookmarkEnd w:id="340"/>
      <w:bookmarkEnd w:id="341"/>
    </w:p>
    <w:p w14:paraId="7D6A6E49" w14:textId="77777777" w:rsidR="00B765FC" w:rsidRPr="00730B1E" w:rsidRDefault="00B765FC" w:rsidP="00B765FC">
      <w:pPr>
        <w:pStyle w:val="OdstavecASR"/>
      </w:pPr>
      <w:r w:rsidRPr="00730B1E">
        <w:t>Z hlediska statistického sledování je situace na trestním úseku soudů jednodušší. Vedlejší agendy jsou zde v zásadě pouze dvě – všeobecné trestní věci včetně rozhodování soudce ve zkráceném přípravném řízení a u soudů, v jejichž obvodu se nachází věznice, též agenda podmíněného propuštění. Soudy tedy vyřizují hlavně prvostupňové trestní věci a prvostupňové trestní věci mladistvých (rejstříky T a Tm). Způsob vykazování se na rozdíl od civilního řízení během let neměnil a není se tedy třeba obávat zkreslení v časových řadách. Data v podkapitolách délky řízení a jiné statistiky jsou očištěna pouze o věci vyřízené trestním příkazem. Trestní příkaz je obdobou platebního rozkazu v civilním řízení. Jedná se o jednoduché a velmi rychle vyřízené věci, a proto v této zprávě nejsou v datech zahrnuty. Délky řízení zahrnující věci vyřízené trestním příkazem je možné dohledat na internetových stránkách InfoData nebo ve statistických ročenkách.</w:t>
      </w:r>
    </w:p>
    <w:p w14:paraId="3884094D" w14:textId="77777777" w:rsidR="000E0762" w:rsidRPr="00730B1E" w:rsidRDefault="000E0762" w:rsidP="000E0762">
      <w:pPr>
        <w:pStyle w:val="Nadpis3"/>
        <w:numPr>
          <w:ilvl w:val="2"/>
          <w:numId w:val="1"/>
        </w:numPr>
        <w:rPr>
          <w:color w:val="auto"/>
        </w:rPr>
      </w:pPr>
      <w:bookmarkStart w:id="342" w:name="_Toc169250812"/>
      <w:bookmarkStart w:id="343" w:name="_Toc174080848"/>
      <w:r w:rsidRPr="00730B1E">
        <w:rPr>
          <w:color w:val="auto"/>
        </w:rPr>
        <w:t>Délka řízení</w:t>
      </w:r>
      <w:bookmarkEnd w:id="342"/>
      <w:bookmarkEnd w:id="343"/>
    </w:p>
    <w:p w14:paraId="44A7C440" w14:textId="5C4935EC" w:rsidR="0047793A" w:rsidRPr="00730B1E" w:rsidRDefault="0047793A" w:rsidP="0047793A">
      <w:pPr>
        <w:pStyle w:val="Podnadpis"/>
        <w:numPr>
          <w:ilvl w:val="0"/>
          <w:numId w:val="0"/>
        </w:numPr>
        <w:rPr>
          <w:color w:val="auto"/>
        </w:rPr>
      </w:pPr>
      <w:bookmarkStart w:id="344" w:name="_Toc144104132"/>
      <w:bookmarkStart w:id="345" w:name="_Toc169250940"/>
      <w:bookmarkStart w:id="346" w:name="_Toc17408062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21</w:t>
      </w:r>
      <w:r w:rsidRPr="00730B1E">
        <w:rPr>
          <w:color w:val="auto"/>
        </w:rPr>
        <w:fldChar w:fldCharType="end"/>
      </w:r>
      <w:r w:rsidRPr="00730B1E">
        <w:rPr>
          <w:color w:val="auto"/>
        </w:rPr>
        <w:t>: OS – délka trestního řízení v letech 2014–202</w:t>
      </w:r>
      <w:bookmarkEnd w:id="344"/>
      <w:r w:rsidRPr="00730B1E">
        <w:rPr>
          <w:color w:val="auto"/>
        </w:rPr>
        <w:t>3</w:t>
      </w:r>
      <w:bookmarkEnd w:id="345"/>
      <w:bookmarkEnd w:id="346"/>
    </w:p>
    <w:p w14:paraId="466D14E6" w14:textId="47F41513" w:rsidR="0047793A" w:rsidRPr="00730B1E" w:rsidRDefault="0047793A" w:rsidP="0047793A">
      <w:r w:rsidRPr="00730B1E">
        <w:rPr>
          <w:noProof/>
          <w:lang w:eastAsia="cs-CZ"/>
        </w:rPr>
        <w:drawing>
          <wp:inline distT="0" distB="0" distL="0" distR="0" wp14:anchorId="0BAE98BD" wp14:editId="3E3D124E">
            <wp:extent cx="5029200" cy="365760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53DF62F" w14:textId="486110BB" w:rsidR="00EF3B9C" w:rsidRPr="00730B1E" w:rsidRDefault="00EF3B9C" w:rsidP="00BC264E">
      <w:pPr>
        <w:pStyle w:val="OdstavecASR"/>
      </w:pPr>
    </w:p>
    <w:p w14:paraId="1756C898" w14:textId="1E4F97D7" w:rsidR="00B765FC" w:rsidRPr="00730B1E" w:rsidRDefault="00B765FC" w:rsidP="00B765FC">
      <w:pPr>
        <w:pStyle w:val="OdstavecASR"/>
      </w:pPr>
      <w:r w:rsidRPr="00730B1E">
        <w:t xml:space="preserve">V letech 2014 až 2021 je vývoj ve všech ukazatelích stabilní s přirozenými výkyvy v obou směrech. Průměrná délka řízení je více než dvojnásobná, než je </w:t>
      </w:r>
      <w:r w:rsidR="00494148" w:rsidRPr="00730B1E">
        <w:t xml:space="preserve">délka </w:t>
      </w:r>
      <w:r w:rsidRPr="00730B1E">
        <w:t>mediánová. To naznačuje, že existuje malá skupina řízení, která se oproti standardu velmi dlouho „táhnou“, což je stav, který trvá po celé vykazované období 2014–2023. Tuto domněnku potvrzuje i poměrně vysoký percentil 90.</w:t>
      </w:r>
      <w:r w:rsidR="00174FE5" w:rsidRPr="00730B1E">
        <w:t xml:space="preserve"> </w:t>
      </w:r>
      <w:r w:rsidRPr="00730B1E">
        <w:t>V letech 2020 a 2021 došlo k mírnému růstu délek řízení, nicméně jde jen o velmi malou změnu a nelze říct, že by tato statistika naznačovala zhoršení situace v trestní agendě. Zdá se, že pandemie COVID</w:t>
      </w:r>
      <w:r w:rsidRPr="00730B1E">
        <w:noBreakHyphen/>
        <w:t>19 vykazovanou délku řízení v zásadě neovlivnila. V roce 2022 došlo po mnoha letech k citelnému poklesu v délce řízení</w:t>
      </w:r>
      <w:r w:rsidR="00C54B62" w:rsidRPr="00730B1E">
        <w:t>. V roce 2023 pokles pokračoval – medián klesl o 6 dnů, průměr o 22 dnů a percentil 90 dokonce o 87 dnů.</w:t>
      </w:r>
      <w:r w:rsidRPr="00730B1E">
        <w:t xml:space="preserve"> </w:t>
      </w:r>
    </w:p>
    <w:p w14:paraId="68DDBDBA" w14:textId="49709C6E" w:rsidR="00B765FC" w:rsidRPr="00730B1E" w:rsidRDefault="00B765FC" w:rsidP="00B765FC">
      <w:pPr>
        <w:pStyle w:val="OdstavecASR"/>
      </w:pPr>
      <w:r w:rsidRPr="00730B1E">
        <w:lastRenderedPageBreak/>
        <w:t>Hodnoty jsou tak nejnižší ve vykazovaném období</w:t>
      </w:r>
      <w:r w:rsidR="00494148" w:rsidRPr="00730B1E">
        <w:t>;</w:t>
      </w:r>
      <w:r w:rsidRPr="00730B1E">
        <w:t xml:space="preserve"> jak ukazuje tabulka níže, k poklesu došlo </w:t>
      </w:r>
      <w:r w:rsidR="00E62F28" w:rsidRPr="00730B1E">
        <w:t>u </w:t>
      </w:r>
      <w:r w:rsidRPr="00730B1E">
        <w:t>všech krajů</w:t>
      </w:r>
      <w:r w:rsidR="00C54B62" w:rsidRPr="00730B1E">
        <w:t xml:space="preserve"> s výjimkou Středočeského kraje</w:t>
      </w:r>
      <w:r w:rsidRPr="00730B1E">
        <w:t>. Bez hlubší analýzy není možné určit příčinu tohoto jevu. Je možné, že dlouhodobý pokles v počtu nevyřízených věcí se konečně projevil i v délkách řízení</w:t>
      </w:r>
      <w:r w:rsidR="00183D23" w:rsidRPr="00730B1E">
        <w:t>.</w:t>
      </w:r>
      <w:r w:rsidRPr="00730B1E">
        <w:t xml:space="preserve"> Přispět mohl i stále rostoucí počet dohod o vině a trestu. Důvody mohou ale být i jiné.</w:t>
      </w:r>
    </w:p>
    <w:p w14:paraId="46504D94" w14:textId="3E4527B9" w:rsidR="00B765FC" w:rsidRPr="00730B1E" w:rsidRDefault="00804369" w:rsidP="00804369">
      <w:pPr>
        <w:pStyle w:val="Podnadpis"/>
        <w:rPr>
          <w:color w:val="auto"/>
          <w:sz w:val="20"/>
          <w:szCs w:val="20"/>
          <w:lang w:eastAsia="cs-CZ"/>
        </w:rPr>
      </w:pPr>
      <w:bookmarkStart w:id="347" w:name="_Ref510084261"/>
      <w:bookmarkStart w:id="348" w:name="_Ref510084255"/>
      <w:bookmarkStart w:id="349" w:name="_Toc515871451"/>
      <w:bookmarkStart w:id="350" w:name="_Toc11133219"/>
      <w:bookmarkStart w:id="351" w:name="_Toc43931193"/>
      <w:bookmarkStart w:id="352" w:name="_Toc75952323"/>
      <w:bookmarkStart w:id="353" w:name="_Toc106106782"/>
      <w:bookmarkStart w:id="354" w:name="_Toc144104260"/>
      <w:bookmarkStart w:id="355" w:name="_Toc169251076"/>
      <w:bookmarkStart w:id="356" w:name="_Toc174080762"/>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19</w:t>
      </w:r>
      <w:r w:rsidRPr="00730B1E">
        <w:rPr>
          <w:noProof/>
          <w:color w:val="auto"/>
        </w:rPr>
        <w:fldChar w:fldCharType="end"/>
      </w:r>
      <w:bookmarkEnd w:id="347"/>
      <w:r w:rsidRPr="00730B1E">
        <w:rPr>
          <w:color w:val="auto"/>
        </w:rPr>
        <w:t>: OS – délky trestního řízení dle krajů</w:t>
      </w:r>
      <w:bookmarkEnd w:id="348"/>
      <w:bookmarkEnd w:id="349"/>
      <w:bookmarkEnd w:id="350"/>
      <w:bookmarkEnd w:id="351"/>
      <w:bookmarkEnd w:id="352"/>
      <w:bookmarkEnd w:id="353"/>
      <w:bookmarkEnd w:id="354"/>
      <w:r w:rsidR="002263C3" w:rsidRPr="00730B1E">
        <w:rPr>
          <w:color w:val="auto"/>
        </w:rPr>
        <w:t>, 2023</w:t>
      </w:r>
      <w:bookmarkEnd w:id="355"/>
      <w:bookmarkEnd w:id="356"/>
    </w:p>
    <w:tbl>
      <w:tblPr>
        <w:tblW w:w="8920" w:type="dxa"/>
        <w:tblCellMar>
          <w:left w:w="70" w:type="dxa"/>
          <w:right w:w="70" w:type="dxa"/>
        </w:tblCellMar>
        <w:tblLook w:val="04A0" w:firstRow="1" w:lastRow="0" w:firstColumn="1" w:lastColumn="0" w:noHBand="0" w:noVBand="1"/>
      </w:tblPr>
      <w:tblGrid>
        <w:gridCol w:w="2440"/>
        <w:gridCol w:w="961"/>
        <w:gridCol w:w="1292"/>
        <w:gridCol w:w="666"/>
        <w:gridCol w:w="1292"/>
        <w:gridCol w:w="961"/>
        <w:gridCol w:w="1308"/>
      </w:tblGrid>
      <w:tr w:rsidR="00B64E96" w:rsidRPr="00730B1E" w14:paraId="01F391FC" w14:textId="77777777" w:rsidTr="00804369">
        <w:trPr>
          <w:trHeight w:val="330"/>
        </w:trPr>
        <w:tc>
          <w:tcPr>
            <w:tcW w:w="2440" w:type="dxa"/>
            <w:vMerge w:val="restart"/>
            <w:tcBorders>
              <w:top w:val="double" w:sz="6" w:space="0" w:color="auto"/>
              <w:left w:val="nil"/>
              <w:bottom w:val="double" w:sz="6" w:space="0" w:color="000000"/>
              <w:right w:val="nil"/>
            </w:tcBorders>
            <w:shd w:val="clear" w:color="auto" w:fill="auto"/>
            <w:noWrap/>
            <w:vAlign w:val="center"/>
            <w:hideMark/>
          </w:tcPr>
          <w:p w14:paraId="5F8D062F" w14:textId="77777777" w:rsidR="00804369" w:rsidRPr="00730B1E" w:rsidRDefault="00804369" w:rsidP="00804369">
            <w:pPr>
              <w:spacing w:line="240" w:lineRule="auto"/>
              <w:jc w:val="left"/>
              <w:rPr>
                <w:rFonts w:eastAsia="Times New Roman"/>
                <w:b/>
                <w:bCs/>
                <w:szCs w:val="24"/>
                <w:lang w:eastAsia="cs-CZ"/>
              </w:rPr>
            </w:pPr>
            <w:r w:rsidRPr="00730B1E">
              <w:rPr>
                <w:rFonts w:eastAsia="Times New Roman"/>
                <w:b/>
                <w:bCs/>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40330FD7" w14:textId="77777777" w:rsidR="00804369" w:rsidRPr="00730B1E" w:rsidRDefault="00804369" w:rsidP="00804369">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43DE3733" w14:textId="77777777" w:rsidTr="00804369">
        <w:trPr>
          <w:trHeight w:val="330"/>
        </w:trPr>
        <w:tc>
          <w:tcPr>
            <w:tcW w:w="2440" w:type="dxa"/>
            <w:vMerge/>
            <w:tcBorders>
              <w:top w:val="double" w:sz="6" w:space="0" w:color="auto"/>
              <w:left w:val="nil"/>
              <w:bottom w:val="double" w:sz="6" w:space="0" w:color="000000"/>
              <w:right w:val="nil"/>
            </w:tcBorders>
            <w:vAlign w:val="center"/>
            <w:hideMark/>
          </w:tcPr>
          <w:p w14:paraId="78343315" w14:textId="77777777" w:rsidR="00804369" w:rsidRPr="00730B1E" w:rsidRDefault="00804369" w:rsidP="00804369">
            <w:pPr>
              <w:spacing w:line="240" w:lineRule="auto"/>
              <w:jc w:val="left"/>
              <w:rPr>
                <w:rFonts w:eastAsia="Times New Roman"/>
                <w:b/>
                <w:bCs/>
                <w:szCs w:val="24"/>
                <w:lang w:eastAsia="cs-CZ"/>
              </w:rPr>
            </w:pPr>
          </w:p>
        </w:tc>
        <w:tc>
          <w:tcPr>
            <w:tcW w:w="2253" w:type="dxa"/>
            <w:gridSpan w:val="2"/>
            <w:tcBorders>
              <w:top w:val="nil"/>
              <w:left w:val="nil"/>
              <w:bottom w:val="double" w:sz="6" w:space="0" w:color="auto"/>
              <w:right w:val="nil"/>
            </w:tcBorders>
            <w:shd w:val="clear" w:color="auto" w:fill="auto"/>
            <w:noWrap/>
            <w:vAlign w:val="center"/>
            <w:hideMark/>
          </w:tcPr>
          <w:p w14:paraId="059891DD" w14:textId="77777777" w:rsidR="00804369" w:rsidRPr="00730B1E" w:rsidRDefault="00804369" w:rsidP="00804369">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95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9207E9C" w14:textId="77777777" w:rsidR="00804369" w:rsidRPr="00730B1E" w:rsidRDefault="00804369" w:rsidP="00804369">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2269" w:type="dxa"/>
            <w:gridSpan w:val="2"/>
            <w:tcBorders>
              <w:top w:val="nil"/>
              <w:left w:val="nil"/>
              <w:bottom w:val="double" w:sz="6" w:space="0" w:color="auto"/>
              <w:right w:val="nil"/>
            </w:tcBorders>
            <w:shd w:val="clear" w:color="auto" w:fill="auto"/>
            <w:noWrap/>
            <w:vAlign w:val="center"/>
            <w:hideMark/>
          </w:tcPr>
          <w:p w14:paraId="7EA610C4" w14:textId="77777777" w:rsidR="00804369" w:rsidRPr="00730B1E" w:rsidRDefault="00804369" w:rsidP="00804369">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58C11C78" w14:textId="77777777" w:rsidTr="00804369">
        <w:trPr>
          <w:trHeight w:val="330"/>
        </w:trPr>
        <w:tc>
          <w:tcPr>
            <w:tcW w:w="2440" w:type="dxa"/>
            <w:tcBorders>
              <w:top w:val="single" w:sz="4" w:space="0" w:color="auto"/>
              <w:left w:val="nil"/>
              <w:bottom w:val="single" w:sz="4" w:space="0" w:color="auto"/>
              <w:right w:val="nil"/>
            </w:tcBorders>
            <w:shd w:val="clear" w:color="auto" w:fill="auto"/>
            <w:noWrap/>
            <w:vAlign w:val="bottom"/>
            <w:hideMark/>
          </w:tcPr>
          <w:p w14:paraId="3EF86D14" w14:textId="77777777" w:rsidR="00804369" w:rsidRPr="00730B1E" w:rsidRDefault="00804369" w:rsidP="00804369">
            <w:pPr>
              <w:spacing w:line="240" w:lineRule="auto"/>
              <w:jc w:val="left"/>
              <w:rPr>
                <w:rFonts w:eastAsia="Times New Roman"/>
                <w:szCs w:val="24"/>
                <w:lang w:eastAsia="cs-CZ"/>
              </w:rPr>
            </w:pPr>
            <w:r w:rsidRPr="00730B1E">
              <w:rPr>
                <w:rFonts w:eastAsia="Times New Roman"/>
                <w:szCs w:val="24"/>
                <w:lang w:eastAsia="cs-CZ"/>
              </w:rPr>
              <w:t>MS Praha</w:t>
            </w:r>
          </w:p>
        </w:tc>
        <w:tc>
          <w:tcPr>
            <w:tcW w:w="961" w:type="dxa"/>
            <w:tcBorders>
              <w:top w:val="single" w:sz="4" w:space="0" w:color="auto"/>
              <w:left w:val="nil"/>
              <w:bottom w:val="single" w:sz="4" w:space="0" w:color="auto"/>
              <w:right w:val="nil"/>
            </w:tcBorders>
            <w:shd w:val="clear" w:color="auto" w:fill="auto"/>
            <w:noWrap/>
            <w:vAlign w:val="bottom"/>
            <w:hideMark/>
          </w:tcPr>
          <w:p w14:paraId="5B7D7207"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149</w:t>
            </w:r>
          </w:p>
        </w:tc>
        <w:tc>
          <w:tcPr>
            <w:tcW w:w="1292" w:type="dxa"/>
            <w:tcBorders>
              <w:top w:val="single" w:sz="4" w:space="0" w:color="auto"/>
              <w:left w:val="nil"/>
              <w:bottom w:val="single" w:sz="4" w:space="0" w:color="auto"/>
              <w:right w:val="nil"/>
            </w:tcBorders>
            <w:shd w:val="clear" w:color="auto" w:fill="auto"/>
            <w:noWrap/>
            <w:vAlign w:val="center"/>
            <w:hideMark/>
          </w:tcPr>
          <w:p w14:paraId="768C679B"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666" w:type="dxa"/>
            <w:tcBorders>
              <w:top w:val="nil"/>
              <w:left w:val="single" w:sz="4" w:space="0" w:color="auto"/>
              <w:bottom w:val="single" w:sz="4" w:space="0" w:color="auto"/>
              <w:right w:val="nil"/>
            </w:tcBorders>
            <w:shd w:val="clear" w:color="auto" w:fill="auto"/>
            <w:noWrap/>
            <w:vAlign w:val="bottom"/>
            <w:hideMark/>
          </w:tcPr>
          <w:p w14:paraId="036FA930"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69</w:t>
            </w:r>
          </w:p>
        </w:tc>
        <w:tc>
          <w:tcPr>
            <w:tcW w:w="1292" w:type="dxa"/>
            <w:tcBorders>
              <w:top w:val="nil"/>
              <w:left w:val="nil"/>
              <w:bottom w:val="single" w:sz="4" w:space="0" w:color="auto"/>
              <w:right w:val="single" w:sz="4" w:space="0" w:color="auto"/>
            </w:tcBorders>
            <w:shd w:val="clear" w:color="auto" w:fill="auto"/>
            <w:noWrap/>
            <w:vAlign w:val="center"/>
            <w:hideMark/>
          </w:tcPr>
          <w:p w14:paraId="6DBA3DEC"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961" w:type="dxa"/>
            <w:tcBorders>
              <w:top w:val="single" w:sz="4" w:space="0" w:color="auto"/>
              <w:left w:val="nil"/>
              <w:bottom w:val="single" w:sz="4" w:space="0" w:color="auto"/>
              <w:right w:val="nil"/>
            </w:tcBorders>
            <w:shd w:val="clear" w:color="auto" w:fill="auto"/>
            <w:noWrap/>
            <w:vAlign w:val="bottom"/>
            <w:hideMark/>
          </w:tcPr>
          <w:p w14:paraId="1CE67C60"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329</w:t>
            </w:r>
          </w:p>
        </w:tc>
        <w:tc>
          <w:tcPr>
            <w:tcW w:w="1308" w:type="dxa"/>
            <w:tcBorders>
              <w:top w:val="single" w:sz="4" w:space="0" w:color="auto"/>
              <w:left w:val="nil"/>
              <w:bottom w:val="single" w:sz="4" w:space="0" w:color="auto"/>
              <w:right w:val="nil"/>
            </w:tcBorders>
            <w:shd w:val="clear" w:color="auto" w:fill="auto"/>
            <w:noWrap/>
            <w:vAlign w:val="center"/>
            <w:hideMark/>
          </w:tcPr>
          <w:p w14:paraId="513E293E"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567C7040" w14:textId="77777777" w:rsidTr="00804369">
        <w:trPr>
          <w:trHeight w:val="315"/>
        </w:trPr>
        <w:tc>
          <w:tcPr>
            <w:tcW w:w="2440" w:type="dxa"/>
            <w:tcBorders>
              <w:top w:val="nil"/>
              <w:left w:val="nil"/>
              <w:bottom w:val="single" w:sz="4" w:space="0" w:color="auto"/>
              <w:right w:val="nil"/>
            </w:tcBorders>
            <w:shd w:val="clear" w:color="auto" w:fill="auto"/>
            <w:noWrap/>
            <w:vAlign w:val="bottom"/>
            <w:hideMark/>
          </w:tcPr>
          <w:p w14:paraId="036E057C" w14:textId="77777777" w:rsidR="00804369" w:rsidRPr="00730B1E" w:rsidRDefault="00804369" w:rsidP="00804369">
            <w:pPr>
              <w:spacing w:line="240" w:lineRule="auto"/>
              <w:jc w:val="left"/>
              <w:rPr>
                <w:rFonts w:eastAsia="Times New Roman"/>
                <w:szCs w:val="24"/>
                <w:lang w:eastAsia="cs-CZ"/>
              </w:rPr>
            </w:pPr>
            <w:r w:rsidRPr="00730B1E">
              <w:rPr>
                <w:rFonts w:eastAsia="Times New Roman"/>
                <w:szCs w:val="24"/>
                <w:lang w:eastAsia="cs-CZ"/>
              </w:rPr>
              <w:t>KS Praha</w:t>
            </w:r>
          </w:p>
        </w:tc>
        <w:tc>
          <w:tcPr>
            <w:tcW w:w="961" w:type="dxa"/>
            <w:tcBorders>
              <w:top w:val="nil"/>
              <w:left w:val="nil"/>
              <w:bottom w:val="single" w:sz="4" w:space="0" w:color="auto"/>
              <w:right w:val="nil"/>
            </w:tcBorders>
            <w:shd w:val="clear" w:color="auto" w:fill="auto"/>
            <w:noWrap/>
            <w:vAlign w:val="bottom"/>
            <w:hideMark/>
          </w:tcPr>
          <w:p w14:paraId="2ED50A04"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127</w:t>
            </w:r>
          </w:p>
        </w:tc>
        <w:tc>
          <w:tcPr>
            <w:tcW w:w="1292" w:type="dxa"/>
            <w:tcBorders>
              <w:top w:val="nil"/>
              <w:left w:val="nil"/>
              <w:bottom w:val="single" w:sz="4" w:space="0" w:color="auto"/>
              <w:right w:val="nil"/>
            </w:tcBorders>
            <w:shd w:val="clear" w:color="auto" w:fill="auto"/>
            <w:noWrap/>
            <w:vAlign w:val="center"/>
            <w:hideMark/>
          </w:tcPr>
          <w:p w14:paraId="3DEDF61F"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666" w:type="dxa"/>
            <w:tcBorders>
              <w:top w:val="nil"/>
              <w:left w:val="single" w:sz="4" w:space="0" w:color="auto"/>
              <w:bottom w:val="single" w:sz="4" w:space="0" w:color="auto"/>
              <w:right w:val="nil"/>
            </w:tcBorders>
            <w:shd w:val="clear" w:color="auto" w:fill="auto"/>
            <w:noWrap/>
            <w:vAlign w:val="bottom"/>
            <w:hideMark/>
          </w:tcPr>
          <w:p w14:paraId="6D07E5B7"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57</w:t>
            </w:r>
          </w:p>
        </w:tc>
        <w:tc>
          <w:tcPr>
            <w:tcW w:w="1292" w:type="dxa"/>
            <w:tcBorders>
              <w:top w:val="nil"/>
              <w:left w:val="nil"/>
              <w:bottom w:val="single" w:sz="4" w:space="0" w:color="auto"/>
              <w:right w:val="single" w:sz="4" w:space="0" w:color="auto"/>
            </w:tcBorders>
            <w:shd w:val="clear" w:color="auto" w:fill="auto"/>
            <w:noWrap/>
            <w:vAlign w:val="center"/>
            <w:hideMark/>
          </w:tcPr>
          <w:p w14:paraId="6304913E"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961" w:type="dxa"/>
            <w:tcBorders>
              <w:top w:val="nil"/>
              <w:left w:val="nil"/>
              <w:bottom w:val="single" w:sz="4" w:space="0" w:color="auto"/>
              <w:right w:val="nil"/>
            </w:tcBorders>
            <w:shd w:val="clear" w:color="auto" w:fill="auto"/>
            <w:noWrap/>
            <w:vAlign w:val="bottom"/>
            <w:hideMark/>
          </w:tcPr>
          <w:p w14:paraId="4144E9CA"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252</w:t>
            </w:r>
          </w:p>
        </w:tc>
        <w:tc>
          <w:tcPr>
            <w:tcW w:w="1308" w:type="dxa"/>
            <w:tcBorders>
              <w:top w:val="nil"/>
              <w:left w:val="nil"/>
              <w:bottom w:val="single" w:sz="4" w:space="0" w:color="auto"/>
              <w:right w:val="nil"/>
            </w:tcBorders>
            <w:shd w:val="clear" w:color="auto" w:fill="auto"/>
            <w:noWrap/>
            <w:vAlign w:val="center"/>
            <w:hideMark/>
          </w:tcPr>
          <w:p w14:paraId="0BC9C44D"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729A0BE3" w14:textId="77777777" w:rsidTr="00804369">
        <w:trPr>
          <w:trHeight w:val="315"/>
        </w:trPr>
        <w:tc>
          <w:tcPr>
            <w:tcW w:w="2440" w:type="dxa"/>
            <w:tcBorders>
              <w:top w:val="nil"/>
              <w:left w:val="nil"/>
              <w:bottom w:val="single" w:sz="4" w:space="0" w:color="auto"/>
              <w:right w:val="nil"/>
            </w:tcBorders>
            <w:shd w:val="clear" w:color="auto" w:fill="auto"/>
            <w:noWrap/>
            <w:vAlign w:val="bottom"/>
            <w:hideMark/>
          </w:tcPr>
          <w:p w14:paraId="7EEB1C84" w14:textId="77777777" w:rsidR="00804369" w:rsidRPr="00730B1E" w:rsidRDefault="00804369" w:rsidP="00804369">
            <w:pPr>
              <w:spacing w:line="240" w:lineRule="auto"/>
              <w:jc w:val="left"/>
              <w:rPr>
                <w:rFonts w:eastAsia="Times New Roman"/>
                <w:szCs w:val="24"/>
                <w:lang w:eastAsia="cs-CZ"/>
              </w:rPr>
            </w:pPr>
            <w:r w:rsidRPr="00730B1E">
              <w:rPr>
                <w:rFonts w:eastAsia="Times New Roman"/>
                <w:szCs w:val="24"/>
                <w:lang w:eastAsia="cs-CZ"/>
              </w:rPr>
              <w:t>KS Č. Budějovice</w:t>
            </w:r>
          </w:p>
        </w:tc>
        <w:tc>
          <w:tcPr>
            <w:tcW w:w="961" w:type="dxa"/>
            <w:tcBorders>
              <w:top w:val="nil"/>
              <w:left w:val="nil"/>
              <w:bottom w:val="single" w:sz="4" w:space="0" w:color="auto"/>
              <w:right w:val="nil"/>
            </w:tcBorders>
            <w:shd w:val="clear" w:color="auto" w:fill="auto"/>
            <w:noWrap/>
            <w:vAlign w:val="bottom"/>
            <w:hideMark/>
          </w:tcPr>
          <w:p w14:paraId="1CB1E8EB"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147</w:t>
            </w:r>
          </w:p>
        </w:tc>
        <w:tc>
          <w:tcPr>
            <w:tcW w:w="1292" w:type="dxa"/>
            <w:tcBorders>
              <w:top w:val="nil"/>
              <w:left w:val="nil"/>
              <w:bottom w:val="single" w:sz="4" w:space="0" w:color="auto"/>
              <w:right w:val="nil"/>
            </w:tcBorders>
            <w:shd w:val="clear" w:color="auto" w:fill="auto"/>
            <w:noWrap/>
            <w:vAlign w:val="center"/>
            <w:hideMark/>
          </w:tcPr>
          <w:p w14:paraId="704147AD"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666" w:type="dxa"/>
            <w:tcBorders>
              <w:top w:val="nil"/>
              <w:left w:val="single" w:sz="4" w:space="0" w:color="auto"/>
              <w:bottom w:val="single" w:sz="4" w:space="0" w:color="auto"/>
              <w:right w:val="nil"/>
            </w:tcBorders>
            <w:shd w:val="clear" w:color="auto" w:fill="auto"/>
            <w:noWrap/>
            <w:vAlign w:val="bottom"/>
            <w:hideMark/>
          </w:tcPr>
          <w:p w14:paraId="13679C8E"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74</w:t>
            </w:r>
          </w:p>
        </w:tc>
        <w:tc>
          <w:tcPr>
            <w:tcW w:w="1292" w:type="dxa"/>
            <w:tcBorders>
              <w:top w:val="nil"/>
              <w:left w:val="nil"/>
              <w:bottom w:val="single" w:sz="4" w:space="0" w:color="auto"/>
              <w:right w:val="single" w:sz="4" w:space="0" w:color="auto"/>
            </w:tcBorders>
            <w:shd w:val="clear" w:color="auto" w:fill="auto"/>
            <w:noWrap/>
            <w:vAlign w:val="center"/>
            <w:hideMark/>
          </w:tcPr>
          <w:p w14:paraId="08EDABDC"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961" w:type="dxa"/>
            <w:tcBorders>
              <w:top w:val="nil"/>
              <w:left w:val="nil"/>
              <w:bottom w:val="single" w:sz="4" w:space="0" w:color="auto"/>
              <w:right w:val="nil"/>
            </w:tcBorders>
            <w:shd w:val="clear" w:color="auto" w:fill="auto"/>
            <w:noWrap/>
            <w:vAlign w:val="bottom"/>
            <w:hideMark/>
          </w:tcPr>
          <w:p w14:paraId="20E6DA36"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292</w:t>
            </w:r>
          </w:p>
        </w:tc>
        <w:tc>
          <w:tcPr>
            <w:tcW w:w="1308" w:type="dxa"/>
            <w:tcBorders>
              <w:top w:val="nil"/>
              <w:left w:val="nil"/>
              <w:bottom w:val="single" w:sz="4" w:space="0" w:color="auto"/>
              <w:right w:val="nil"/>
            </w:tcBorders>
            <w:shd w:val="clear" w:color="auto" w:fill="auto"/>
            <w:noWrap/>
            <w:vAlign w:val="center"/>
            <w:hideMark/>
          </w:tcPr>
          <w:p w14:paraId="534E0170"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r>
      <w:tr w:rsidR="00B64E96" w:rsidRPr="00730B1E" w14:paraId="51AE8D53" w14:textId="77777777" w:rsidTr="00804369">
        <w:trPr>
          <w:trHeight w:val="315"/>
        </w:trPr>
        <w:tc>
          <w:tcPr>
            <w:tcW w:w="2440" w:type="dxa"/>
            <w:tcBorders>
              <w:top w:val="nil"/>
              <w:left w:val="nil"/>
              <w:bottom w:val="single" w:sz="4" w:space="0" w:color="auto"/>
              <w:right w:val="nil"/>
            </w:tcBorders>
            <w:shd w:val="clear" w:color="auto" w:fill="auto"/>
            <w:noWrap/>
            <w:vAlign w:val="bottom"/>
            <w:hideMark/>
          </w:tcPr>
          <w:p w14:paraId="1AC6FA61" w14:textId="77777777" w:rsidR="00804369" w:rsidRPr="00730B1E" w:rsidRDefault="00804369" w:rsidP="00804369">
            <w:pPr>
              <w:spacing w:line="240" w:lineRule="auto"/>
              <w:jc w:val="left"/>
              <w:rPr>
                <w:rFonts w:eastAsia="Times New Roman"/>
                <w:szCs w:val="24"/>
                <w:lang w:eastAsia="cs-CZ"/>
              </w:rPr>
            </w:pPr>
            <w:r w:rsidRPr="00730B1E">
              <w:rPr>
                <w:rFonts w:eastAsia="Times New Roman"/>
                <w:szCs w:val="24"/>
                <w:lang w:eastAsia="cs-CZ"/>
              </w:rPr>
              <w:t>KS Plzeň</w:t>
            </w:r>
          </w:p>
        </w:tc>
        <w:tc>
          <w:tcPr>
            <w:tcW w:w="961" w:type="dxa"/>
            <w:tcBorders>
              <w:top w:val="nil"/>
              <w:left w:val="nil"/>
              <w:bottom w:val="single" w:sz="4" w:space="0" w:color="auto"/>
              <w:right w:val="nil"/>
            </w:tcBorders>
            <w:shd w:val="clear" w:color="auto" w:fill="auto"/>
            <w:noWrap/>
            <w:vAlign w:val="bottom"/>
            <w:hideMark/>
          </w:tcPr>
          <w:p w14:paraId="5E8018E7"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182</w:t>
            </w:r>
          </w:p>
        </w:tc>
        <w:tc>
          <w:tcPr>
            <w:tcW w:w="1292" w:type="dxa"/>
            <w:tcBorders>
              <w:top w:val="nil"/>
              <w:left w:val="nil"/>
              <w:bottom w:val="single" w:sz="4" w:space="0" w:color="auto"/>
              <w:right w:val="nil"/>
            </w:tcBorders>
            <w:shd w:val="clear" w:color="auto" w:fill="auto"/>
            <w:noWrap/>
            <w:vAlign w:val="center"/>
            <w:hideMark/>
          </w:tcPr>
          <w:p w14:paraId="73484290"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666" w:type="dxa"/>
            <w:tcBorders>
              <w:top w:val="nil"/>
              <w:left w:val="single" w:sz="4" w:space="0" w:color="auto"/>
              <w:bottom w:val="single" w:sz="4" w:space="0" w:color="auto"/>
              <w:right w:val="nil"/>
            </w:tcBorders>
            <w:shd w:val="clear" w:color="auto" w:fill="auto"/>
            <w:noWrap/>
            <w:vAlign w:val="bottom"/>
            <w:hideMark/>
          </w:tcPr>
          <w:p w14:paraId="362E76B0"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76</w:t>
            </w:r>
          </w:p>
        </w:tc>
        <w:tc>
          <w:tcPr>
            <w:tcW w:w="1292" w:type="dxa"/>
            <w:tcBorders>
              <w:top w:val="nil"/>
              <w:left w:val="nil"/>
              <w:bottom w:val="single" w:sz="4" w:space="0" w:color="auto"/>
              <w:right w:val="single" w:sz="4" w:space="0" w:color="auto"/>
            </w:tcBorders>
            <w:shd w:val="clear" w:color="auto" w:fill="auto"/>
            <w:noWrap/>
            <w:vAlign w:val="center"/>
            <w:hideMark/>
          </w:tcPr>
          <w:p w14:paraId="2F8C18D4"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61" w:type="dxa"/>
            <w:tcBorders>
              <w:top w:val="nil"/>
              <w:left w:val="nil"/>
              <w:bottom w:val="single" w:sz="4" w:space="0" w:color="auto"/>
              <w:right w:val="nil"/>
            </w:tcBorders>
            <w:shd w:val="clear" w:color="auto" w:fill="auto"/>
            <w:noWrap/>
            <w:vAlign w:val="bottom"/>
            <w:hideMark/>
          </w:tcPr>
          <w:p w14:paraId="2CA13D28"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386</w:t>
            </w:r>
          </w:p>
        </w:tc>
        <w:tc>
          <w:tcPr>
            <w:tcW w:w="1308" w:type="dxa"/>
            <w:tcBorders>
              <w:top w:val="nil"/>
              <w:left w:val="nil"/>
              <w:bottom w:val="single" w:sz="4" w:space="0" w:color="auto"/>
              <w:right w:val="nil"/>
            </w:tcBorders>
            <w:shd w:val="clear" w:color="auto" w:fill="auto"/>
            <w:noWrap/>
            <w:vAlign w:val="center"/>
            <w:hideMark/>
          </w:tcPr>
          <w:p w14:paraId="40B3ED97"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-26 %  </w:t>
            </w:r>
          </w:p>
        </w:tc>
      </w:tr>
      <w:tr w:rsidR="00B64E96" w:rsidRPr="00730B1E" w14:paraId="697D8A8D" w14:textId="77777777" w:rsidTr="00804369">
        <w:trPr>
          <w:trHeight w:val="315"/>
        </w:trPr>
        <w:tc>
          <w:tcPr>
            <w:tcW w:w="2440" w:type="dxa"/>
            <w:tcBorders>
              <w:top w:val="nil"/>
              <w:left w:val="nil"/>
              <w:bottom w:val="single" w:sz="4" w:space="0" w:color="auto"/>
              <w:right w:val="nil"/>
            </w:tcBorders>
            <w:shd w:val="clear" w:color="auto" w:fill="auto"/>
            <w:noWrap/>
            <w:vAlign w:val="bottom"/>
            <w:hideMark/>
          </w:tcPr>
          <w:p w14:paraId="30709054" w14:textId="77777777" w:rsidR="00804369" w:rsidRPr="00730B1E" w:rsidRDefault="00804369" w:rsidP="00804369">
            <w:pPr>
              <w:spacing w:line="240" w:lineRule="auto"/>
              <w:jc w:val="left"/>
              <w:rPr>
                <w:rFonts w:eastAsia="Times New Roman"/>
                <w:szCs w:val="24"/>
                <w:lang w:eastAsia="cs-CZ"/>
              </w:rPr>
            </w:pPr>
            <w:r w:rsidRPr="00730B1E">
              <w:rPr>
                <w:rFonts w:eastAsia="Times New Roman"/>
                <w:szCs w:val="24"/>
                <w:lang w:eastAsia="cs-CZ"/>
              </w:rPr>
              <w:t>KS Ústí n. Labem</w:t>
            </w:r>
          </w:p>
        </w:tc>
        <w:tc>
          <w:tcPr>
            <w:tcW w:w="961" w:type="dxa"/>
            <w:tcBorders>
              <w:top w:val="nil"/>
              <w:left w:val="nil"/>
              <w:bottom w:val="single" w:sz="4" w:space="0" w:color="auto"/>
              <w:right w:val="nil"/>
            </w:tcBorders>
            <w:shd w:val="clear" w:color="auto" w:fill="auto"/>
            <w:noWrap/>
            <w:vAlign w:val="bottom"/>
            <w:hideMark/>
          </w:tcPr>
          <w:p w14:paraId="695DC4EC"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213</w:t>
            </w:r>
          </w:p>
        </w:tc>
        <w:tc>
          <w:tcPr>
            <w:tcW w:w="1292" w:type="dxa"/>
            <w:tcBorders>
              <w:top w:val="nil"/>
              <w:left w:val="nil"/>
              <w:bottom w:val="single" w:sz="4" w:space="0" w:color="auto"/>
              <w:right w:val="nil"/>
            </w:tcBorders>
            <w:shd w:val="clear" w:color="auto" w:fill="auto"/>
            <w:noWrap/>
            <w:vAlign w:val="center"/>
            <w:hideMark/>
          </w:tcPr>
          <w:p w14:paraId="4D588CD7"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c>
          <w:tcPr>
            <w:tcW w:w="666" w:type="dxa"/>
            <w:tcBorders>
              <w:top w:val="nil"/>
              <w:left w:val="single" w:sz="4" w:space="0" w:color="auto"/>
              <w:bottom w:val="single" w:sz="4" w:space="0" w:color="auto"/>
              <w:right w:val="nil"/>
            </w:tcBorders>
            <w:shd w:val="clear" w:color="auto" w:fill="auto"/>
            <w:noWrap/>
            <w:vAlign w:val="bottom"/>
            <w:hideMark/>
          </w:tcPr>
          <w:p w14:paraId="591FFEA7"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92</w:t>
            </w:r>
          </w:p>
        </w:tc>
        <w:tc>
          <w:tcPr>
            <w:tcW w:w="1292" w:type="dxa"/>
            <w:tcBorders>
              <w:top w:val="nil"/>
              <w:left w:val="nil"/>
              <w:bottom w:val="single" w:sz="4" w:space="0" w:color="auto"/>
              <w:right w:val="single" w:sz="4" w:space="0" w:color="auto"/>
            </w:tcBorders>
            <w:shd w:val="clear" w:color="auto" w:fill="auto"/>
            <w:noWrap/>
            <w:vAlign w:val="center"/>
            <w:hideMark/>
          </w:tcPr>
          <w:p w14:paraId="3B7931BF"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961" w:type="dxa"/>
            <w:tcBorders>
              <w:top w:val="nil"/>
              <w:left w:val="nil"/>
              <w:bottom w:val="single" w:sz="4" w:space="0" w:color="auto"/>
              <w:right w:val="nil"/>
            </w:tcBorders>
            <w:shd w:val="clear" w:color="auto" w:fill="auto"/>
            <w:noWrap/>
            <w:vAlign w:val="bottom"/>
            <w:hideMark/>
          </w:tcPr>
          <w:p w14:paraId="33764780"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475</w:t>
            </w:r>
          </w:p>
        </w:tc>
        <w:tc>
          <w:tcPr>
            <w:tcW w:w="1308" w:type="dxa"/>
            <w:tcBorders>
              <w:top w:val="nil"/>
              <w:left w:val="nil"/>
              <w:bottom w:val="single" w:sz="4" w:space="0" w:color="auto"/>
              <w:right w:val="nil"/>
            </w:tcBorders>
            <w:shd w:val="clear" w:color="auto" w:fill="auto"/>
            <w:noWrap/>
            <w:vAlign w:val="center"/>
            <w:hideMark/>
          </w:tcPr>
          <w:p w14:paraId="5BA1CE8B"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-26 %  </w:t>
            </w:r>
          </w:p>
        </w:tc>
      </w:tr>
      <w:tr w:rsidR="00B64E96" w:rsidRPr="00730B1E" w14:paraId="064BC6F9" w14:textId="77777777" w:rsidTr="00804369">
        <w:trPr>
          <w:trHeight w:val="315"/>
        </w:trPr>
        <w:tc>
          <w:tcPr>
            <w:tcW w:w="2440" w:type="dxa"/>
            <w:tcBorders>
              <w:top w:val="nil"/>
              <w:left w:val="nil"/>
              <w:bottom w:val="single" w:sz="4" w:space="0" w:color="auto"/>
              <w:right w:val="nil"/>
            </w:tcBorders>
            <w:shd w:val="clear" w:color="auto" w:fill="auto"/>
            <w:noWrap/>
            <w:vAlign w:val="bottom"/>
            <w:hideMark/>
          </w:tcPr>
          <w:p w14:paraId="10393E2F" w14:textId="77777777" w:rsidR="00804369" w:rsidRPr="00730B1E" w:rsidRDefault="00804369" w:rsidP="00804369">
            <w:pPr>
              <w:spacing w:line="240" w:lineRule="auto"/>
              <w:jc w:val="left"/>
              <w:rPr>
                <w:rFonts w:eastAsia="Times New Roman"/>
                <w:szCs w:val="24"/>
                <w:lang w:eastAsia="cs-CZ"/>
              </w:rPr>
            </w:pPr>
            <w:r w:rsidRPr="00730B1E">
              <w:rPr>
                <w:rFonts w:eastAsia="Times New Roman"/>
                <w:szCs w:val="24"/>
                <w:lang w:eastAsia="cs-CZ"/>
              </w:rPr>
              <w:t>KS Hr. Králové</w:t>
            </w:r>
          </w:p>
        </w:tc>
        <w:tc>
          <w:tcPr>
            <w:tcW w:w="961" w:type="dxa"/>
            <w:tcBorders>
              <w:top w:val="nil"/>
              <w:left w:val="nil"/>
              <w:bottom w:val="single" w:sz="4" w:space="0" w:color="auto"/>
              <w:right w:val="nil"/>
            </w:tcBorders>
            <w:shd w:val="clear" w:color="auto" w:fill="auto"/>
            <w:noWrap/>
            <w:vAlign w:val="bottom"/>
            <w:hideMark/>
          </w:tcPr>
          <w:p w14:paraId="7F134752"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111</w:t>
            </w:r>
          </w:p>
        </w:tc>
        <w:tc>
          <w:tcPr>
            <w:tcW w:w="1292" w:type="dxa"/>
            <w:tcBorders>
              <w:top w:val="nil"/>
              <w:left w:val="nil"/>
              <w:bottom w:val="single" w:sz="4" w:space="0" w:color="auto"/>
              <w:right w:val="nil"/>
            </w:tcBorders>
            <w:shd w:val="clear" w:color="auto" w:fill="auto"/>
            <w:noWrap/>
            <w:vAlign w:val="center"/>
            <w:hideMark/>
          </w:tcPr>
          <w:p w14:paraId="21A4021D"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c>
          <w:tcPr>
            <w:tcW w:w="666" w:type="dxa"/>
            <w:tcBorders>
              <w:top w:val="nil"/>
              <w:left w:val="single" w:sz="4" w:space="0" w:color="auto"/>
              <w:bottom w:val="single" w:sz="4" w:space="0" w:color="auto"/>
              <w:right w:val="nil"/>
            </w:tcBorders>
            <w:shd w:val="clear" w:color="auto" w:fill="auto"/>
            <w:noWrap/>
            <w:vAlign w:val="bottom"/>
            <w:hideMark/>
          </w:tcPr>
          <w:p w14:paraId="2BF1C69D"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56</w:t>
            </w:r>
          </w:p>
        </w:tc>
        <w:tc>
          <w:tcPr>
            <w:tcW w:w="1292" w:type="dxa"/>
            <w:tcBorders>
              <w:top w:val="nil"/>
              <w:left w:val="nil"/>
              <w:bottom w:val="single" w:sz="4" w:space="0" w:color="auto"/>
              <w:right w:val="single" w:sz="4" w:space="0" w:color="auto"/>
            </w:tcBorders>
            <w:shd w:val="clear" w:color="auto" w:fill="auto"/>
            <w:noWrap/>
            <w:vAlign w:val="center"/>
            <w:hideMark/>
          </w:tcPr>
          <w:p w14:paraId="755D31B9"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961" w:type="dxa"/>
            <w:tcBorders>
              <w:top w:val="nil"/>
              <w:left w:val="nil"/>
              <w:bottom w:val="single" w:sz="4" w:space="0" w:color="auto"/>
              <w:right w:val="nil"/>
            </w:tcBorders>
            <w:shd w:val="clear" w:color="auto" w:fill="auto"/>
            <w:noWrap/>
            <w:vAlign w:val="bottom"/>
            <w:hideMark/>
          </w:tcPr>
          <w:p w14:paraId="13498B5C"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214</w:t>
            </w:r>
          </w:p>
        </w:tc>
        <w:tc>
          <w:tcPr>
            <w:tcW w:w="1308" w:type="dxa"/>
            <w:tcBorders>
              <w:top w:val="nil"/>
              <w:left w:val="nil"/>
              <w:bottom w:val="single" w:sz="4" w:space="0" w:color="auto"/>
              <w:right w:val="nil"/>
            </w:tcBorders>
            <w:shd w:val="clear" w:color="auto" w:fill="auto"/>
            <w:noWrap/>
            <w:vAlign w:val="center"/>
            <w:hideMark/>
          </w:tcPr>
          <w:p w14:paraId="0773F35C"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r>
      <w:tr w:rsidR="00B64E96" w:rsidRPr="00730B1E" w14:paraId="2CD79587" w14:textId="77777777" w:rsidTr="00804369">
        <w:trPr>
          <w:trHeight w:val="315"/>
        </w:trPr>
        <w:tc>
          <w:tcPr>
            <w:tcW w:w="2440" w:type="dxa"/>
            <w:tcBorders>
              <w:top w:val="nil"/>
              <w:left w:val="nil"/>
              <w:bottom w:val="single" w:sz="4" w:space="0" w:color="auto"/>
              <w:right w:val="nil"/>
            </w:tcBorders>
            <w:shd w:val="clear" w:color="auto" w:fill="auto"/>
            <w:noWrap/>
            <w:vAlign w:val="bottom"/>
            <w:hideMark/>
          </w:tcPr>
          <w:p w14:paraId="241CFAED" w14:textId="77777777" w:rsidR="00804369" w:rsidRPr="00730B1E" w:rsidRDefault="00804369" w:rsidP="00804369">
            <w:pPr>
              <w:spacing w:line="240" w:lineRule="auto"/>
              <w:jc w:val="left"/>
              <w:rPr>
                <w:rFonts w:eastAsia="Times New Roman"/>
                <w:szCs w:val="24"/>
                <w:lang w:eastAsia="cs-CZ"/>
              </w:rPr>
            </w:pPr>
            <w:r w:rsidRPr="00730B1E">
              <w:rPr>
                <w:rFonts w:eastAsia="Times New Roman"/>
                <w:szCs w:val="24"/>
                <w:lang w:eastAsia="cs-CZ"/>
              </w:rPr>
              <w:t>KS Brno</w:t>
            </w:r>
          </w:p>
        </w:tc>
        <w:tc>
          <w:tcPr>
            <w:tcW w:w="961" w:type="dxa"/>
            <w:tcBorders>
              <w:top w:val="nil"/>
              <w:left w:val="nil"/>
              <w:bottom w:val="single" w:sz="4" w:space="0" w:color="auto"/>
              <w:right w:val="nil"/>
            </w:tcBorders>
            <w:shd w:val="clear" w:color="auto" w:fill="auto"/>
            <w:noWrap/>
            <w:vAlign w:val="bottom"/>
            <w:hideMark/>
          </w:tcPr>
          <w:p w14:paraId="06D31FFB"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137</w:t>
            </w:r>
          </w:p>
        </w:tc>
        <w:tc>
          <w:tcPr>
            <w:tcW w:w="1292" w:type="dxa"/>
            <w:tcBorders>
              <w:top w:val="nil"/>
              <w:left w:val="nil"/>
              <w:bottom w:val="single" w:sz="4" w:space="0" w:color="auto"/>
              <w:right w:val="nil"/>
            </w:tcBorders>
            <w:shd w:val="clear" w:color="auto" w:fill="auto"/>
            <w:noWrap/>
            <w:vAlign w:val="center"/>
            <w:hideMark/>
          </w:tcPr>
          <w:p w14:paraId="6C7E9767"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666" w:type="dxa"/>
            <w:tcBorders>
              <w:top w:val="nil"/>
              <w:left w:val="single" w:sz="4" w:space="0" w:color="auto"/>
              <w:bottom w:val="single" w:sz="4" w:space="0" w:color="auto"/>
              <w:right w:val="nil"/>
            </w:tcBorders>
            <w:shd w:val="clear" w:color="auto" w:fill="auto"/>
            <w:noWrap/>
            <w:vAlign w:val="bottom"/>
            <w:hideMark/>
          </w:tcPr>
          <w:p w14:paraId="4F834599"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66</w:t>
            </w:r>
          </w:p>
        </w:tc>
        <w:tc>
          <w:tcPr>
            <w:tcW w:w="1292" w:type="dxa"/>
            <w:tcBorders>
              <w:top w:val="nil"/>
              <w:left w:val="nil"/>
              <w:bottom w:val="single" w:sz="4" w:space="0" w:color="auto"/>
              <w:right w:val="single" w:sz="4" w:space="0" w:color="auto"/>
            </w:tcBorders>
            <w:shd w:val="clear" w:color="auto" w:fill="auto"/>
            <w:noWrap/>
            <w:vAlign w:val="center"/>
            <w:hideMark/>
          </w:tcPr>
          <w:p w14:paraId="7A11F018"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961" w:type="dxa"/>
            <w:tcBorders>
              <w:top w:val="nil"/>
              <w:left w:val="nil"/>
              <w:bottom w:val="single" w:sz="4" w:space="0" w:color="auto"/>
              <w:right w:val="nil"/>
            </w:tcBorders>
            <w:shd w:val="clear" w:color="auto" w:fill="auto"/>
            <w:noWrap/>
            <w:vAlign w:val="bottom"/>
            <w:hideMark/>
          </w:tcPr>
          <w:p w14:paraId="1D34D00B"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279</w:t>
            </w:r>
          </w:p>
        </w:tc>
        <w:tc>
          <w:tcPr>
            <w:tcW w:w="1308" w:type="dxa"/>
            <w:tcBorders>
              <w:top w:val="nil"/>
              <w:left w:val="nil"/>
              <w:bottom w:val="single" w:sz="4" w:space="0" w:color="auto"/>
              <w:right w:val="nil"/>
            </w:tcBorders>
            <w:shd w:val="clear" w:color="auto" w:fill="auto"/>
            <w:noWrap/>
            <w:vAlign w:val="center"/>
            <w:hideMark/>
          </w:tcPr>
          <w:p w14:paraId="0E1DEB46"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r>
      <w:tr w:rsidR="00B64E96" w:rsidRPr="00730B1E" w14:paraId="45E7582B" w14:textId="77777777" w:rsidTr="00804369">
        <w:trPr>
          <w:trHeight w:val="330"/>
        </w:trPr>
        <w:tc>
          <w:tcPr>
            <w:tcW w:w="2440" w:type="dxa"/>
            <w:tcBorders>
              <w:top w:val="nil"/>
              <w:left w:val="nil"/>
              <w:bottom w:val="double" w:sz="6" w:space="0" w:color="auto"/>
              <w:right w:val="nil"/>
            </w:tcBorders>
            <w:shd w:val="clear" w:color="auto" w:fill="auto"/>
            <w:noWrap/>
            <w:vAlign w:val="bottom"/>
            <w:hideMark/>
          </w:tcPr>
          <w:p w14:paraId="65901F40" w14:textId="77777777" w:rsidR="00804369" w:rsidRPr="00730B1E" w:rsidRDefault="00804369" w:rsidP="00804369">
            <w:pPr>
              <w:spacing w:line="240" w:lineRule="auto"/>
              <w:jc w:val="left"/>
              <w:rPr>
                <w:rFonts w:eastAsia="Times New Roman"/>
                <w:szCs w:val="24"/>
                <w:lang w:eastAsia="cs-CZ"/>
              </w:rPr>
            </w:pPr>
            <w:r w:rsidRPr="00730B1E">
              <w:rPr>
                <w:rFonts w:eastAsia="Times New Roman"/>
                <w:szCs w:val="24"/>
                <w:lang w:eastAsia="cs-CZ"/>
              </w:rPr>
              <w:t>KS Ostrava</w:t>
            </w:r>
          </w:p>
        </w:tc>
        <w:tc>
          <w:tcPr>
            <w:tcW w:w="961" w:type="dxa"/>
            <w:tcBorders>
              <w:top w:val="nil"/>
              <w:left w:val="nil"/>
              <w:bottom w:val="double" w:sz="6" w:space="0" w:color="auto"/>
              <w:right w:val="nil"/>
            </w:tcBorders>
            <w:shd w:val="clear" w:color="auto" w:fill="auto"/>
            <w:noWrap/>
            <w:vAlign w:val="bottom"/>
            <w:hideMark/>
          </w:tcPr>
          <w:p w14:paraId="650BD7D4"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188</w:t>
            </w:r>
          </w:p>
        </w:tc>
        <w:tc>
          <w:tcPr>
            <w:tcW w:w="1292" w:type="dxa"/>
            <w:tcBorders>
              <w:top w:val="nil"/>
              <w:left w:val="nil"/>
              <w:bottom w:val="double" w:sz="6" w:space="0" w:color="auto"/>
              <w:right w:val="nil"/>
            </w:tcBorders>
            <w:shd w:val="clear" w:color="auto" w:fill="auto"/>
            <w:noWrap/>
            <w:vAlign w:val="center"/>
            <w:hideMark/>
          </w:tcPr>
          <w:p w14:paraId="1263CA58"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666" w:type="dxa"/>
            <w:tcBorders>
              <w:top w:val="nil"/>
              <w:left w:val="single" w:sz="4" w:space="0" w:color="auto"/>
              <w:bottom w:val="double" w:sz="6" w:space="0" w:color="auto"/>
              <w:right w:val="nil"/>
            </w:tcBorders>
            <w:shd w:val="clear" w:color="auto" w:fill="auto"/>
            <w:noWrap/>
            <w:vAlign w:val="bottom"/>
            <w:hideMark/>
          </w:tcPr>
          <w:p w14:paraId="19563BC8"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85</w:t>
            </w:r>
          </w:p>
        </w:tc>
        <w:tc>
          <w:tcPr>
            <w:tcW w:w="1292" w:type="dxa"/>
            <w:tcBorders>
              <w:top w:val="nil"/>
              <w:left w:val="nil"/>
              <w:bottom w:val="double" w:sz="6" w:space="0" w:color="auto"/>
              <w:right w:val="single" w:sz="4" w:space="0" w:color="auto"/>
            </w:tcBorders>
            <w:shd w:val="clear" w:color="auto" w:fill="auto"/>
            <w:noWrap/>
            <w:vAlign w:val="center"/>
            <w:hideMark/>
          </w:tcPr>
          <w:p w14:paraId="1C4028C5"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961" w:type="dxa"/>
            <w:tcBorders>
              <w:top w:val="nil"/>
              <w:left w:val="nil"/>
              <w:bottom w:val="double" w:sz="6" w:space="0" w:color="auto"/>
              <w:right w:val="nil"/>
            </w:tcBorders>
            <w:shd w:val="clear" w:color="auto" w:fill="auto"/>
            <w:noWrap/>
            <w:vAlign w:val="bottom"/>
            <w:hideMark/>
          </w:tcPr>
          <w:p w14:paraId="6468E17C" w14:textId="77777777" w:rsidR="00804369" w:rsidRPr="00730B1E" w:rsidRDefault="00804369" w:rsidP="00804369">
            <w:pPr>
              <w:spacing w:line="240" w:lineRule="auto"/>
              <w:jc w:val="center"/>
              <w:rPr>
                <w:rFonts w:eastAsia="Times New Roman"/>
                <w:szCs w:val="24"/>
                <w:lang w:eastAsia="cs-CZ"/>
              </w:rPr>
            </w:pPr>
            <w:r w:rsidRPr="00730B1E">
              <w:rPr>
                <w:rFonts w:eastAsia="Times New Roman"/>
                <w:szCs w:val="24"/>
                <w:lang w:eastAsia="cs-CZ"/>
              </w:rPr>
              <w:t>434</w:t>
            </w:r>
          </w:p>
        </w:tc>
        <w:tc>
          <w:tcPr>
            <w:tcW w:w="1308" w:type="dxa"/>
            <w:tcBorders>
              <w:top w:val="nil"/>
              <w:left w:val="nil"/>
              <w:bottom w:val="double" w:sz="6" w:space="0" w:color="auto"/>
              <w:right w:val="nil"/>
            </w:tcBorders>
            <w:shd w:val="clear" w:color="auto" w:fill="auto"/>
            <w:noWrap/>
            <w:vAlign w:val="center"/>
            <w:hideMark/>
          </w:tcPr>
          <w:p w14:paraId="269F3CAC" w14:textId="77777777" w:rsidR="00804369" w:rsidRPr="00730B1E" w:rsidRDefault="00804369" w:rsidP="00804369">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r>
      <w:tr w:rsidR="00B64E96" w:rsidRPr="00730B1E" w14:paraId="44397502" w14:textId="77777777" w:rsidTr="00804369">
        <w:trPr>
          <w:trHeight w:val="345"/>
        </w:trPr>
        <w:tc>
          <w:tcPr>
            <w:tcW w:w="2440" w:type="dxa"/>
            <w:tcBorders>
              <w:top w:val="nil"/>
              <w:left w:val="nil"/>
              <w:bottom w:val="double" w:sz="6" w:space="0" w:color="auto"/>
              <w:right w:val="nil"/>
            </w:tcBorders>
            <w:shd w:val="clear" w:color="auto" w:fill="auto"/>
            <w:noWrap/>
            <w:vAlign w:val="bottom"/>
            <w:hideMark/>
          </w:tcPr>
          <w:p w14:paraId="572E409D" w14:textId="77777777" w:rsidR="00804369" w:rsidRPr="00730B1E" w:rsidRDefault="00804369" w:rsidP="00804369">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961" w:type="dxa"/>
            <w:tcBorders>
              <w:top w:val="nil"/>
              <w:left w:val="nil"/>
              <w:bottom w:val="double" w:sz="6" w:space="0" w:color="auto"/>
              <w:right w:val="nil"/>
            </w:tcBorders>
            <w:shd w:val="clear" w:color="auto" w:fill="auto"/>
            <w:noWrap/>
            <w:vAlign w:val="bottom"/>
            <w:hideMark/>
          </w:tcPr>
          <w:p w14:paraId="24719C75" w14:textId="77777777" w:rsidR="00804369" w:rsidRPr="00730B1E" w:rsidRDefault="00804369" w:rsidP="00804369">
            <w:pPr>
              <w:spacing w:line="240" w:lineRule="auto"/>
              <w:jc w:val="center"/>
              <w:rPr>
                <w:rFonts w:eastAsia="Times New Roman"/>
                <w:b/>
                <w:bCs/>
                <w:szCs w:val="24"/>
                <w:lang w:eastAsia="cs-CZ"/>
              </w:rPr>
            </w:pPr>
            <w:r w:rsidRPr="00730B1E">
              <w:rPr>
                <w:rFonts w:eastAsia="Times New Roman"/>
                <w:b/>
                <w:bCs/>
                <w:szCs w:val="24"/>
                <w:lang w:eastAsia="cs-CZ"/>
              </w:rPr>
              <w:t>165</w:t>
            </w:r>
          </w:p>
        </w:tc>
        <w:tc>
          <w:tcPr>
            <w:tcW w:w="1292" w:type="dxa"/>
            <w:tcBorders>
              <w:top w:val="nil"/>
              <w:left w:val="nil"/>
              <w:bottom w:val="double" w:sz="6" w:space="0" w:color="auto"/>
              <w:right w:val="nil"/>
            </w:tcBorders>
            <w:shd w:val="clear" w:color="auto" w:fill="auto"/>
            <w:noWrap/>
            <w:vAlign w:val="center"/>
            <w:hideMark/>
          </w:tcPr>
          <w:p w14:paraId="358BEAAE" w14:textId="77777777" w:rsidR="00804369" w:rsidRPr="00730B1E" w:rsidRDefault="00804369" w:rsidP="0080436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-10 %  </w:t>
            </w:r>
          </w:p>
        </w:tc>
        <w:tc>
          <w:tcPr>
            <w:tcW w:w="666" w:type="dxa"/>
            <w:tcBorders>
              <w:top w:val="nil"/>
              <w:left w:val="single" w:sz="4" w:space="0" w:color="auto"/>
              <w:bottom w:val="double" w:sz="6" w:space="0" w:color="auto"/>
              <w:right w:val="nil"/>
            </w:tcBorders>
            <w:shd w:val="clear" w:color="auto" w:fill="auto"/>
            <w:noWrap/>
            <w:vAlign w:val="bottom"/>
            <w:hideMark/>
          </w:tcPr>
          <w:p w14:paraId="53B6D533" w14:textId="77777777" w:rsidR="00804369" w:rsidRPr="00730B1E" w:rsidRDefault="00804369" w:rsidP="00804369">
            <w:pPr>
              <w:spacing w:line="240" w:lineRule="auto"/>
              <w:jc w:val="center"/>
              <w:rPr>
                <w:rFonts w:eastAsia="Times New Roman"/>
                <w:b/>
                <w:bCs/>
                <w:szCs w:val="24"/>
                <w:lang w:eastAsia="cs-CZ"/>
              </w:rPr>
            </w:pPr>
            <w:r w:rsidRPr="00730B1E">
              <w:rPr>
                <w:rFonts w:eastAsia="Times New Roman"/>
                <w:b/>
                <w:bCs/>
                <w:szCs w:val="24"/>
                <w:lang w:eastAsia="cs-CZ"/>
              </w:rPr>
              <w:t>75</w:t>
            </w:r>
          </w:p>
        </w:tc>
        <w:tc>
          <w:tcPr>
            <w:tcW w:w="1292" w:type="dxa"/>
            <w:tcBorders>
              <w:top w:val="nil"/>
              <w:left w:val="nil"/>
              <w:bottom w:val="double" w:sz="6" w:space="0" w:color="auto"/>
              <w:right w:val="single" w:sz="4" w:space="0" w:color="auto"/>
            </w:tcBorders>
            <w:shd w:val="clear" w:color="auto" w:fill="auto"/>
            <w:noWrap/>
            <w:vAlign w:val="center"/>
            <w:hideMark/>
          </w:tcPr>
          <w:p w14:paraId="281DE404" w14:textId="77777777" w:rsidR="00804369" w:rsidRPr="00730B1E" w:rsidRDefault="00804369" w:rsidP="0080436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-7 %  </w:t>
            </w:r>
          </w:p>
        </w:tc>
        <w:tc>
          <w:tcPr>
            <w:tcW w:w="961" w:type="dxa"/>
            <w:tcBorders>
              <w:top w:val="nil"/>
              <w:left w:val="nil"/>
              <w:bottom w:val="double" w:sz="6" w:space="0" w:color="auto"/>
              <w:right w:val="nil"/>
            </w:tcBorders>
            <w:shd w:val="clear" w:color="auto" w:fill="auto"/>
            <w:noWrap/>
            <w:vAlign w:val="bottom"/>
            <w:hideMark/>
          </w:tcPr>
          <w:p w14:paraId="1DC122CE" w14:textId="77777777" w:rsidR="00804369" w:rsidRPr="00730B1E" w:rsidRDefault="00804369" w:rsidP="00804369">
            <w:pPr>
              <w:spacing w:line="240" w:lineRule="auto"/>
              <w:jc w:val="center"/>
              <w:rPr>
                <w:rFonts w:eastAsia="Times New Roman"/>
                <w:b/>
                <w:bCs/>
                <w:szCs w:val="24"/>
                <w:lang w:eastAsia="cs-CZ"/>
              </w:rPr>
            </w:pPr>
            <w:r w:rsidRPr="00730B1E">
              <w:rPr>
                <w:rFonts w:eastAsia="Times New Roman"/>
                <w:b/>
                <w:bCs/>
                <w:szCs w:val="24"/>
                <w:lang w:eastAsia="cs-CZ"/>
              </w:rPr>
              <w:t>351</w:t>
            </w:r>
          </w:p>
        </w:tc>
        <w:tc>
          <w:tcPr>
            <w:tcW w:w="1308" w:type="dxa"/>
            <w:tcBorders>
              <w:top w:val="nil"/>
              <w:left w:val="nil"/>
              <w:bottom w:val="double" w:sz="6" w:space="0" w:color="auto"/>
              <w:right w:val="nil"/>
            </w:tcBorders>
            <w:shd w:val="clear" w:color="auto" w:fill="auto"/>
            <w:noWrap/>
            <w:vAlign w:val="center"/>
            <w:hideMark/>
          </w:tcPr>
          <w:p w14:paraId="1560F8E7" w14:textId="77777777" w:rsidR="00804369" w:rsidRPr="00730B1E" w:rsidRDefault="00804369" w:rsidP="0080436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-20 %  </w:t>
            </w:r>
          </w:p>
        </w:tc>
      </w:tr>
      <w:tr w:rsidR="00B64E96" w:rsidRPr="00730B1E" w14:paraId="666F679B" w14:textId="77777777" w:rsidTr="00804369">
        <w:trPr>
          <w:trHeight w:val="330"/>
        </w:trPr>
        <w:tc>
          <w:tcPr>
            <w:tcW w:w="2440" w:type="dxa"/>
            <w:tcBorders>
              <w:top w:val="nil"/>
              <w:left w:val="nil"/>
              <w:bottom w:val="nil"/>
              <w:right w:val="nil"/>
            </w:tcBorders>
            <w:shd w:val="clear" w:color="auto" w:fill="auto"/>
            <w:noWrap/>
            <w:vAlign w:val="bottom"/>
            <w:hideMark/>
          </w:tcPr>
          <w:p w14:paraId="6B4AA551" w14:textId="77777777" w:rsidR="00804369" w:rsidRPr="00730B1E" w:rsidRDefault="00804369" w:rsidP="00804369">
            <w:pPr>
              <w:spacing w:line="240" w:lineRule="auto"/>
              <w:jc w:val="center"/>
              <w:rPr>
                <w:rFonts w:eastAsia="Times New Roman"/>
                <w:b/>
                <w:bCs/>
                <w:sz w:val="20"/>
                <w:szCs w:val="20"/>
                <w:lang w:eastAsia="cs-CZ"/>
              </w:rPr>
            </w:pPr>
          </w:p>
        </w:tc>
        <w:tc>
          <w:tcPr>
            <w:tcW w:w="961" w:type="dxa"/>
            <w:tcBorders>
              <w:top w:val="nil"/>
              <w:left w:val="nil"/>
              <w:bottom w:val="nil"/>
              <w:right w:val="nil"/>
            </w:tcBorders>
            <w:shd w:val="clear" w:color="auto" w:fill="auto"/>
            <w:noWrap/>
            <w:vAlign w:val="bottom"/>
            <w:hideMark/>
          </w:tcPr>
          <w:p w14:paraId="29B4FB3B" w14:textId="77777777" w:rsidR="00804369" w:rsidRPr="00DF07F3" w:rsidRDefault="00804369" w:rsidP="00804369">
            <w:pPr>
              <w:spacing w:line="240" w:lineRule="auto"/>
              <w:jc w:val="left"/>
              <w:rPr>
                <w:sz w:val="20"/>
              </w:rPr>
            </w:pPr>
          </w:p>
        </w:tc>
        <w:tc>
          <w:tcPr>
            <w:tcW w:w="1292" w:type="dxa"/>
            <w:tcBorders>
              <w:top w:val="nil"/>
              <w:left w:val="nil"/>
              <w:bottom w:val="nil"/>
              <w:right w:val="nil"/>
            </w:tcBorders>
            <w:shd w:val="clear" w:color="auto" w:fill="auto"/>
            <w:noWrap/>
            <w:vAlign w:val="bottom"/>
            <w:hideMark/>
          </w:tcPr>
          <w:p w14:paraId="1F16C201" w14:textId="77777777" w:rsidR="00804369" w:rsidRPr="00DF07F3" w:rsidRDefault="00804369" w:rsidP="00804369">
            <w:pPr>
              <w:spacing w:line="240" w:lineRule="auto"/>
              <w:jc w:val="left"/>
              <w:rPr>
                <w:sz w:val="20"/>
              </w:rPr>
            </w:pPr>
          </w:p>
        </w:tc>
        <w:tc>
          <w:tcPr>
            <w:tcW w:w="666" w:type="dxa"/>
            <w:tcBorders>
              <w:top w:val="nil"/>
              <w:left w:val="nil"/>
              <w:bottom w:val="nil"/>
              <w:right w:val="nil"/>
            </w:tcBorders>
            <w:shd w:val="clear" w:color="auto" w:fill="auto"/>
            <w:noWrap/>
            <w:vAlign w:val="bottom"/>
            <w:hideMark/>
          </w:tcPr>
          <w:p w14:paraId="471D6359" w14:textId="77777777" w:rsidR="00804369" w:rsidRPr="00DF07F3" w:rsidRDefault="00804369" w:rsidP="00804369">
            <w:pPr>
              <w:spacing w:line="240" w:lineRule="auto"/>
              <w:jc w:val="left"/>
              <w:rPr>
                <w:sz w:val="20"/>
              </w:rPr>
            </w:pPr>
          </w:p>
        </w:tc>
        <w:tc>
          <w:tcPr>
            <w:tcW w:w="1292" w:type="dxa"/>
            <w:tcBorders>
              <w:top w:val="nil"/>
              <w:left w:val="nil"/>
              <w:bottom w:val="nil"/>
              <w:right w:val="nil"/>
            </w:tcBorders>
            <w:shd w:val="clear" w:color="auto" w:fill="auto"/>
            <w:noWrap/>
            <w:vAlign w:val="bottom"/>
            <w:hideMark/>
          </w:tcPr>
          <w:p w14:paraId="4D793602" w14:textId="77777777" w:rsidR="00804369" w:rsidRPr="00DF07F3" w:rsidRDefault="00804369" w:rsidP="00804369">
            <w:pPr>
              <w:spacing w:line="240" w:lineRule="auto"/>
              <w:jc w:val="left"/>
              <w:rPr>
                <w:sz w:val="20"/>
              </w:rPr>
            </w:pPr>
          </w:p>
        </w:tc>
        <w:tc>
          <w:tcPr>
            <w:tcW w:w="961" w:type="dxa"/>
            <w:tcBorders>
              <w:top w:val="nil"/>
              <w:left w:val="nil"/>
              <w:bottom w:val="nil"/>
              <w:right w:val="nil"/>
            </w:tcBorders>
            <w:shd w:val="clear" w:color="auto" w:fill="auto"/>
            <w:noWrap/>
            <w:vAlign w:val="bottom"/>
            <w:hideMark/>
          </w:tcPr>
          <w:p w14:paraId="3E19BB0D" w14:textId="77777777" w:rsidR="00804369" w:rsidRPr="00DF07F3" w:rsidRDefault="00804369" w:rsidP="00804369">
            <w:pPr>
              <w:spacing w:line="240" w:lineRule="auto"/>
              <w:jc w:val="left"/>
              <w:rPr>
                <w:sz w:val="20"/>
              </w:rPr>
            </w:pPr>
          </w:p>
        </w:tc>
        <w:tc>
          <w:tcPr>
            <w:tcW w:w="1308" w:type="dxa"/>
            <w:tcBorders>
              <w:top w:val="nil"/>
              <w:left w:val="nil"/>
              <w:bottom w:val="nil"/>
              <w:right w:val="nil"/>
            </w:tcBorders>
            <w:shd w:val="clear" w:color="auto" w:fill="auto"/>
            <w:noWrap/>
            <w:vAlign w:val="bottom"/>
            <w:hideMark/>
          </w:tcPr>
          <w:p w14:paraId="7C29B0C5" w14:textId="77777777" w:rsidR="00804369" w:rsidRPr="00DF07F3" w:rsidRDefault="00804369" w:rsidP="00804369">
            <w:pPr>
              <w:spacing w:line="240" w:lineRule="auto"/>
              <w:jc w:val="left"/>
              <w:rPr>
                <w:sz w:val="20"/>
              </w:rPr>
            </w:pPr>
          </w:p>
        </w:tc>
      </w:tr>
    </w:tbl>
    <w:p w14:paraId="657D4758" w14:textId="744B98E4" w:rsidR="00C54B62" w:rsidRPr="00730B1E" w:rsidRDefault="00C54B62" w:rsidP="00C54B62">
      <w:pPr>
        <w:pStyle w:val="OdstavecASR"/>
      </w:pPr>
      <w:r w:rsidRPr="00730B1E">
        <w:t>Nejdelší řízení stále vykazují stejně jako u civilního řízení</w:t>
      </w:r>
      <w:r w:rsidRPr="00730B1E" w:rsidDel="00120082">
        <w:t xml:space="preserve"> </w:t>
      </w:r>
      <w:r w:rsidRPr="00730B1E">
        <w:t>okresní soudy v Severočeském kraji. Dochází ale ke zmenšování odstupu od ostatních krajů. Délky řízení u okresních soudů v ostatních krajích jsou poměrně vyrovnané. Tři soudy s nejkratší mediánovou délkou řízení jsou OS Svitavy (35 dnů), OS Ústí nad Orlicí (37 dnů) a OS Domažlice (41 dnů). Délky řízení u nejpomalejších soudů byly v tomto roce asi pětkrát až šestkrát vyšší – OS Chomutov (1</w:t>
      </w:r>
      <w:r w:rsidR="003712D1" w:rsidRPr="00730B1E">
        <w:t>60</w:t>
      </w:r>
      <w:r w:rsidRPr="00730B1E">
        <w:t xml:space="preserve"> dnů), </w:t>
      </w:r>
      <w:r w:rsidR="00901B76" w:rsidRPr="00730B1E">
        <w:t xml:space="preserve">OS </w:t>
      </w:r>
      <w:r w:rsidR="0006519A" w:rsidRPr="00730B1E">
        <w:t>Uherské Hradiště</w:t>
      </w:r>
      <w:r w:rsidRPr="00730B1E">
        <w:t xml:space="preserve"> (1</w:t>
      </w:r>
      <w:r w:rsidR="003712D1" w:rsidRPr="00730B1E">
        <w:t>30</w:t>
      </w:r>
      <w:r w:rsidRPr="00730B1E">
        <w:t xml:space="preserve"> dnů) a OS </w:t>
      </w:r>
      <w:r w:rsidR="0006519A" w:rsidRPr="00730B1E">
        <w:t>Liberec</w:t>
      </w:r>
      <w:r w:rsidRPr="00730B1E">
        <w:t xml:space="preserve"> (1</w:t>
      </w:r>
      <w:r w:rsidR="003712D1" w:rsidRPr="00730B1E">
        <w:t>24</w:t>
      </w:r>
      <w:r w:rsidRPr="00730B1E">
        <w:t> dnů). Za zmínku dále rozhodně stojí vylepšení statistik u OS v Ústí nad Labem. Tento soud „tradičně“ patřil mezi 3 soudy s nejdelší délkou řízení. V roce 2019 již byla jeho délka řízení pod 200 dny (přesně řečeno 187 dnů), tedy pod celorepublikovým průměrem. V roce 2020 si délku řízení pod 200 dnů udržel (190 dnů)</w:t>
      </w:r>
      <w:r w:rsidR="00901B76" w:rsidRPr="00730B1E">
        <w:t>,</w:t>
      </w:r>
      <w:r w:rsidRPr="00730B1E">
        <w:t xml:space="preserve"> v roce 2021 vykázal mediánovou délku řízení 142 dnů</w:t>
      </w:r>
      <w:r w:rsidR="00901B76" w:rsidRPr="00730B1E">
        <w:t>,</w:t>
      </w:r>
      <w:r w:rsidRPr="00730B1E">
        <w:t xml:space="preserve"> v roce 2022 </w:t>
      </w:r>
      <w:r w:rsidR="00901B76" w:rsidRPr="00730B1E">
        <w:t>pak už</w:t>
      </w:r>
      <w:r w:rsidRPr="00730B1E">
        <w:t xml:space="preserve"> jen 104 dnů.</w:t>
      </w:r>
      <w:r w:rsidR="0006519A" w:rsidRPr="00730B1E">
        <w:t xml:space="preserve"> V roce 2023 se „dostal“ pod 100 dnů s délkou řízení 97 dnů.</w:t>
      </w:r>
    </w:p>
    <w:p w14:paraId="1226DDBA" w14:textId="77777777" w:rsidR="00C54B62" w:rsidRPr="00730B1E" w:rsidRDefault="00C54B62" w:rsidP="00C54B62">
      <w:pPr>
        <w:spacing w:after="160" w:line="259" w:lineRule="auto"/>
        <w:jc w:val="left"/>
        <w:rPr>
          <w:rFonts w:eastAsia="Times New Roman"/>
          <w:b/>
          <w:iCs/>
          <w:spacing w:val="15"/>
          <w:szCs w:val="24"/>
        </w:rPr>
      </w:pPr>
      <w:r w:rsidRPr="00730B1E">
        <w:br w:type="page"/>
      </w:r>
    </w:p>
    <w:p w14:paraId="284DF3B4" w14:textId="7398330A" w:rsidR="00C54B62" w:rsidRPr="00730B1E" w:rsidRDefault="00C54B62" w:rsidP="00C54B62">
      <w:pPr>
        <w:pStyle w:val="Podnadpis"/>
        <w:rPr>
          <w:color w:val="auto"/>
        </w:rPr>
      </w:pPr>
      <w:bookmarkStart w:id="357" w:name="_Toc144104133"/>
      <w:bookmarkStart w:id="358" w:name="_Toc169250941"/>
      <w:bookmarkStart w:id="359" w:name="_Toc174080627"/>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22</w:t>
      </w:r>
      <w:r w:rsidRPr="00730B1E">
        <w:rPr>
          <w:color w:val="auto"/>
        </w:rPr>
        <w:fldChar w:fldCharType="end"/>
      </w:r>
      <w:r w:rsidRPr="00730B1E">
        <w:rPr>
          <w:color w:val="auto"/>
        </w:rPr>
        <w:t>: OS – mediánové délky trestního řízení u jednotlivých soudů</w:t>
      </w:r>
      <w:bookmarkEnd w:id="357"/>
      <w:r w:rsidR="002263C3" w:rsidRPr="00730B1E">
        <w:rPr>
          <w:color w:val="auto"/>
        </w:rPr>
        <w:t>, 2023</w:t>
      </w:r>
      <w:bookmarkEnd w:id="358"/>
      <w:bookmarkEnd w:id="359"/>
    </w:p>
    <w:p w14:paraId="25535B71" w14:textId="2959174A" w:rsidR="00804369" w:rsidRPr="00730B1E" w:rsidRDefault="002B4004" w:rsidP="00BC264E">
      <w:pPr>
        <w:pStyle w:val="OdstavecASR"/>
      </w:pPr>
      <w:r w:rsidRPr="00730B1E">
        <w:rPr>
          <w:noProof/>
          <w:lang w:eastAsia="cs-CZ"/>
        </w:rPr>
        <w:drawing>
          <wp:anchor distT="0" distB="0" distL="114300" distR="114300" simplePos="0" relativeHeight="251668480" behindDoc="0" locked="0" layoutInCell="1" allowOverlap="1" wp14:anchorId="029C20C3" wp14:editId="4AAA046B">
            <wp:simplePos x="0" y="0"/>
            <wp:positionH relativeFrom="margin">
              <wp:posOffset>4530646</wp:posOffset>
            </wp:positionH>
            <wp:positionV relativeFrom="paragraph">
              <wp:posOffset>61595</wp:posOffset>
            </wp:positionV>
            <wp:extent cx="1218009" cy="885825"/>
            <wp:effectExtent l="0" t="0" r="1270" b="0"/>
            <wp:wrapNone/>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18976" cy="886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B1E">
        <w:rPr>
          <w:noProof/>
          <w:lang w:eastAsia="cs-CZ"/>
        </w:rPr>
        <w:drawing>
          <wp:inline distT="0" distB="0" distL="0" distR="0" wp14:anchorId="65D86E58" wp14:editId="61012045">
            <wp:extent cx="5760720" cy="329692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42A58F3A" w14:textId="77777777" w:rsidR="00CF6022" w:rsidRPr="00730B1E" w:rsidRDefault="00CF6022" w:rsidP="00C54B62">
      <w:pPr>
        <w:pStyle w:val="Podnadpis"/>
        <w:rPr>
          <w:color w:val="auto"/>
        </w:rPr>
      </w:pPr>
      <w:bookmarkStart w:id="360" w:name="_Toc43841402"/>
      <w:bookmarkStart w:id="361" w:name="_Toc75952204"/>
      <w:bookmarkStart w:id="362" w:name="_Toc106106657"/>
      <w:bookmarkStart w:id="363" w:name="_Toc144104134"/>
    </w:p>
    <w:p w14:paraId="3E359DD0" w14:textId="4ABE849C" w:rsidR="00C54B62" w:rsidRPr="00730B1E" w:rsidRDefault="00C54B62" w:rsidP="00C54B62">
      <w:pPr>
        <w:pStyle w:val="Podnadpis"/>
        <w:rPr>
          <w:color w:val="auto"/>
        </w:rPr>
      </w:pPr>
      <w:bookmarkStart w:id="364" w:name="_Toc169250942"/>
      <w:bookmarkStart w:id="365" w:name="_Toc17408062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23</w:t>
      </w:r>
      <w:r w:rsidRPr="00730B1E">
        <w:rPr>
          <w:color w:val="auto"/>
        </w:rPr>
        <w:fldChar w:fldCharType="end"/>
      </w:r>
      <w:r w:rsidRPr="00730B1E">
        <w:rPr>
          <w:color w:val="auto"/>
        </w:rPr>
        <w:t>: OS – krabicové grafy, mediánové délky trestního řízení</w:t>
      </w:r>
      <w:bookmarkEnd w:id="360"/>
      <w:bookmarkEnd w:id="361"/>
      <w:bookmarkEnd w:id="362"/>
      <w:bookmarkEnd w:id="363"/>
      <w:bookmarkEnd w:id="364"/>
      <w:bookmarkEnd w:id="365"/>
    </w:p>
    <w:p w14:paraId="63338485" w14:textId="25B07180" w:rsidR="00C54B62" w:rsidRPr="00730B1E" w:rsidRDefault="00C54B62" w:rsidP="00BC264E">
      <w:pPr>
        <w:pStyle w:val="OdstavecASR"/>
      </w:pPr>
      <w:r w:rsidRPr="00730B1E">
        <w:rPr>
          <w:noProof/>
          <w:lang w:eastAsia="cs-CZ"/>
        </w:rPr>
        <w:drawing>
          <wp:inline distT="0" distB="0" distL="0" distR="0" wp14:anchorId="1482C1F2" wp14:editId="50D565D5">
            <wp:extent cx="5029200" cy="365760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EEAAB7C" w14:textId="77777777" w:rsidR="00CF6022" w:rsidRPr="00730B1E" w:rsidRDefault="00CF6022" w:rsidP="00CF6022">
      <w:pPr>
        <w:pStyle w:val="OdstavecASR"/>
      </w:pPr>
    </w:p>
    <w:p w14:paraId="64747E22" w14:textId="0D7DC576" w:rsidR="00CF6022" w:rsidRPr="00730B1E" w:rsidRDefault="00A40F2C" w:rsidP="00CF6022">
      <w:pPr>
        <w:pStyle w:val="OdstavecASR"/>
      </w:pPr>
      <w:r w:rsidRPr="00730B1E">
        <w:t xml:space="preserve">Nejprve upozorňujeme na změnu měřítka „počet dnů“ oproti roku 2022, a to ze stejných důvodů, jako tomu je u kartogramu. </w:t>
      </w:r>
      <w:r w:rsidR="00CF6022" w:rsidRPr="00730B1E">
        <w:t>Z</w:t>
      </w:r>
      <w:r w:rsidRPr="00730B1E">
        <w:t xml:space="preserve"> nového </w:t>
      </w:r>
      <w:r w:rsidR="00CF6022" w:rsidRPr="00730B1E">
        <w:t xml:space="preserve">krabicového grafu vidíme, že rozdíly mezi soudy se v letech 2018 až 2021 příliš neměnily. V roce 2018 však přeci jen došlo ke zlepšení u nejpomalejších soudů, kdy se odlehlé hodnoty přiblížily „ke krabici“. V roce 2019 se z hlediska variability oproti roku 2018 </w:t>
      </w:r>
      <w:r w:rsidR="00CF6022" w:rsidRPr="00730B1E">
        <w:lastRenderedPageBreak/>
        <w:t xml:space="preserve">nic nezměnilo. </w:t>
      </w:r>
      <w:r w:rsidR="00901B76" w:rsidRPr="00730B1E">
        <w:t>K</w:t>
      </w:r>
      <w:r w:rsidR="00CF6022" w:rsidRPr="00730B1E">
        <w:t xml:space="preserve">lesla </w:t>
      </w:r>
      <w:r w:rsidR="00901B76" w:rsidRPr="00730B1E">
        <w:t>sice</w:t>
      </w:r>
      <w:r w:rsidR="00CF6022" w:rsidRPr="00730B1E">
        <w:t xml:space="preserve"> délka řízení u některých nejpomalejších soudů, u jiných soudů ale vzrostla, a tak je zlepšující se soudy vlastně „nahradily“. V roce 2020 došlo k mírnému snížení variability. Několik odlehlých hodnot je nyní v boxu. Pouze jeden soud (OS Děčín) vykazoval délku řízení přes 200 dnů, a jak je vidět na grafu, jedn</w:t>
      </w:r>
      <w:r w:rsidR="00901B76" w:rsidRPr="00730B1E">
        <w:t>alo</w:t>
      </w:r>
      <w:r w:rsidR="00CF6022" w:rsidRPr="00730B1E">
        <w:t xml:space="preserve"> se o bod, který je zdaleka nejdále od boxu. V roce 2021 pak „odskočily“ dva body (soudy), a to OS Děčín a OS Chomutov, kde se délka řízení v roce 2021 prodloužila. Celkové snížení délky řízení v roce 2022 se odrazilo i v krabicovém grafu, kdy se celý box posunul dolů. Rovněž se k němu značně přiblížily odlehlé hodnoty, což je pozitivní jev ukazující na snižování variability mezi soudy. V roce 2023 tento pozitivní jev pokračoval, když se box i vousy zmenšily </w:t>
      </w:r>
      <w:r w:rsidR="00CF5DA7" w:rsidRPr="00730B1E">
        <w:t>a </w:t>
      </w:r>
      <w:r w:rsidR="00CF6022" w:rsidRPr="00730B1E">
        <w:t>zbyla pouze jediná odlehlá hodnota – OS v Chomutově.</w:t>
      </w:r>
      <w:r w:rsidRPr="00730B1E">
        <w:t xml:space="preserve"> </w:t>
      </w:r>
    </w:p>
    <w:p w14:paraId="2C3C3B3B" w14:textId="6643DCF9" w:rsidR="00CF6022" w:rsidRPr="00730B1E" w:rsidRDefault="00CF6022" w:rsidP="00CF6022">
      <w:pPr>
        <w:pStyle w:val="OdstavecASR"/>
      </w:pPr>
      <w:r w:rsidRPr="00730B1E">
        <w:t xml:space="preserve">Stejně jako u civilního řízení se na délky řízení v roce 2022 </w:t>
      </w:r>
      <w:r w:rsidR="00B71D7F" w:rsidRPr="00730B1E">
        <w:t>zaměříme</w:t>
      </w:r>
      <w:r w:rsidRPr="00730B1E">
        <w:t xml:space="preserve"> ještě pomocí histogramu. Šířka jednoho intervalu (sloupce) je 25 dnů. Pro lepší přehlednost uvádíme všechny délky řízení delší než 800 dnů v jednom sloupci (na grafu nejvíce vpravo). Proto je tento sloupec výrazně „vyšší“ než sloupce předchozí. Distribuce délek se oproti předchozím letům mírně změnila (lze říci</w:t>
      </w:r>
      <w:r w:rsidR="00C66CA6" w:rsidRPr="00730B1E">
        <w:t>,</w:t>
      </w:r>
      <w:r w:rsidRPr="00730B1E">
        <w:t xml:space="preserve"> že se zlepšila).</w:t>
      </w:r>
    </w:p>
    <w:p w14:paraId="1DB904DA" w14:textId="77777777" w:rsidR="00CF6022" w:rsidRPr="00730B1E" w:rsidRDefault="00CF6022" w:rsidP="00A94F8F">
      <w:pPr>
        <w:pStyle w:val="Odstavecseseznamem"/>
        <w:numPr>
          <w:ilvl w:val="0"/>
          <w:numId w:val="6"/>
        </w:numPr>
      </w:pPr>
      <w:r w:rsidRPr="00730B1E">
        <w:t>Jen 4 % věcí bylo vyřízeno za více než 800 dnů.</w:t>
      </w:r>
    </w:p>
    <w:p w14:paraId="5DFBDE6F" w14:textId="049F5318" w:rsidR="00CF6022" w:rsidRPr="00730B1E" w:rsidRDefault="00CF6022" w:rsidP="00A94F8F">
      <w:pPr>
        <w:pStyle w:val="Odstavecseseznamem"/>
        <w:numPr>
          <w:ilvl w:val="0"/>
          <w:numId w:val="5"/>
        </w:numPr>
        <w:ind w:left="714" w:hanging="357"/>
        <w:jc w:val="left"/>
      </w:pPr>
      <w:r w:rsidRPr="00730B1E">
        <w:t>Cca 33 % věcí bylo vyřízen</w:t>
      </w:r>
      <w:r w:rsidR="00F90041" w:rsidRPr="00730B1E">
        <w:t>o</w:t>
      </w:r>
      <w:r w:rsidRPr="00730B1E">
        <w:t xml:space="preserve"> velice rychle – do 50 dnů ode dne nápadu u soudu (</w:t>
      </w:r>
      <w:r w:rsidR="00084651" w:rsidRPr="00730B1E">
        <w:t>v roce 2022 přibližně</w:t>
      </w:r>
      <w:r w:rsidRPr="00730B1E">
        <w:t xml:space="preserve"> přes 30 %).</w:t>
      </w:r>
    </w:p>
    <w:p w14:paraId="22912DDB" w14:textId="44667533" w:rsidR="00CF6022" w:rsidRPr="00730B1E" w:rsidRDefault="00CF6022" w:rsidP="00A94F8F">
      <w:pPr>
        <w:pStyle w:val="Odstavecseseznamem"/>
        <w:numPr>
          <w:ilvl w:val="0"/>
          <w:numId w:val="5"/>
        </w:numPr>
        <w:ind w:left="714" w:hanging="357"/>
        <w:jc w:val="left"/>
      </w:pPr>
      <w:r w:rsidRPr="00730B1E">
        <w:t>Největší skupina věcí (cca 22,5 %, loni 21 %) byla vyřízena za 26 až 50 dnů. S přibývající délkou řízení četnost klesá.</w:t>
      </w:r>
    </w:p>
    <w:p w14:paraId="3698E2C1" w14:textId="44EE98AE" w:rsidR="00CF6022" w:rsidRPr="00730B1E" w:rsidRDefault="00CF6022" w:rsidP="00A94F8F">
      <w:pPr>
        <w:pStyle w:val="Odstavecseseznamem"/>
        <w:numPr>
          <w:ilvl w:val="0"/>
          <w:numId w:val="5"/>
        </w:numPr>
        <w:ind w:left="714" w:hanging="357"/>
        <w:jc w:val="left"/>
      </w:pPr>
      <w:r w:rsidRPr="00730B1E">
        <w:t xml:space="preserve">Rozdělení délek řízení je </w:t>
      </w:r>
      <w:r w:rsidR="00F90041" w:rsidRPr="00730B1E">
        <w:t xml:space="preserve">obecně </w:t>
      </w:r>
      <w:r w:rsidRPr="00730B1E">
        <w:t>podobné rozdělení v civilním řízení</w:t>
      </w:r>
      <w:r w:rsidR="00F90041" w:rsidRPr="00730B1E">
        <w:t>,</w:t>
      </w:r>
      <w:r w:rsidRPr="00730B1E">
        <w:t xml:space="preserve"> </w:t>
      </w:r>
      <w:r w:rsidR="00F90041" w:rsidRPr="00730B1E">
        <w:t>a</w:t>
      </w:r>
      <w:r w:rsidRPr="00730B1E">
        <w:t>bsolutní hodnoty jsou ale výrazně nižší.</w:t>
      </w:r>
    </w:p>
    <w:p w14:paraId="223FE8CC" w14:textId="00A70859" w:rsidR="00CF6022" w:rsidRPr="00730B1E" w:rsidRDefault="00CF6022" w:rsidP="00CF6022">
      <w:pPr>
        <w:pStyle w:val="Podnadpis"/>
        <w:rPr>
          <w:color w:val="auto"/>
        </w:rPr>
      </w:pPr>
      <w:bookmarkStart w:id="366" w:name="_Toc515871352"/>
      <w:bookmarkStart w:id="367" w:name="_Toc11135087"/>
      <w:bookmarkStart w:id="368" w:name="_Toc43841403"/>
      <w:bookmarkStart w:id="369" w:name="_Toc75952205"/>
      <w:bookmarkStart w:id="370" w:name="_Toc106106658"/>
      <w:bookmarkStart w:id="371" w:name="_Toc144104135"/>
      <w:bookmarkStart w:id="372" w:name="_Toc169250943"/>
      <w:bookmarkStart w:id="373" w:name="_Toc174080629"/>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24</w:t>
      </w:r>
      <w:r w:rsidRPr="00730B1E">
        <w:rPr>
          <w:color w:val="auto"/>
        </w:rPr>
        <w:fldChar w:fldCharType="end"/>
      </w:r>
      <w:r w:rsidRPr="00730B1E">
        <w:rPr>
          <w:color w:val="auto"/>
        </w:rPr>
        <w:t>: OS – distribuce délek trestního řízení</w:t>
      </w:r>
      <w:bookmarkEnd w:id="366"/>
      <w:bookmarkEnd w:id="367"/>
      <w:bookmarkEnd w:id="368"/>
      <w:bookmarkEnd w:id="369"/>
      <w:bookmarkEnd w:id="370"/>
      <w:bookmarkEnd w:id="371"/>
      <w:r w:rsidR="00C506EE" w:rsidRPr="00730B1E">
        <w:rPr>
          <w:color w:val="auto"/>
        </w:rPr>
        <w:t>, 2023</w:t>
      </w:r>
      <w:bookmarkEnd w:id="372"/>
      <w:bookmarkEnd w:id="373"/>
    </w:p>
    <w:p w14:paraId="1910D407" w14:textId="4F1557F6" w:rsidR="00804369" w:rsidRPr="00730B1E" w:rsidRDefault="00CF6022" w:rsidP="00BC264E">
      <w:pPr>
        <w:pStyle w:val="OdstavecASR"/>
      </w:pPr>
      <w:r w:rsidRPr="00730B1E">
        <w:rPr>
          <w:noProof/>
          <w:lang w:eastAsia="cs-CZ"/>
        </w:rPr>
        <w:drawing>
          <wp:inline distT="0" distB="0" distL="0" distR="0" wp14:anchorId="6C971FD3" wp14:editId="5B39AFAD">
            <wp:extent cx="5029200" cy="365760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18FF2DF" w14:textId="77777777" w:rsidR="00804369" w:rsidRPr="00730B1E" w:rsidRDefault="00804369" w:rsidP="00BC264E">
      <w:pPr>
        <w:pStyle w:val="OdstavecASR"/>
      </w:pPr>
    </w:p>
    <w:p w14:paraId="0C617C80" w14:textId="77777777" w:rsidR="008430BD" w:rsidRPr="00730B1E" w:rsidRDefault="008430BD" w:rsidP="008430BD">
      <w:pPr>
        <w:pStyle w:val="Nadpis3"/>
        <w:numPr>
          <w:ilvl w:val="2"/>
          <w:numId w:val="1"/>
        </w:numPr>
        <w:rPr>
          <w:color w:val="auto"/>
        </w:rPr>
      </w:pPr>
      <w:bookmarkStart w:id="374" w:name="_Toc515871232"/>
      <w:bookmarkStart w:id="375" w:name="_Toc106092729"/>
      <w:bookmarkStart w:id="376" w:name="_Toc169250813"/>
      <w:bookmarkStart w:id="377" w:name="_Toc174080849"/>
      <w:r w:rsidRPr="00730B1E">
        <w:rPr>
          <w:color w:val="auto"/>
        </w:rPr>
        <w:lastRenderedPageBreak/>
        <w:t>Vyřizování věcí</w:t>
      </w:r>
      <w:bookmarkEnd w:id="374"/>
      <w:bookmarkEnd w:id="375"/>
      <w:bookmarkEnd w:id="376"/>
      <w:bookmarkEnd w:id="377"/>
    </w:p>
    <w:p w14:paraId="2F26CF72" w14:textId="66E48B9C" w:rsidR="00EF7600" w:rsidRPr="00730B1E" w:rsidRDefault="00EF7600" w:rsidP="00EF7600">
      <w:pPr>
        <w:pStyle w:val="Podnadpis"/>
        <w:numPr>
          <w:ilvl w:val="0"/>
          <w:numId w:val="0"/>
        </w:numPr>
        <w:rPr>
          <w:color w:val="auto"/>
        </w:rPr>
      </w:pPr>
      <w:bookmarkStart w:id="378" w:name="_Toc515871353"/>
      <w:bookmarkStart w:id="379" w:name="_Toc11135088"/>
      <w:bookmarkStart w:id="380" w:name="_Toc43841404"/>
      <w:bookmarkStart w:id="381" w:name="_Toc75952206"/>
      <w:bookmarkStart w:id="382" w:name="_Toc106106659"/>
      <w:bookmarkStart w:id="383" w:name="_Toc144104136"/>
      <w:bookmarkStart w:id="384" w:name="_Toc169250944"/>
      <w:bookmarkStart w:id="385" w:name="_Toc17408063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25</w:t>
      </w:r>
      <w:r w:rsidRPr="00730B1E">
        <w:rPr>
          <w:color w:val="auto"/>
        </w:rPr>
        <w:fldChar w:fldCharType="end"/>
      </w:r>
      <w:r w:rsidRPr="00730B1E">
        <w:rPr>
          <w:color w:val="auto"/>
        </w:rPr>
        <w:t>: OS – vyřizování trestních věcí v letech 2014–</w:t>
      </w:r>
      <w:bookmarkEnd w:id="378"/>
      <w:bookmarkEnd w:id="379"/>
      <w:bookmarkEnd w:id="380"/>
      <w:bookmarkEnd w:id="381"/>
      <w:bookmarkEnd w:id="382"/>
      <w:r w:rsidRPr="00730B1E">
        <w:rPr>
          <w:color w:val="auto"/>
        </w:rPr>
        <w:t>202</w:t>
      </w:r>
      <w:bookmarkEnd w:id="383"/>
      <w:r w:rsidRPr="00730B1E">
        <w:rPr>
          <w:color w:val="auto"/>
        </w:rPr>
        <w:t>3</w:t>
      </w:r>
      <w:bookmarkEnd w:id="384"/>
      <w:bookmarkEnd w:id="385"/>
    </w:p>
    <w:p w14:paraId="57F13C59" w14:textId="0BAA5B76" w:rsidR="00EF7600" w:rsidRPr="00730B1E" w:rsidRDefault="00EF7600" w:rsidP="00EF7600">
      <w:r w:rsidRPr="00730B1E">
        <w:rPr>
          <w:noProof/>
          <w:lang w:eastAsia="cs-CZ"/>
        </w:rPr>
        <w:drawing>
          <wp:inline distT="0" distB="0" distL="0" distR="0" wp14:anchorId="218377CA" wp14:editId="4B974385">
            <wp:extent cx="5038725" cy="3657600"/>
            <wp:effectExtent l="0" t="0" r="9525" b="0"/>
            <wp:docPr id="3" name="Obrázek 3">
              <a:extLst xmlns:a="http://schemas.openxmlformats.org/drawingml/2006/main">
                <a:ext uri="{FF2B5EF4-FFF2-40B4-BE49-F238E27FC236}">
                  <a16:creationId xmlns:a16="http://schemas.microsoft.com/office/drawing/2014/main" id="{957C766B-1D17-B5F2-AAF8-317D310FDF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2">
                      <a:extLst>
                        <a:ext uri="{FF2B5EF4-FFF2-40B4-BE49-F238E27FC236}">
                          <a16:creationId xmlns:a16="http://schemas.microsoft.com/office/drawing/2014/main" id="{957C766B-1D17-B5F2-AAF8-317D310FDF03}"/>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38725" cy="3657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E53F93B" w14:textId="77777777" w:rsidR="00EF7600" w:rsidRPr="00730B1E" w:rsidRDefault="00EF7600" w:rsidP="00EF7600"/>
    <w:p w14:paraId="3A5380E8" w14:textId="38279570" w:rsidR="00D77771" w:rsidRPr="00730B1E" w:rsidRDefault="00D77771" w:rsidP="00D77771">
      <w:pPr>
        <w:pStyle w:val="OdstavecASR"/>
      </w:pPr>
      <w:r w:rsidRPr="00730B1E">
        <w:t>V grafu je na první pohled patrný výrazný a setrvalý pokles v nápadu a počtu vyřízených věcí</w:t>
      </w:r>
      <w:r w:rsidR="009740D5" w:rsidRPr="00730B1E">
        <w:t xml:space="preserve"> do roku 2018</w:t>
      </w:r>
      <w:r w:rsidRPr="00730B1E">
        <w:t xml:space="preserve">. </w:t>
      </w:r>
      <w:r w:rsidR="00D06466" w:rsidRPr="00730B1E">
        <w:t>Trend začal již před sledovaným obdobím</w:t>
      </w:r>
      <w:r w:rsidR="009740D5" w:rsidRPr="00730B1E">
        <w:t>,</w:t>
      </w:r>
      <w:r w:rsidR="00D06466" w:rsidRPr="00730B1E">
        <w:t xml:space="preserve"> </w:t>
      </w:r>
      <w:r w:rsidRPr="00730B1E">
        <w:t xml:space="preserve">je </w:t>
      </w:r>
      <w:r w:rsidR="009740D5" w:rsidRPr="00730B1E">
        <w:t>velmi výrazný</w:t>
      </w:r>
      <w:r w:rsidRPr="00730B1E">
        <w:t xml:space="preserve"> a vyplývá z poklesu kriminality na území ČR. </w:t>
      </w:r>
      <w:r w:rsidR="009740D5" w:rsidRPr="00730B1E">
        <w:t>P</w:t>
      </w:r>
      <w:r w:rsidRPr="00730B1E">
        <w:t xml:space="preserve">okles nápadu se projevil i v poklesu počtu nevyřízených věcí. Trend se přerušil v roce 2019, kdy byl nápad </w:t>
      </w:r>
      <w:r w:rsidR="009740D5" w:rsidRPr="00730B1E">
        <w:t xml:space="preserve">víceméně </w:t>
      </w:r>
      <w:r w:rsidRPr="00730B1E">
        <w:t xml:space="preserve">na úrovni roku 2018. V roce 2020 došlo k prudkému poklesu v počtu příchozích věcí, a to o 13 %. </w:t>
      </w:r>
      <w:r w:rsidR="009740D5" w:rsidRPr="00730B1E">
        <w:t>Tento jev lze zřejmě</w:t>
      </w:r>
      <w:r w:rsidRPr="00730B1E">
        <w:t xml:space="preserve"> připsat pandemii </w:t>
      </w:r>
      <w:r w:rsidR="009740D5" w:rsidRPr="00730B1E">
        <w:t xml:space="preserve">onemocnění </w:t>
      </w:r>
      <w:r w:rsidRPr="00730B1E">
        <w:t>COVID</w:t>
      </w:r>
      <w:r w:rsidRPr="00730B1E">
        <w:noBreakHyphen/>
        <w:t>19 a vládním opatřením</w:t>
      </w:r>
      <w:r w:rsidR="009740D5" w:rsidRPr="00730B1E">
        <w:t xml:space="preserve">, která měla bránit jejímu šíření a mohla mít za následek, že nebyly dány podmínky pro páchání některých druhů </w:t>
      </w:r>
      <w:r w:rsidRPr="00730B1E">
        <w:t xml:space="preserve">trestné činnosti. </w:t>
      </w:r>
      <w:r w:rsidR="009740D5" w:rsidRPr="00730B1E">
        <w:t>Počet v</w:t>
      </w:r>
      <w:r w:rsidRPr="00730B1E">
        <w:t>yřízen</w:t>
      </w:r>
      <w:r w:rsidR="009740D5" w:rsidRPr="00730B1E">
        <w:t>ých</w:t>
      </w:r>
      <w:r w:rsidRPr="00730B1E">
        <w:t xml:space="preserve"> věc</w:t>
      </w:r>
      <w:r w:rsidR="009740D5" w:rsidRPr="00730B1E">
        <w:t>í</w:t>
      </w:r>
      <w:r w:rsidRPr="00730B1E">
        <w:t xml:space="preserve"> klesl proporcionálně</w:t>
      </w:r>
      <w:r w:rsidR="009740D5" w:rsidRPr="00730B1E">
        <w:t xml:space="preserve"> k poklesu nápadu</w:t>
      </w:r>
      <w:r w:rsidRPr="00730B1E">
        <w:t>. COVID</w:t>
      </w:r>
      <w:r w:rsidRPr="00730B1E">
        <w:noBreakHyphen/>
        <w:t xml:space="preserve">19 </w:t>
      </w:r>
      <w:r w:rsidR="00CD6777" w:rsidRPr="00730B1E">
        <w:t xml:space="preserve">tak stejně jako v civilní agendě </w:t>
      </w:r>
      <w:r w:rsidRPr="00730B1E">
        <w:t xml:space="preserve">snížil nápad (zde dokonce výrazněji), ale nevedl na rozdíl od </w:t>
      </w:r>
      <w:r w:rsidR="00CD6777" w:rsidRPr="00730B1E">
        <w:t>ní</w:t>
      </w:r>
      <w:r w:rsidRPr="00730B1E">
        <w:t xml:space="preserve"> ke zvýšení v počtu nevyřízených věcí. V roce 2021 pandemie pokračovala a počet příchozích věcí </w:t>
      </w:r>
      <w:r w:rsidR="00CD6777" w:rsidRPr="00730B1E">
        <w:t xml:space="preserve">dále mírně </w:t>
      </w:r>
      <w:r w:rsidRPr="00730B1E">
        <w:t>pokles</w:t>
      </w:r>
      <w:r w:rsidR="00CD6777" w:rsidRPr="00730B1E">
        <w:t>l</w:t>
      </w:r>
      <w:r w:rsidRPr="00730B1E">
        <w:t xml:space="preserve"> o 4 %. V roce 2022 počet příchozích věcí mírně narostl</w:t>
      </w:r>
      <w:r w:rsidR="00CD6777" w:rsidRPr="00730B1E">
        <w:t>,</w:t>
      </w:r>
      <w:r w:rsidRPr="00730B1E">
        <w:t xml:space="preserve"> </w:t>
      </w:r>
      <w:r w:rsidR="00CD6777" w:rsidRPr="00730B1E">
        <w:t>v</w:t>
      </w:r>
      <w:r w:rsidRPr="00730B1E">
        <w:t xml:space="preserve"> roce 2023 </w:t>
      </w:r>
      <w:r w:rsidR="00CD6777" w:rsidRPr="00730B1E">
        <w:t xml:space="preserve">pak </w:t>
      </w:r>
      <w:r w:rsidRPr="00730B1E">
        <w:t>došlo k dalšímu mírnému nárůstu</w:t>
      </w:r>
      <w:r w:rsidR="00D06466" w:rsidRPr="00730B1E">
        <w:t xml:space="preserve"> v počtu příchozích věcí</w:t>
      </w:r>
      <w:r w:rsidR="00CD6777" w:rsidRPr="00730B1E">
        <w:t>.</w:t>
      </w:r>
      <w:r w:rsidR="00D06466" w:rsidRPr="00730B1E">
        <w:t xml:space="preserve"> </w:t>
      </w:r>
      <w:r w:rsidR="00CD6777" w:rsidRPr="00730B1E">
        <w:t>Stejně tak rostl p</w:t>
      </w:r>
      <w:r w:rsidR="00D06466" w:rsidRPr="00730B1E">
        <w:t>očet vyřízených věcí</w:t>
      </w:r>
      <w:r w:rsidR="00CD6777" w:rsidRPr="00730B1E">
        <w:t>, který byl v celém období vyšší</w:t>
      </w:r>
      <w:r w:rsidR="00D06466" w:rsidRPr="00730B1E">
        <w:t>.</w:t>
      </w:r>
      <w:r w:rsidRPr="00730B1E">
        <w:t xml:space="preserve"> Soudům se tedy dařilo vyřídit více věcí, než přišlo a počet nevyřízených věcí je tak nejnižší za celé sledované období</w:t>
      </w:r>
      <w:r w:rsidR="00D06466" w:rsidRPr="00730B1E">
        <w:t>.</w:t>
      </w:r>
      <w:r w:rsidRPr="00730B1E">
        <w:t xml:space="preserve"> Tento trend se konečně také mohl projevit v délkách řízení, jak již bylo zmíněno</w:t>
      </w:r>
      <w:r w:rsidR="00CD6777" w:rsidRPr="00730B1E">
        <w:t xml:space="preserve"> výše</w:t>
      </w:r>
      <w:r w:rsidRPr="00730B1E">
        <w:t xml:space="preserve">. </w:t>
      </w:r>
    </w:p>
    <w:p w14:paraId="308525D7" w14:textId="513210A5" w:rsidR="00084651" w:rsidRPr="00730B1E" w:rsidRDefault="00D77771" w:rsidP="00D77771">
      <w:pPr>
        <w:pStyle w:val="OdstavecASR"/>
      </w:pPr>
      <w:r w:rsidRPr="00730B1E">
        <w:t xml:space="preserve">Zajímavé je, že </w:t>
      </w:r>
      <w:r w:rsidR="00CD6777" w:rsidRPr="00730B1E">
        <w:t>an</w:t>
      </w:r>
      <w:r w:rsidRPr="00730B1E">
        <w:t xml:space="preserve">i po skončení pandemie </w:t>
      </w:r>
      <w:r w:rsidR="00CD6777" w:rsidRPr="00730B1E">
        <w:t>onemocnění COVID-19</w:t>
      </w:r>
      <w:r w:rsidRPr="00730B1E">
        <w:t xml:space="preserve"> </w:t>
      </w:r>
      <w:r w:rsidR="00CD6777" w:rsidRPr="00730B1E">
        <w:t>se</w:t>
      </w:r>
      <w:r w:rsidRPr="00730B1E">
        <w:t xml:space="preserve"> počet příchozích věcí </w:t>
      </w:r>
      <w:r w:rsidR="00CD6777" w:rsidRPr="00730B1E">
        <w:t xml:space="preserve">alespoň prozatím nevrátil </w:t>
      </w:r>
      <w:r w:rsidRPr="00730B1E">
        <w:t>na úroveň</w:t>
      </w:r>
      <w:r w:rsidR="00CD6777" w:rsidRPr="00730B1E">
        <w:t xml:space="preserve"> roku 2019</w:t>
      </w:r>
      <w:r w:rsidRPr="00730B1E">
        <w:t>.</w:t>
      </w:r>
    </w:p>
    <w:p w14:paraId="528E2164" w14:textId="77777777" w:rsidR="00084651" w:rsidRPr="00730B1E" w:rsidRDefault="00084651">
      <w:pPr>
        <w:spacing w:after="160" w:line="259" w:lineRule="auto"/>
        <w:jc w:val="left"/>
      </w:pPr>
      <w:r w:rsidRPr="00730B1E">
        <w:br w:type="page"/>
      </w:r>
    </w:p>
    <w:p w14:paraId="373BA397" w14:textId="6662429F" w:rsidR="00D06466" w:rsidRPr="00730B1E" w:rsidRDefault="00D06466" w:rsidP="00D06466">
      <w:pPr>
        <w:pStyle w:val="Podnadpis"/>
        <w:rPr>
          <w:color w:val="auto"/>
        </w:rPr>
      </w:pPr>
      <w:bookmarkStart w:id="386" w:name="_Toc75952324"/>
      <w:bookmarkStart w:id="387" w:name="_Toc106106783"/>
      <w:bookmarkStart w:id="388" w:name="_Toc144104261"/>
      <w:bookmarkStart w:id="389" w:name="_Toc169251077"/>
      <w:bookmarkStart w:id="390" w:name="_Toc174080763"/>
      <w:r w:rsidRPr="00730B1E">
        <w:rPr>
          <w:color w:val="auto"/>
        </w:rPr>
        <w:lastRenderedPageBreak/>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20</w:t>
      </w:r>
      <w:r w:rsidRPr="00730B1E">
        <w:rPr>
          <w:noProof/>
          <w:color w:val="auto"/>
        </w:rPr>
        <w:fldChar w:fldCharType="end"/>
      </w:r>
      <w:r w:rsidRPr="00730B1E">
        <w:rPr>
          <w:color w:val="auto"/>
        </w:rPr>
        <w:t>: OS – vyřizování trestních věcí dle krajů</w:t>
      </w:r>
      <w:bookmarkEnd w:id="386"/>
      <w:bookmarkEnd w:id="387"/>
      <w:bookmarkEnd w:id="388"/>
      <w:r w:rsidR="002263C3" w:rsidRPr="00730B1E">
        <w:rPr>
          <w:color w:val="auto"/>
        </w:rPr>
        <w:t>, 2023</w:t>
      </w:r>
      <w:bookmarkEnd w:id="389"/>
      <w:bookmarkEnd w:id="390"/>
    </w:p>
    <w:tbl>
      <w:tblPr>
        <w:tblW w:w="9072" w:type="dxa"/>
        <w:tblCellMar>
          <w:left w:w="70" w:type="dxa"/>
          <w:right w:w="70" w:type="dxa"/>
        </w:tblCellMar>
        <w:tblLook w:val="04A0" w:firstRow="1" w:lastRow="0" w:firstColumn="1" w:lastColumn="0" w:noHBand="0" w:noVBand="1"/>
      </w:tblPr>
      <w:tblGrid>
        <w:gridCol w:w="2020"/>
        <w:gridCol w:w="1044"/>
        <w:gridCol w:w="835"/>
        <w:gridCol w:w="1044"/>
        <w:gridCol w:w="835"/>
        <w:gridCol w:w="951"/>
        <w:gridCol w:w="872"/>
        <w:gridCol w:w="1471"/>
      </w:tblGrid>
      <w:tr w:rsidR="00B64E96" w:rsidRPr="00730B1E" w14:paraId="71A66F1A" w14:textId="77777777" w:rsidTr="0008465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77F23B05" w14:textId="77777777"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14:paraId="22CF2521" w14:textId="77777777"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471" w:type="dxa"/>
            <w:vMerge w:val="restart"/>
            <w:tcBorders>
              <w:top w:val="double" w:sz="6" w:space="0" w:color="auto"/>
              <w:left w:val="nil"/>
              <w:bottom w:val="double" w:sz="6" w:space="0" w:color="000000"/>
              <w:right w:val="nil"/>
            </w:tcBorders>
            <w:shd w:val="clear" w:color="auto" w:fill="auto"/>
            <w:vAlign w:val="center"/>
            <w:hideMark/>
          </w:tcPr>
          <w:p w14:paraId="7FD035A1" w14:textId="77777777"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68571B5C" w14:textId="77777777" w:rsidTr="00084651">
        <w:trPr>
          <w:trHeight w:val="330"/>
        </w:trPr>
        <w:tc>
          <w:tcPr>
            <w:tcW w:w="2020" w:type="dxa"/>
            <w:vMerge/>
            <w:tcBorders>
              <w:top w:val="double" w:sz="6" w:space="0" w:color="auto"/>
              <w:left w:val="nil"/>
              <w:bottom w:val="double" w:sz="6" w:space="0" w:color="000000"/>
              <w:right w:val="nil"/>
            </w:tcBorders>
            <w:vAlign w:val="center"/>
            <w:hideMark/>
          </w:tcPr>
          <w:p w14:paraId="19011DFA" w14:textId="77777777" w:rsidR="005F6AF5" w:rsidRPr="00730B1E" w:rsidRDefault="005F6AF5" w:rsidP="005F6AF5">
            <w:pPr>
              <w:spacing w:line="240" w:lineRule="auto"/>
              <w:jc w:val="left"/>
              <w:rPr>
                <w:rFonts w:eastAsia="Times New Roman"/>
                <w:b/>
                <w:bCs/>
                <w:szCs w:val="24"/>
                <w:lang w:eastAsia="cs-CZ"/>
              </w:rPr>
            </w:pPr>
          </w:p>
        </w:tc>
        <w:tc>
          <w:tcPr>
            <w:tcW w:w="1879" w:type="dxa"/>
            <w:gridSpan w:val="2"/>
            <w:tcBorders>
              <w:top w:val="nil"/>
              <w:left w:val="nil"/>
              <w:bottom w:val="double" w:sz="6" w:space="0" w:color="auto"/>
              <w:right w:val="nil"/>
            </w:tcBorders>
            <w:shd w:val="clear" w:color="auto" w:fill="auto"/>
            <w:noWrap/>
            <w:vAlign w:val="center"/>
            <w:hideMark/>
          </w:tcPr>
          <w:p w14:paraId="5AE7B817" w14:textId="1DD84554"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87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68E3402" w14:textId="77777777"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823" w:type="dxa"/>
            <w:gridSpan w:val="2"/>
            <w:tcBorders>
              <w:top w:val="nil"/>
              <w:left w:val="nil"/>
              <w:bottom w:val="double" w:sz="6" w:space="0" w:color="auto"/>
              <w:right w:val="single" w:sz="4" w:space="0" w:color="000000"/>
            </w:tcBorders>
            <w:shd w:val="clear" w:color="auto" w:fill="auto"/>
            <w:noWrap/>
            <w:vAlign w:val="center"/>
            <w:hideMark/>
          </w:tcPr>
          <w:p w14:paraId="186DE88D" w14:textId="77777777"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471" w:type="dxa"/>
            <w:vMerge/>
            <w:tcBorders>
              <w:top w:val="double" w:sz="6" w:space="0" w:color="auto"/>
              <w:left w:val="nil"/>
              <w:bottom w:val="double" w:sz="6" w:space="0" w:color="000000"/>
              <w:right w:val="nil"/>
            </w:tcBorders>
            <w:vAlign w:val="center"/>
            <w:hideMark/>
          </w:tcPr>
          <w:p w14:paraId="4B7F2910" w14:textId="77777777" w:rsidR="005F6AF5" w:rsidRPr="00730B1E" w:rsidRDefault="005F6AF5" w:rsidP="005F6AF5">
            <w:pPr>
              <w:spacing w:line="240" w:lineRule="auto"/>
              <w:jc w:val="left"/>
              <w:rPr>
                <w:rFonts w:eastAsia="Times New Roman"/>
                <w:b/>
                <w:bCs/>
                <w:szCs w:val="24"/>
                <w:lang w:eastAsia="cs-CZ"/>
              </w:rPr>
            </w:pPr>
          </w:p>
        </w:tc>
      </w:tr>
      <w:tr w:rsidR="00B64E96" w:rsidRPr="00730B1E" w14:paraId="3A79176C" w14:textId="77777777" w:rsidTr="00CF5DA7">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0C17C60" w14:textId="77777777" w:rsidR="005F6AF5" w:rsidRPr="00730B1E" w:rsidRDefault="005F6AF5" w:rsidP="005F6AF5">
            <w:pPr>
              <w:spacing w:line="240" w:lineRule="auto"/>
              <w:jc w:val="left"/>
              <w:rPr>
                <w:rFonts w:eastAsia="Times New Roman"/>
                <w:szCs w:val="24"/>
                <w:lang w:eastAsia="cs-CZ"/>
              </w:rPr>
            </w:pPr>
            <w:r w:rsidRPr="00730B1E">
              <w:rPr>
                <w:rFonts w:eastAsia="Times New Roman"/>
                <w:szCs w:val="24"/>
                <w:lang w:eastAsia="cs-CZ"/>
              </w:rPr>
              <w:t>MS Praha</w:t>
            </w:r>
          </w:p>
        </w:tc>
        <w:tc>
          <w:tcPr>
            <w:tcW w:w="1044" w:type="dxa"/>
            <w:tcBorders>
              <w:top w:val="single" w:sz="4" w:space="0" w:color="auto"/>
              <w:left w:val="nil"/>
              <w:bottom w:val="single" w:sz="4" w:space="0" w:color="auto"/>
              <w:right w:val="nil"/>
            </w:tcBorders>
            <w:shd w:val="clear" w:color="auto" w:fill="auto"/>
            <w:noWrap/>
            <w:vAlign w:val="bottom"/>
            <w:hideMark/>
          </w:tcPr>
          <w:p w14:paraId="49CD548D" w14:textId="7777777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8 960</w:t>
            </w:r>
          </w:p>
        </w:tc>
        <w:tc>
          <w:tcPr>
            <w:tcW w:w="835" w:type="dxa"/>
            <w:tcBorders>
              <w:top w:val="single" w:sz="4" w:space="0" w:color="auto"/>
              <w:left w:val="nil"/>
              <w:bottom w:val="single" w:sz="4" w:space="0" w:color="auto"/>
              <w:right w:val="nil"/>
            </w:tcBorders>
            <w:shd w:val="clear" w:color="auto" w:fill="auto"/>
            <w:noWrap/>
            <w:vAlign w:val="center"/>
            <w:hideMark/>
          </w:tcPr>
          <w:p w14:paraId="653191CB"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044" w:type="dxa"/>
            <w:tcBorders>
              <w:top w:val="single" w:sz="4" w:space="0" w:color="auto"/>
              <w:left w:val="single" w:sz="4" w:space="0" w:color="auto"/>
              <w:bottom w:val="single" w:sz="4" w:space="0" w:color="auto"/>
              <w:right w:val="nil"/>
            </w:tcBorders>
            <w:shd w:val="clear" w:color="auto" w:fill="auto"/>
            <w:noWrap/>
            <w:vAlign w:val="bottom"/>
            <w:hideMark/>
          </w:tcPr>
          <w:p w14:paraId="39B2FA27" w14:textId="7777777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9 030</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14:paraId="2233891B"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951" w:type="dxa"/>
            <w:tcBorders>
              <w:top w:val="single" w:sz="4" w:space="0" w:color="auto"/>
              <w:left w:val="nil"/>
              <w:bottom w:val="single" w:sz="4" w:space="0" w:color="auto"/>
              <w:right w:val="nil"/>
            </w:tcBorders>
            <w:shd w:val="clear" w:color="auto" w:fill="auto"/>
            <w:noWrap/>
            <w:vAlign w:val="bottom"/>
            <w:hideMark/>
          </w:tcPr>
          <w:p w14:paraId="2E1F899B" w14:textId="7777777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1 051</w:t>
            </w:r>
          </w:p>
        </w:tc>
        <w:tc>
          <w:tcPr>
            <w:tcW w:w="872" w:type="dxa"/>
            <w:tcBorders>
              <w:top w:val="single" w:sz="4" w:space="0" w:color="auto"/>
              <w:left w:val="nil"/>
              <w:bottom w:val="single" w:sz="4" w:space="0" w:color="auto"/>
              <w:right w:val="single" w:sz="4" w:space="0" w:color="auto"/>
            </w:tcBorders>
            <w:shd w:val="clear" w:color="auto" w:fill="auto"/>
            <w:noWrap/>
            <w:vAlign w:val="center"/>
            <w:hideMark/>
          </w:tcPr>
          <w:p w14:paraId="0AEECD03"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471" w:type="dxa"/>
            <w:tcBorders>
              <w:top w:val="nil"/>
              <w:left w:val="nil"/>
              <w:bottom w:val="single" w:sz="4" w:space="0" w:color="auto"/>
              <w:right w:val="nil"/>
            </w:tcBorders>
            <w:shd w:val="clear" w:color="auto" w:fill="auto"/>
            <w:noWrap/>
            <w:vAlign w:val="center"/>
            <w:hideMark/>
          </w:tcPr>
          <w:p w14:paraId="063BAD6E" w14:textId="61781053"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100,8 %</w:t>
            </w:r>
          </w:p>
        </w:tc>
      </w:tr>
      <w:tr w:rsidR="00B64E96" w:rsidRPr="00730B1E" w14:paraId="7B32C5E1" w14:textId="77777777" w:rsidTr="00CF5DA7">
        <w:trPr>
          <w:trHeight w:val="315"/>
        </w:trPr>
        <w:tc>
          <w:tcPr>
            <w:tcW w:w="2020" w:type="dxa"/>
            <w:tcBorders>
              <w:top w:val="nil"/>
              <w:left w:val="nil"/>
              <w:bottom w:val="single" w:sz="4" w:space="0" w:color="auto"/>
              <w:right w:val="nil"/>
            </w:tcBorders>
            <w:shd w:val="clear" w:color="auto" w:fill="auto"/>
            <w:noWrap/>
            <w:vAlign w:val="bottom"/>
            <w:hideMark/>
          </w:tcPr>
          <w:p w14:paraId="5284687E" w14:textId="77777777" w:rsidR="005F6AF5" w:rsidRPr="00730B1E" w:rsidRDefault="005F6AF5" w:rsidP="005F6AF5">
            <w:pPr>
              <w:spacing w:line="240" w:lineRule="auto"/>
              <w:jc w:val="left"/>
              <w:rPr>
                <w:rFonts w:eastAsia="Times New Roman"/>
                <w:szCs w:val="24"/>
                <w:lang w:eastAsia="cs-CZ"/>
              </w:rPr>
            </w:pPr>
            <w:r w:rsidRPr="00730B1E">
              <w:rPr>
                <w:rFonts w:eastAsia="Times New Roman"/>
                <w:szCs w:val="24"/>
                <w:lang w:eastAsia="cs-CZ"/>
              </w:rPr>
              <w:t>KS Praha</w:t>
            </w:r>
          </w:p>
        </w:tc>
        <w:tc>
          <w:tcPr>
            <w:tcW w:w="1044" w:type="dxa"/>
            <w:tcBorders>
              <w:top w:val="nil"/>
              <w:left w:val="nil"/>
              <w:bottom w:val="single" w:sz="4" w:space="0" w:color="auto"/>
              <w:right w:val="nil"/>
            </w:tcBorders>
            <w:shd w:val="clear" w:color="auto" w:fill="auto"/>
            <w:noWrap/>
            <w:vAlign w:val="bottom"/>
            <w:hideMark/>
          </w:tcPr>
          <w:p w14:paraId="3CA996F2" w14:textId="39CF0C8F"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7</w:t>
            </w:r>
            <w:r w:rsidR="00CF5DA7" w:rsidRPr="00730B1E">
              <w:rPr>
                <w:rFonts w:eastAsia="Times New Roman"/>
                <w:szCs w:val="24"/>
                <w:lang w:eastAsia="cs-CZ"/>
              </w:rPr>
              <w:t xml:space="preserve"> </w:t>
            </w:r>
            <w:r w:rsidRPr="00730B1E">
              <w:rPr>
                <w:rFonts w:eastAsia="Times New Roman"/>
                <w:szCs w:val="24"/>
                <w:lang w:eastAsia="cs-CZ"/>
              </w:rPr>
              <w:t>621</w:t>
            </w:r>
          </w:p>
        </w:tc>
        <w:tc>
          <w:tcPr>
            <w:tcW w:w="835" w:type="dxa"/>
            <w:tcBorders>
              <w:top w:val="nil"/>
              <w:left w:val="nil"/>
              <w:bottom w:val="single" w:sz="4" w:space="0" w:color="auto"/>
              <w:right w:val="nil"/>
            </w:tcBorders>
            <w:shd w:val="clear" w:color="auto" w:fill="auto"/>
            <w:noWrap/>
            <w:vAlign w:val="center"/>
            <w:hideMark/>
          </w:tcPr>
          <w:p w14:paraId="51108E57"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44" w:type="dxa"/>
            <w:tcBorders>
              <w:top w:val="nil"/>
              <w:left w:val="single" w:sz="4" w:space="0" w:color="auto"/>
              <w:bottom w:val="single" w:sz="4" w:space="0" w:color="auto"/>
              <w:right w:val="nil"/>
            </w:tcBorders>
            <w:shd w:val="clear" w:color="auto" w:fill="auto"/>
            <w:noWrap/>
            <w:vAlign w:val="bottom"/>
            <w:hideMark/>
          </w:tcPr>
          <w:p w14:paraId="033183F0" w14:textId="62B6181B"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7</w:t>
            </w:r>
            <w:r w:rsidR="00CF5DA7" w:rsidRPr="00730B1E">
              <w:rPr>
                <w:rFonts w:eastAsia="Times New Roman"/>
                <w:szCs w:val="24"/>
                <w:lang w:eastAsia="cs-CZ"/>
              </w:rPr>
              <w:t xml:space="preserve"> </w:t>
            </w:r>
            <w:r w:rsidRPr="00730B1E">
              <w:rPr>
                <w:rFonts w:eastAsia="Times New Roman"/>
                <w:szCs w:val="24"/>
                <w:lang w:eastAsia="cs-CZ"/>
              </w:rPr>
              <w:t>679</w:t>
            </w:r>
          </w:p>
        </w:tc>
        <w:tc>
          <w:tcPr>
            <w:tcW w:w="835" w:type="dxa"/>
            <w:tcBorders>
              <w:top w:val="nil"/>
              <w:left w:val="nil"/>
              <w:bottom w:val="single" w:sz="4" w:space="0" w:color="auto"/>
              <w:right w:val="single" w:sz="4" w:space="0" w:color="auto"/>
            </w:tcBorders>
            <w:shd w:val="clear" w:color="auto" w:fill="auto"/>
            <w:noWrap/>
            <w:vAlign w:val="center"/>
            <w:hideMark/>
          </w:tcPr>
          <w:p w14:paraId="1D9F49FC"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951" w:type="dxa"/>
            <w:tcBorders>
              <w:top w:val="nil"/>
              <w:left w:val="nil"/>
              <w:bottom w:val="single" w:sz="4" w:space="0" w:color="auto"/>
              <w:right w:val="nil"/>
            </w:tcBorders>
            <w:shd w:val="clear" w:color="auto" w:fill="auto"/>
            <w:noWrap/>
            <w:vAlign w:val="bottom"/>
            <w:hideMark/>
          </w:tcPr>
          <w:p w14:paraId="02E5FA15" w14:textId="7777777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424</w:t>
            </w:r>
          </w:p>
        </w:tc>
        <w:tc>
          <w:tcPr>
            <w:tcW w:w="872" w:type="dxa"/>
            <w:tcBorders>
              <w:top w:val="nil"/>
              <w:left w:val="nil"/>
              <w:bottom w:val="single" w:sz="4" w:space="0" w:color="auto"/>
              <w:right w:val="single" w:sz="4" w:space="0" w:color="auto"/>
            </w:tcBorders>
            <w:shd w:val="clear" w:color="auto" w:fill="auto"/>
            <w:noWrap/>
            <w:vAlign w:val="center"/>
            <w:hideMark/>
          </w:tcPr>
          <w:p w14:paraId="4BB79E37"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471" w:type="dxa"/>
            <w:tcBorders>
              <w:top w:val="nil"/>
              <w:left w:val="nil"/>
              <w:bottom w:val="single" w:sz="4" w:space="0" w:color="auto"/>
              <w:right w:val="nil"/>
            </w:tcBorders>
            <w:shd w:val="clear" w:color="auto" w:fill="auto"/>
            <w:noWrap/>
            <w:vAlign w:val="center"/>
            <w:hideMark/>
          </w:tcPr>
          <w:p w14:paraId="5E3D92BA" w14:textId="52DF0DD2"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100,8 %</w:t>
            </w:r>
          </w:p>
        </w:tc>
      </w:tr>
      <w:tr w:rsidR="00B64E96" w:rsidRPr="00730B1E" w14:paraId="39961F8F" w14:textId="77777777" w:rsidTr="00CF5DA7">
        <w:trPr>
          <w:trHeight w:val="315"/>
        </w:trPr>
        <w:tc>
          <w:tcPr>
            <w:tcW w:w="2020" w:type="dxa"/>
            <w:tcBorders>
              <w:top w:val="nil"/>
              <w:left w:val="nil"/>
              <w:bottom w:val="single" w:sz="4" w:space="0" w:color="auto"/>
              <w:right w:val="nil"/>
            </w:tcBorders>
            <w:shd w:val="clear" w:color="auto" w:fill="auto"/>
            <w:noWrap/>
            <w:vAlign w:val="bottom"/>
            <w:hideMark/>
          </w:tcPr>
          <w:p w14:paraId="65DE408C" w14:textId="77777777" w:rsidR="005F6AF5" w:rsidRPr="00730B1E" w:rsidRDefault="005F6AF5" w:rsidP="005F6AF5">
            <w:pPr>
              <w:spacing w:line="240" w:lineRule="auto"/>
              <w:jc w:val="left"/>
              <w:rPr>
                <w:rFonts w:eastAsia="Times New Roman"/>
                <w:szCs w:val="24"/>
                <w:lang w:eastAsia="cs-CZ"/>
              </w:rPr>
            </w:pPr>
            <w:r w:rsidRPr="00730B1E">
              <w:rPr>
                <w:rFonts w:eastAsia="Times New Roman"/>
                <w:szCs w:val="24"/>
                <w:lang w:eastAsia="cs-CZ"/>
              </w:rPr>
              <w:t>KS Č. Budějovice</w:t>
            </w:r>
          </w:p>
        </w:tc>
        <w:tc>
          <w:tcPr>
            <w:tcW w:w="1044" w:type="dxa"/>
            <w:tcBorders>
              <w:top w:val="nil"/>
              <w:left w:val="nil"/>
              <w:bottom w:val="single" w:sz="4" w:space="0" w:color="auto"/>
              <w:right w:val="nil"/>
            </w:tcBorders>
            <w:shd w:val="clear" w:color="auto" w:fill="auto"/>
            <w:noWrap/>
            <w:vAlign w:val="bottom"/>
            <w:hideMark/>
          </w:tcPr>
          <w:p w14:paraId="1A5F25C9" w14:textId="098620A6"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4</w:t>
            </w:r>
            <w:r w:rsidR="00CF5DA7" w:rsidRPr="00730B1E">
              <w:rPr>
                <w:rFonts w:eastAsia="Times New Roman"/>
                <w:szCs w:val="24"/>
                <w:lang w:eastAsia="cs-CZ"/>
              </w:rPr>
              <w:t xml:space="preserve"> </w:t>
            </w:r>
            <w:r w:rsidRPr="00730B1E">
              <w:rPr>
                <w:rFonts w:eastAsia="Times New Roman"/>
                <w:szCs w:val="24"/>
                <w:lang w:eastAsia="cs-CZ"/>
              </w:rPr>
              <w:t>404</w:t>
            </w:r>
          </w:p>
        </w:tc>
        <w:tc>
          <w:tcPr>
            <w:tcW w:w="835" w:type="dxa"/>
            <w:tcBorders>
              <w:top w:val="nil"/>
              <w:left w:val="nil"/>
              <w:bottom w:val="single" w:sz="4" w:space="0" w:color="auto"/>
              <w:right w:val="nil"/>
            </w:tcBorders>
            <w:shd w:val="clear" w:color="auto" w:fill="auto"/>
            <w:noWrap/>
            <w:vAlign w:val="center"/>
            <w:hideMark/>
          </w:tcPr>
          <w:p w14:paraId="4F394B36"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044" w:type="dxa"/>
            <w:tcBorders>
              <w:top w:val="nil"/>
              <w:left w:val="single" w:sz="4" w:space="0" w:color="auto"/>
              <w:bottom w:val="single" w:sz="4" w:space="0" w:color="auto"/>
              <w:right w:val="nil"/>
            </w:tcBorders>
            <w:shd w:val="clear" w:color="auto" w:fill="auto"/>
            <w:noWrap/>
            <w:vAlign w:val="bottom"/>
            <w:hideMark/>
          </w:tcPr>
          <w:p w14:paraId="6407437C" w14:textId="51FB0749"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4</w:t>
            </w:r>
            <w:r w:rsidR="00CF5DA7" w:rsidRPr="00730B1E">
              <w:rPr>
                <w:rFonts w:eastAsia="Times New Roman"/>
                <w:szCs w:val="24"/>
                <w:lang w:eastAsia="cs-CZ"/>
              </w:rPr>
              <w:t xml:space="preserve"> </w:t>
            </w:r>
            <w:r w:rsidRPr="00730B1E">
              <w:rPr>
                <w:rFonts w:eastAsia="Times New Roman"/>
                <w:szCs w:val="24"/>
                <w:lang w:eastAsia="cs-CZ"/>
              </w:rPr>
              <w:t>378</w:t>
            </w:r>
          </w:p>
        </w:tc>
        <w:tc>
          <w:tcPr>
            <w:tcW w:w="835" w:type="dxa"/>
            <w:tcBorders>
              <w:top w:val="nil"/>
              <w:left w:val="nil"/>
              <w:bottom w:val="single" w:sz="4" w:space="0" w:color="auto"/>
              <w:right w:val="single" w:sz="4" w:space="0" w:color="auto"/>
            </w:tcBorders>
            <w:shd w:val="clear" w:color="auto" w:fill="auto"/>
            <w:noWrap/>
            <w:vAlign w:val="center"/>
            <w:hideMark/>
          </w:tcPr>
          <w:p w14:paraId="05B4E955"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951" w:type="dxa"/>
            <w:tcBorders>
              <w:top w:val="nil"/>
              <w:left w:val="nil"/>
              <w:bottom w:val="single" w:sz="4" w:space="0" w:color="auto"/>
              <w:right w:val="nil"/>
            </w:tcBorders>
            <w:shd w:val="clear" w:color="auto" w:fill="auto"/>
            <w:noWrap/>
            <w:vAlign w:val="bottom"/>
            <w:hideMark/>
          </w:tcPr>
          <w:p w14:paraId="086809F8" w14:textId="7777777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518</w:t>
            </w:r>
          </w:p>
        </w:tc>
        <w:tc>
          <w:tcPr>
            <w:tcW w:w="872" w:type="dxa"/>
            <w:tcBorders>
              <w:top w:val="nil"/>
              <w:left w:val="nil"/>
              <w:bottom w:val="single" w:sz="4" w:space="0" w:color="auto"/>
              <w:right w:val="single" w:sz="4" w:space="0" w:color="auto"/>
            </w:tcBorders>
            <w:shd w:val="clear" w:color="auto" w:fill="auto"/>
            <w:noWrap/>
            <w:vAlign w:val="center"/>
            <w:hideMark/>
          </w:tcPr>
          <w:p w14:paraId="1A532964"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471" w:type="dxa"/>
            <w:tcBorders>
              <w:top w:val="nil"/>
              <w:left w:val="nil"/>
              <w:bottom w:val="single" w:sz="4" w:space="0" w:color="auto"/>
              <w:right w:val="nil"/>
            </w:tcBorders>
            <w:shd w:val="clear" w:color="auto" w:fill="auto"/>
            <w:noWrap/>
            <w:vAlign w:val="center"/>
            <w:hideMark/>
          </w:tcPr>
          <w:p w14:paraId="0367A0F2" w14:textId="7E14CE0A"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99,4 %</w:t>
            </w:r>
          </w:p>
        </w:tc>
      </w:tr>
      <w:tr w:rsidR="00B64E96" w:rsidRPr="00730B1E" w14:paraId="7F301031" w14:textId="77777777" w:rsidTr="00CF5DA7">
        <w:trPr>
          <w:trHeight w:val="315"/>
        </w:trPr>
        <w:tc>
          <w:tcPr>
            <w:tcW w:w="2020" w:type="dxa"/>
            <w:tcBorders>
              <w:top w:val="nil"/>
              <w:left w:val="nil"/>
              <w:bottom w:val="single" w:sz="4" w:space="0" w:color="auto"/>
              <w:right w:val="nil"/>
            </w:tcBorders>
            <w:shd w:val="clear" w:color="auto" w:fill="auto"/>
            <w:noWrap/>
            <w:vAlign w:val="bottom"/>
            <w:hideMark/>
          </w:tcPr>
          <w:p w14:paraId="4F457AE7" w14:textId="77777777" w:rsidR="005F6AF5" w:rsidRPr="00730B1E" w:rsidRDefault="005F6AF5" w:rsidP="005F6AF5">
            <w:pPr>
              <w:spacing w:line="240" w:lineRule="auto"/>
              <w:jc w:val="left"/>
              <w:rPr>
                <w:rFonts w:eastAsia="Times New Roman"/>
                <w:szCs w:val="24"/>
                <w:lang w:eastAsia="cs-CZ"/>
              </w:rPr>
            </w:pPr>
            <w:r w:rsidRPr="00730B1E">
              <w:rPr>
                <w:rFonts w:eastAsia="Times New Roman"/>
                <w:szCs w:val="24"/>
                <w:lang w:eastAsia="cs-CZ"/>
              </w:rPr>
              <w:t>KS Plzeň</w:t>
            </w:r>
          </w:p>
        </w:tc>
        <w:tc>
          <w:tcPr>
            <w:tcW w:w="1044" w:type="dxa"/>
            <w:tcBorders>
              <w:top w:val="nil"/>
              <w:left w:val="nil"/>
              <w:bottom w:val="single" w:sz="4" w:space="0" w:color="auto"/>
              <w:right w:val="nil"/>
            </w:tcBorders>
            <w:shd w:val="clear" w:color="auto" w:fill="auto"/>
            <w:noWrap/>
            <w:vAlign w:val="bottom"/>
            <w:hideMark/>
          </w:tcPr>
          <w:p w14:paraId="3788D479" w14:textId="5BE9A4C8"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5</w:t>
            </w:r>
            <w:r w:rsidR="00CF5DA7" w:rsidRPr="00730B1E">
              <w:rPr>
                <w:rFonts w:eastAsia="Times New Roman"/>
                <w:szCs w:val="24"/>
                <w:lang w:eastAsia="cs-CZ"/>
              </w:rPr>
              <w:t xml:space="preserve"> </w:t>
            </w:r>
            <w:r w:rsidRPr="00730B1E">
              <w:rPr>
                <w:rFonts w:eastAsia="Times New Roman"/>
                <w:szCs w:val="24"/>
                <w:lang w:eastAsia="cs-CZ"/>
              </w:rPr>
              <w:t>637</w:t>
            </w:r>
          </w:p>
        </w:tc>
        <w:tc>
          <w:tcPr>
            <w:tcW w:w="835" w:type="dxa"/>
            <w:tcBorders>
              <w:top w:val="nil"/>
              <w:left w:val="nil"/>
              <w:bottom w:val="single" w:sz="4" w:space="0" w:color="auto"/>
              <w:right w:val="nil"/>
            </w:tcBorders>
            <w:shd w:val="clear" w:color="auto" w:fill="auto"/>
            <w:noWrap/>
            <w:vAlign w:val="center"/>
            <w:hideMark/>
          </w:tcPr>
          <w:p w14:paraId="174BF6A8"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44" w:type="dxa"/>
            <w:tcBorders>
              <w:top w:val="nil"/>
              <w:left w:val="single" w:sz="4" w:space="0" w:color="auto"/>
              <w:bottom w:val="single" w:sz="4" w:space="0" w:color="auto"/>
              <w:right w:val="nil"/>
            </w:tcBorders>
            <w:shd w:val="clear" w:color="auto" w:fill="auto"/>
            <w:noWrap/>
            <w:vAlign w:val="bottom"/>
            <w:hideMark/>
          </w:tcPr>
          <w:p w14:paraId="5842568F" w14:textId="2373EA42"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5</w:t>
            </w:r>
            <w:r w:rsidR="00CF5DA7" w:rsidRPr="00730B1E">
              <w:rPr>
                <w:rFonts w:eastAsia="Times New Roman"/>
                <w:szCs w:val="24"/>
                <w:lang w:eastAsia="cs-CZ"/>
              </w:rPr>
              <w:t xml:space="preserve"> </w:t>
            </w:r>
            <w:r w:rsidRPr="00730B1E">
              <w:rPr>
                <w:rFonts w:eastAsia="Times New Roman"/>
                <w:szCs w:val="24"/>
                <w:lang w:eastAsia="cs-CZ"/>
              </w:rPr>
              <w:t>636</w:t>
            </w:r>
          </w:p>
        </w:tc>
        <w:tc>
          <w:tcPr>
            <w:tcW w:w="835" w:type="dxa"/>
            <w:tcBorders>
              <w:top w:val="nil"/>
              <w:left w:val="nil"/>
              <w:bottom w:val="single" w:sz="4" w:space="0" w:color="auto"/>
              <w:right w:val="single" w:sz="4" w:space="0" w:color="auto"/>
            </w:tcBorders>
            <w:shd w:val="clear" w:color="auto" w:fill="auto"/>
            <w:noWrap/>
            <w:vAlign w:val="center"/>
            <w:hideMark/>
          </w:tcPr>
          <w:p w14:paraId="03FF8964"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951" w:type="dxa"/>
            <w:tcBorders>
              <w:top w:val="nil"/>
              <w:left w:val="nil"/>
              <w:bottom w:val="single" w:sz="4" w:space="0" w:color="auto"/>
              <w:right w:val="nil"/>
            </w:tcBorders>
            <w:shd w:val="clear" w:color="auto" w:fill="auto"/>
            <w:noWrap/>
            <w:vAlign w:val="bottom"/>
            <w:hideMark/>
          </w:tcPr>
          <w:p w14:paraId="7D4661D8" w14:textId="7777777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857</w:t>
            </w:r>
          </w:p>
        </w:tc>
        <w:tc>
          <w:tcPr>
            <w:tcW w:w="872" w:type="dxa"/>
            <w:tcBorders>
              <w:top w:val="nil"/>
              <w:left w:val="nil"/>
              <w:bottom w:val="single" w:sz="4" w:space="0" w:color="auto"/>
              <w:right w:val="single" w:sz="4" w:space="0" w:color="auto"/>
            </w:tcBorders>
            <w:shd w:val="clear" w:color="auto" w:fill="auto"/>
            <w:noWrap/>
            <w:vAlign w:val="center"/>
            <w:hideMark/>
          </w:tcPr>
          <w:p w14:paraId="1024953B"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471" w:type="dxa"/>
            <w:tcBorders>
              <w:top w:val="nil"/>
              <w:left w:val="nil"/>
              <w:bottom w:val="single" w:sz="4" w:space="0" w:color="auto"/>
              <w:right w:val="nil"/>
            </w:tcBorders>
            <w:shd w:val="clear" w:color="auto" w:fill="auto"/>
            <w:noWrap/>
            <w:vAlign w:val="center"/>
            <w:hideMark/>
          </w:tcPr>
          <w:p w14:paraId="667DB25A" w14:textId="1F80A97A"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100,0 %</w:t>
            </w:r>
          </w:p>
        </w:tc>
      </w:tr>
      <w:tr w:rsidR="00B64E96" w:rsidRPr="00730B1E" w14:paraId="43194C02" w14:textId="77777777" w:rsidTr="00CF5DA7">
        <w:trPr>
          <w:trHeight w:val="315"/>
        </w:trPr>
        <w:tc>
          <w:tcPr>
            <w:tcW w:w="2020" w:type="dxa"/>
            <w:tcBorders>
              <w:top w:val="nil"/>
              <w:left w:val="nil"/>
              <w:bottom w:val="single" w:sz="4" w:space="0" w:color="auto"/>
              <w:right w:val="nil"/>
            </w:tcBorders>
            <w:shd w:val="clear" w:color="auto" w:fill="auto"/>
            <w:noWrap/>
            <w:vAlign w:val="bottom"/>
            <w:hideMark/>
          </w:tcPr>
          <w:p w14:paraId="71EA1E69" w14:textId="77777777" w:rsidR="005F6AF5" w:rsidRPr="00730B1E" w:rsidRDefault="005F6AF5" w:rsidP="005F6AF5">
            <w:pPr>
              <w:spacing w:line="240" w:lineRule="auto"/>
              <w:jc w:val="left"/>
              <w:rPr>
                <w:rFonts w:eastAsia="Times New Roman"/>
                <w:szCs w:val="24"/>
                <w:lang w:eastAsia="cs-CZ"/>
              </w:rPr>
            </w:pPr>
            <w:r w:rsidRPr="00730B1E">
              <w:rPr>
                <w:rFonts w:eastAsia="Times New Roman"/>
                <w:szCs w:val="24"/>
                <w:lang w:eastAsia="cs-CZ"/>
              </w:rPr>
              <w:t>KS Ústí n. Labem</w:t>
            </w:r>
          </w:p>
        </w:tc>
        <w:tc>
          <w:tcPr>
            <w:tcW w:w="1044" w:type="dxa"/>
            <w:tcBorders>
              <w:top w:val="nil"/>
              <w:left w:val="nil"/>
              <w:bottom w:val="single" w:sz="4" w:space="0" w:color="auto"/>
              <w:right w:val="nil"/>
            </w:tcBorders>
            <w:shd w:val="clear" w:color="auto" w:fill="auto"/>
            <w:noWrap/>
            <w:vAlign w:val="bottom"/>
            <w:hideMark/>
          </w:tcPr>
          <w:p w14:paraId="3D9D90AA" w14:textId="529316EC"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10</w:t>
            </w:r>
            <w:r w:rsidR="00CF5DA7" w:rsidRPr="00730B1E">
              <w:rPr>
                <w:rFonts w:eastAsia="Times New Roman"/>
                <w:szCs w:val="24"/>
                <w:lang w:eastAsia="cs-CZ"/>
              </w:rPr>
              <w:t xml:space="preserve"> </w:t>
            </w:r>
            <w:r w:rsidRPr="00730B1E">
              <w:rPr>
                <w:rFonts w:eastAsia="Times New Roman"/>
                <w:szCs w:val="24"/>
                <w:lang w:eastAsia="cs-CZ"/>
              </w:rPr>
              <w:t>490</w:t>
            </w:r>
          </w:p>
        </w:tc>
        <w:tc>
          <w:tcPr>
            <w:tcW w:w="835" w:type="dxa"/>
            <w:tcBorders>
              <w:top w:val="nil"/>
              <w:left w:val="nil"/>
              <w:bottom w:val="single" w:sz="4" w:space="0" w:color="auto"/>
              <w:right w:val="nil"/>
            </w:tcBorders>
            <w:shd w:val="clear" w:color="auto" w:fill="auto"/>
            <w:noWrap/>
            <w:vAlign w:val="center"/>
            <w:hideMark/>
          </w:tcPr>
          <w:p w14:paraId="60C3A099"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044" w:type="dxa"/>
            <w:tcBorders>
              <w:top w:val="nil"/>
              <w:left w:val="single" w:sz="4" w:space="0" w:color="auto"/>
              <w:bottom w:val="single" w:sz="4" w:space="0" w:color="auto"/>
              <w:right w:val="nil"/>
            </w:tcBorders>
            <w:shd w:val="clear" w:color="auto" w:fill="auto"/>
            <w:noWrap/>
            <w:vAlign w:val="bottom"/>
            <w:hideMark/>
          </w:tcPr>
          <w:p w14:paraId="4BF4FB6D" w14:textId="6E3B2916"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10</w:t>
            </w:r>
            <w:r w:rsidR="00CF5DA7" w:rsidRPr="00730B1E">
              <w:rPr>
                <w:rFonts w:eastAsia="Times New Roman"/>
                <w:szCs w:val="24"/>
                <w:lang w:eastAsia="cs-CZ"/>
              </w:rPr>
              <w:t xml:space="preserve"> </w:t>
            </w:r>
            <w:r w:rsidRPr="00730B1E">
              <w:rPr>
                <w:rFonts w:eastAsia="Times New Roman"/>
                <w:szCs w:val="24"/>
                <w:lang w:eastAsia="cs-CZ"/>
              </w:rPr>
              <w:t>744</w:t>
            </w:r>
          </w:p>
        </w:tc>
        <w:tc>
          <w:tcPr>
            <w:tcW w:w="835" w:type="dxa"/>
            <w:tcBorders>
              <w:top w:val="nil"/>
              <w:left w:val="nil"/>
              <w:bottom w:val="single" w:sz="4" w:space="0" w:color="auto"/>
              <w:right w:val="single" w:sz="4" w:space="0" w:color="auto"/>
            </w:tcBorders>
            <w:shd w:val="clear" w:color="auto" w:fill="auto"/>
            <w:noWrap/>
            <w:vAlign w:val="center"/>
            <w:hideMark/>
          </w:tcPr>
          <w:p w14:paraId="105E6961"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51" w:type="dxa"/>
            <w:tcBorders>
              <w:top w:val="nil"/>
              <w:left w:val="nil"/>
              <w:bottom w:val="single" w:sz="4" w:space="0" w:color="auto"/>
              <w:right w:val="nil"/>
            </w:tcBorders>
            <w:shd w:val="clear" w:color="auto" w:fill="auto"/>
            <w:noWrap/>
            <w:vAlign w:val="bottom"/>
            <w:hideMark/>
          </w:tcPr>
          <w:p w14:paraId="10FD6D7B" w14:textId="02EDE9C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2</w:t>
            </w:r>
            <w:r w:rsidR="00CF5DA7" w:rsidRPr="00730B1E">
              <w:rPr>
                <w:rFonts w:eastAsia="Times New Roman"/>
                <w:szCs w:val="24"/>
                <w:lang w:eastAsia="cs-CZ"/>
              </w:rPr>
              <w:t xml:space="preserve"> </w:t>
            </w:r>
            <w:r w:rsidRPr="00730B1E">
              <w:rPr>
                <w:rFonts w:eastAsia="Times New Roman"/>
                <w:szCs w:val="24"/>
                <w:lang w:eastAsia="cs-CZ"/>
              </w:rPr>
              <w:t>286</w:t>
            </w:r>
          </w:p>
        </w:tc>
        <w:tc>
          <w:tcPr>
            <w:tcW w:w="872" w:type="dxa"/>
            <w:tcBorders>
              <w:top w:val="nil"/>
              <w:left w:val="nil"/>
              <w:bottom w:val="single" w:sz="4" w:space="0" w:color="auto"/>
              <w:right w:val="single" w:sz="4" w:space="0" w:color="auto"/>
            </w:tcBorders>
            <w:shd w:val="clear" w:color="auto" w:fill="auto"/>
            <w:noWrap/>
            <w:vAlign w:val="center"/>
            <w:hideMark/>
          </w:tcPr>
          <w:p w14:paraId="655DC6D9"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471" w:type="dxa"/>
            <w:tcBorders>
              <w:top w:val="nil"/>
              <w:left w:val="nil"/>
              <w:bottom w:val="single" w:sz="4" w:space="0" w:color="auto"/>
              <w:right w:val="nil"/>
            </w:tcBorders>
            <w:shd w:val="clear" w:color="auto" w:fill="auto"/>
            <w:noWrap/>
            <w:vAlign w:val="center"/>
            <w:hideMark/>
          </w:tcPr>
          <w:p w14:paraId="59A25164" w14:textId="639CC88C"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102,4 %</w:t>
            </w:r>
          </w:p>
        </w:tc>
      </w:tr>
      <w:tr w:rsidR="00B64E96" w:rsidRPr="00730B1E" w14:paraId="4DD1E3F0" w14:textId="77777777" w:rsidTr="00CF5DA7">
        <w:trPr>
          <w:trHeight w:val="315"/>
        </w:trPr>
        <w:tc>
          <w:tcPr>
            <w:tcW w:w="2020" w:type="dxa"/>
            <w:tcBorders>
              <w:top w:val="nil"/>
              <w:left w:val="nil"/>
              <w:bottom w:val="single" w:sz="4" w:space="0" w:color="auto"/>
              <w:right w:val="nil"/>
            </w:tcBorders>
            <w:shd w:val="clear" w:color="auto" w:fill="auto"/>
            <w:noWrap/>
            <w:vAlign w:val="bottom"/>
            <w:hideMark/>
          </w:tcPr>
          <w:p w14:paraId="3C85CB08" w14:textId="77777777" w:rsidR="005F6AF5" w:rsidRPr="00730B1E" w:rsidRDefault="005F6AF5" w:rsidP="005F6AF5">
            <w:pPr>
              <w:spacing w:line="240" w:lineRule="auto"/>
              <w:jc w:val="left"/>
              <w:rPr>
                <w:rFonts w:eastAsia="Times New Roman"/>
                <w:szCs w:val="24"/>
                <w:lang w:eastAsia="cs-CZ"/>
              </w:rPr>
            </w:pPr>
            <w:r w:rsidRPr="00730B1E">
              <w:rPr>
                <w:rFonts w:eastAsia="Times New Roman"/>
                <w:szCs w:val="24"/>
                <w:lang w:eastAsia="cs-CZ"/>
              </w:rPr>
              <w:t>KS Hr. Králové</w:t>
            </w:r>
          </w:p>
        </w:tc>
        <w:tc>
          <w:tcPr>
            <w:tcW w:w="1044" w:type="dxa"/>
            <w:tcBorders>
              <w:top w:val="nil"/>
              <w:left w:val="nil"/>
              <w:bottom w:val="single" w:sz="4" w:space="0" w:color="auto"/>
              <w:right w:val="nil"/>
            </w:tcBorders>
            <w:shd w:val="clear" w:color="auto" w:fill="auto"/>
            <w:noWrap/>
            <w:vAlign w:val="bottom"/>
            <w:hideMark/>
          </w:tcPr>
          <w:p w14:paraId="73CAD7BB" w14:textId="41D3EF50"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5</w:t>
            </w:r>
            <w:r w:rsidR="00CF5DA7" w:rsidRPr="00730B1E">
              <w:rPr>
                <w:rFonts w:eastAsia="Times New Roman"/>
                <w:szCs w:val="24"/>
                <w:lang w:eastAsia="cs-CZ"/>
              </w:rPr>
              <w:t xml:space="preserve"> </w:t>
            </w:r>
            <w:r w:rsidRPr="00730B1E">
              <w:rPr>
                <w:rFonts w:eastAsia="Times New Roman"/>
                <w:szCs w:val="24"/>
                <w:lang w:eastAsia="cs-CZ"/>
              </w:rPr>
              <w:t>760</w:t>
            </w:r>
          </w:p>
        </w:tc>
        <w:tc>
          <w:tcPr>
            <w:tcW w:w="835" w:type="dxa"/>
            <w:tcBorders>
              <w:top w:val="nil"/>
              <w:left w:val="nil"/>
              <w:bottom w:val="single" w:sz="4" w:space="0" w:color="auto"/>
              <w:right w:val="nil"/>
            </w:tcBorders>
            <w:shd w:val="clear" w:color="auto" w:fill="auto"/>
            <w:noWrap/>
            <w:vAlign w:val="center"/>
            <w:hideMark/>
          </w:tcPr>
          <w:p w14:paraId="47C31B5E"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044" w:type="dxa"/>
            <w:tcBorders>
              <w:top w:val="nil"/>
              <w:left w:val="single" w:sz="4" w:space="0" w:color="auto"/>
              <w:bottom w:val="single" w:sz="4" w:space="0" w:color="auto"/>
              <w:right w:val="nil"/>
            </w:tcBorders>
            <w:shd w:val="clear" w:color="auto" w:fill="auto"/>
            <w:noWrap/>
            <w:vAlign w:val="bottom"/>
            <w:hideMark/>
          </w:tcPr>
          <w:p w14:paraId="22FDB77F" w14:textId="44A7616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5</w:t>
            </w:r>
            <w:r w:rsidR="006561B9" w:rsidRPr="00730B1E">
              <w:rPr>
                <w:rFonts w:eastAsia="Times New Roman"/>
                <w:szCs w:val="24"/>
                <w:lang w:eastAsia="cs-CZ"/>
              </w:rPr>
              <w:t xml:space="preserve"> </w:t>
            </w:r>
            <w:r w:rsidRPr="00730B1E">
              <w:rPr>
                <w:rFonts w:eastAsia="Times New Roman"/>
                <w:szCs w:val="24"/>
                <w:lang w:eastAsia="cs-CZ"/>
              </w:rPr>
              <w:t>739</w:t>
            </w:r>
          </w:p>
        </w:tc>
        <w:tc>
          <w:tcPr>
            <w:tcW w:w="835" w:type="dxa"/>
            <w:tcBorders>
              <w:top w:val="nil"/>
              <w:left w:val="nil"/>
              <w:bottom w:val="single" w:sz="4" w:space="0" w:color="auto"/>
              <w:right w:val="single" w:sz="4" w:space="0" w:color="auto"/>
            </w:tcBorders>
            <w:shd w:val="clear" w:color="auto" w:fill="auto"/>
            <w:noWrap/>
            <w:vAlign w:val="center"/>
            <w:hideMark/>
          </w:tcPr>
          <w:p w14:paraId="7A754E83"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51" w:type="dxa"/>
            <w:tcBorders>
              <w:top w:val="nil"/>
              <w:left w:val="nil"/>
              <w:bottom w:val="single" w:sz="4" w:space="0" w:color="auto"/>
              <w:right w:val="nil"/>
            </w:tcBorders>
            <w:shd w:val="clear" w:color="auto" w:fill="auto"/>
            <w:noWrap/>
            <w:vAlign w:val="bottom"/>
            <w:hideMark/>
          </w:tcPr>
          <w:p w14:paraId="0151ED75" w14:textId="77777777"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541</w:t>
            </w:r>
          </w:p>
        </w:tc>
        <w:tc>
          <w:tcPr>
            <w:tcW w:w="872" w:type="dxa"/>
            <w:tcBorders>
              <w:top w:val="nil"/>
              <w:left w:val="nil"/>
              <w:bottom w:val="single" w:sz="4" w:space="0" w:color="auto"/>
              <w:right w:val="single" w:sz="4" w:space="0" w:color="auto"/>
            </w:tcBorders>
            <w:shd w:val="clear" w:color="auto" w:fill="auto"/>
            <w:noWrap/>
            <w:vAlign w:val="center"/>
            <w:hideMark/>
          </w:tcPr>
          <w:p w14:paraId="3F0F4A57"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1471" w:type="dxa"/>
            <w:tcBorders>
              <w:top w:val="nil"/>
              <w:left w:val="nil"/>
              <w:bottom w:val="single" w:sz="4" w:space="0" w:color="auto"/>
              <w:right w:val="nil"/>
            </w:tcBorders>
            <w:shd w:val="clear" w:color="auto" w:fill="auto"/>
            <w:noWrap/>
            <w:vAlign w:val="center"/>
            <w:hideMark/>
          </w:tcPr>
          <w:p w14:paraId="48A3C538" w14:textId="2E33FC74"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99,6 %</w:t>
            </w:r>
          </w:p>
        </w:tc>
      </w:tr>
      <w:tr w:rsidR="00B64E96" w:rsidRPr="00730B1E" w14:paraId="4EADBD51" w14:textId="77777777" w:rsidTr="00CF5DA7">
        <w:trPr>
          <w:trHeight w:val="315"/>
        </w:trPr>
        <w:tc>
          <w:tcPr>
            <w:tcW w:w="2020" w:type="dxa"/>
            <w:tcBorders>
              <w:top w:val="nil"/>
              <w:left w:val="nil"/>
              <w:bottom w:val="single" w:sz="4" w:space="0" w:color="auto"/>
              <w:right w:val="nil"/>
            </w:tcBorders>
            <w:shd w:val="clear" w:color="auto" w:fill="auto"/>
            <w:noWrap/>
            <w:vAlign w:val="bottom"/>
            <w:hideMark/>
          </w:tcPr>
          <w:p w14:paraId="08224BED" w14:textId="77777777" w:rsidR="005F6AF5" w:rsidRPr="00730B1E" w:rsidRDefault="005F6AF5" w:rsidP="005F6AF5">
            <w:pPr>
              <w:spacing w:line="240" w:lineRule="auto"/>
              <w:jc w:val="left"/>
              <w:rPr>
                <w:rFonts w:eastAsia="Times New Roman"/>
                <w:szCs w:val="24"/>
                <w:lang w:eastAsia="cs-CZ"/>
              </w:rPr>
            </w:pPr>
            <w:r w:rsidRPr="00730B1E">
              <w:rPr>
                <w:rFonts w:eastAsia="Times New Roman"/>
                <w:szCs w:val="24"/>
                <w:lang w:eastAsia="cs-CZ"/>
              </w:rPr>
              <w:t>KS Brno</w:t>
            </w:r>
          </w:p>
        </w:tc>
        <w:tc>
          <w:tcPr>
            <w:tcW w:w="1044" w:type="dxa"/>
            <w:tcBorders>
              <w:top w:val="nil"/>
              <w:left w:val="nil"/>
              <w:bottom w:val="single" w:sz="4" w:space="0" w:color="auto"/>
              <w:right w:val="nil"/>
            </w:tcBorders>
            <w:shd w:val="clear" w:color="auto" w:fill="auto"/>
            <w:noWrap/>
            <w:vAlign w:val="bottom"/>
            <w:hideMark/>
          </w:tcPr>
          <w:p w14:paraId="26C77F7E" w14:textId="19691574"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10</w:t>
            </w:r>
            <w:r w:rsidR="00CF5DA7" w:rsidRPr="00730B1E">
              <w:rPr>
                <w:rFonts w:eastAsia="Times New Roman"/>
                <w:szCs w:val="24"/>
                <w:lang w:eastAsia="cs-CZ"/>
              </w:rPr>
              <w:t xml:space="preserve"> </w:t>
            </w:r>
            <w:r w:rsidRPr="00730B1E">
              <w:rPr>
                <w:rFonts w:eastAsia="Times New Roman"/>
                <w:szCs w:val="24"/>
                <w:lang w:eastAsia="cs-CZ"/>
              </w:rPr>
              <w:t>010</w:t>
            </w:r>
          </w:p>
        </w:tc>
        <w:tc>
          <w:tcPr>
            <w:tcW w:w="835" w:type="dxa"/>
            <w:tcBorders>
              <w:top w:val="nil"/>
              <w:left w:val="nil"/>
              <w:bottom w:val="single" w:sz="4" w:space="0" w:color="auto"/>
              <w:right w:val="nil"/>
            </w:tcBorders>
            <w:shd w:val="clear" w:color="auto" w:fill="auto"/>
            <w:noWrap/>
            <w:vAlign w:val="center"/>
            <w:hideMark/>
          </w:tcPr>
          <w:p w14:paraId="4E72C7AF"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1044" w:type="dxa"/>
            <w:tcBorders>
              <w:top w:val="nil"/>
              <w:left w:val="single" w:sz="4" w:space="0" w:color="auto"/>
              <w:bottom w:val="single" w:sz="4" w:space="0" w:color="auto"/>
              <w:right w:val="nil"/>
            </w:tcBorders>
            <w:shd w:val="clear" w:color="auto" w:fill="auto"/>
            <w:noWrap/>
            <w:vAlign w:val="bottom"/>
            <w:hideMark/>
          </w:tcPr>
          <w:p w14:paraId="24636648" w14:textId="36CCB3A0"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9</w:t>
            </w:r>
            <w:r w:rsidR="00CF5DA7" w:rsidRPr="00730B1E">
              <w:rPr>
                <w:rFonts w:eastAsia="Times New Roman"/>
                <w:szCs w:val="24"/>
                <w:lang w:eastAsia="cs-CZ"/>
              </w:rPr>
              <w:t xml:space="preserve"> </w:t>
            </w:r>
            <w:r w:rsidRPr="00730B1E">
              <w:rPr>
                <w:rFonts w:eastAsia="Times New Roman"/>
                <w:szCs w:val="24"/>
                <w:lang w:eastAsia="cs-CZ"/>
              </w:rPr>
              <w:t>996</w:t>
            </w:r>
          </w:p>
        </w:tc>
        <w:tc>
          <w:tcPr>
            <w:tcW w:w="835" w:type="dxa"/>
            <w:tcBorders>
              <w:top w:val="nil"/>
              <w:left w:val="nil"/>
              <w:bottom w:val="single" w:sz="4" w:space="0" w:color="auto"/>
              <w:right w:val="single" w:sz="4" w:space="0" w:color="auto"/>
            </w:tcBorders>
            <w:shd w:val="clear" w:color="auto" w:fill="auto"/>
            <w:noWrap/>
            <w:vAlign w:val="center"/>
            <w:hideMark/>
          </w:tcPr>
          <w:p w14:paraId="1457AC9A"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951" w:type="dxa"/>
            <w:tcBorders>
              <w:top w:val="nil"/>
              <w:left w:val="nil"/>
              <w:bottom w:val="single" w:sz="4" w:space="0" w:color="auto"/>
              <w:right w:val="nil"/>
            </w:tcBorders>
            <w:shd w:val="clear" w:color="auto" w:fill="auto"/>
            <w:noWrap/>
            <w:vAlign w:val="bottom"/>
            <w:hideMark/>
          </w:tcPr>
          <w:p w14:paraId="02855EA0" w14:textId="29CBA0B3"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w:t>
            </w:r>
            <w:r w:rsidR="00CF5DA7" w:rsidRPr="00730B1E">
              <w:rPr>
                <w:rFonts w:eastAsia="Times New Roman"/>
                <w:szCs w:val="24"/>
                <w:lang w:eastAsia="cs-CZ"/>
              </w:rPr>
              <w:t xml:space="preserve"> </w:t>
            </w:r>
            <w:r w:rsidRPr="00730B1E">
              <w:rPr>
                <w:rFonts w:eastAsia="Times New Roman"/>
                <w:szCs w:val="24"/>
                <w:lang w:eastAsia="cs-CZ"/>
              </w:rPr>
              <w:t>374</w:t>
            </w:r>
          </w:p>
        </w:tc>
        <w:tc>
          <w:tcPr>
            <w:tcW w:w="872" w:type="dxa"/>
            <w:tcBorders>
              <w:top w:val="nil"/>
              <w:left w:val="nil"/>
              <w:bottom w:val="single" w:sz="4" w:space="0" w:color="auto"/>
              <w:right w:val="single" w:sz="4" w:space="0" w:color="auto"/>
            </w:tcBorders>
            <w:shd w:val="clear" w:color="auto" w:fill="auto"/>
            <w:noWrap/>
            <w:vAlign w:val="center"/>
            <w:hideMark/>
          </w:tcPr>
          <w:p w14:paraId="518BC8F6"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471" w:type="dxa"/>
            <w:tcBorders>
              <w:top w:val="nil"/>
              <w:left w:val="nil"/>
              <w:bottom w:val="single" w:sz="4" w:space="0" w:color="auto"/>
              <w:right w:val="nil"/>
            </w:tcBorders>
            <w:shd w:val="clear" w:color="auto" w:fill="auto"/>
            <w:noWrap/>
            <w:vAlign w:val="center"/>
            <w:hideMark/>
          </w:tcPr>
          <w:p w14:paraId="7AA95EFB" w14:textId="1B711504"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99,9 %</w:t>
            </w:r>
          </w:p>
        </w:tc>
      </w:tr>
      <w:tr w:rsidR="00B64E96" w:rsidRPr="00730B1E" w14:paraId="0DD21D6A" w14:textId="77777777" w:rsidTr="00084651">
        <w:trPr>
          <w:trHeight w:val="330"/>
        </w:trPr>
        <w:tc>
          <w:tcPr>
            <w:tcW w:w="2020" w:type="dxa"/>
            <w:tcBorders>
              <w:top w:val="nil"/>
              <w:left w:val="nil"/>
              <w:bottom w:val="double" w:sz="6" w:space="0" w:color="auto"/>
              <w:right w:val="nil"/>
            </w:tcBorders>
            <w:shd w:val="clear" w:color="auto" w:fill="auto"/>
            <w:noWrap/>
            <w:vAlign w:val="bottom"/>
            <w:hideMark/>
          </w:tcPr>
          <w:p w14:paraId="7A44A942" w14:textId="77777777" w:rsidR="005F6AF5" w:rsidRPr="00730B1E" w:rsidRDefault="005F6AF5" w:rsidP="005F6AF5">
            <w:pPr>
              <w:spacing w:line="240" w:lineRule="auto"/>
              <w:jc w:val="left"/>
              <w:rPr>
                <w:rFonts w:eastAsia="Times New Roman"/>
                <w:szCs w:val="24"/>
                <w:lang w:eastAsia="cs-CZ"/>
              </w:rPr>
            </w:pPr>
            <w:r w:rsidRPr="00730B1E">
              <w:rPr>
                <w:rFonts w:eastAsia="Times New Roman"/>
                <w:szCs w:val="24"/>
                <w:lang w:eastAsia="cs-CZ"/>
              </w:rPr>
              <w:t>KS Ostrava</w:t>
            </w:r>
          </w:p>
        </w:tc>
        <w:tc>
          <w:tcPr>
            <w:tcW w:w="1044" w:type="dxa"/>
            <w:tcBorders>
              <w:top w:val="nil"/>
              <w:left w:val="nil"/>
              <w:bottom w:val="double" w:sz="6" w:space="0" w:color="auto"/>
              <w:right w:val="nil"/>
            </w:tcBorders>
            <w:shd w:val="clear" w:color="auto" w:fill="auto"/>
            <w:noWrap/>
            <w:vAlign w:val="bottom"/>
            <w:hideMark/>
          </w:tcPr>
          <w:p w14:paraId="371E4B34" w14:textId="5B20CC7A"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12</w:t>
            </w:r>
            <w:r w:rsidR="00CF5DA7" w:rsidRPr="00730B1E">
              <w:rPr>
                <w:rFonts w:eastAsia="Times New Roman"/>
                <w:szCs w:val="24"/>
                <w:lang w:eastAsia="cs-CZ"/>
              </w:rPr>
              <w:t xml:space="preserve"> </w:t>
            </w:r>
            <w:r w:rsidRPr="00730B1E">
              <w:rPr>
                <w:rFonts w:eastAsia="Times New Roman"/>
                <w:szCs w:val="24"/>
                <w:lang w:eastAsia="cs-CZ"/>
              </w:rPr>
              <w:t>860</w:t>
            </w:r>
          </w:p>
        </w:tc>
        <w:tc>
          <w:tcPr>
            <w:tcW w:w="835" w:type="dxa"/>
            <w:tcBorders>
              <w:top w:val="nil"/>
              <w:left w:val="nil"/>
              <w:bottom w:val="double" w:sz="6" w:space="0" w:color="auto"/>
              <w:right w:val="nil"/>
            </w:tcBorders>
            <w:shd w:val="clear" w:color="auto" w:fill="auto"/>
            <w:noWrap/>
            <w:vAlign w:val="center"/>
            <w:hideMark/>
          </w:tcPr>
          <w:p w14:paraId="2037D80B"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44" w:type="dxa"/>
            <w:tcBorders>
              <w:top w:val="nil"/>
              <w:left w:val="single" w:sz="4" w:space="0" w:color="auto"/>
              <w:bottom w:val="double" w:sz="6" w:space="0" w:color="auto"/>
              <w:right w:val="nil"/>
            </w:tcBorders>
            <w:shd w:val="clear" w:color="auto" w:fill="auto"/>
            <w:noWrap/>
            <w:vAlign w:val="bottom"/>
            <w:hideMark/>
          </w:tcPr>
          <w:p w14:paraId="1967E2C8" w14:textId="2965E0FF"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12</w:t>
            </w:r>
            <w:r w:rsidR="00CF5DA7" w:rsidRPr="00730B1E">
              <w:rPr>
                <w:rFonts w:eastAsia="Times New Roman"/>
                <w:szCs w:val="24"/>
                <w:lang w:eastAsia="cs-CZ"/>
              </w:rPr>
              <w:t xml:space="preserve"> </w:t>
            </w:r>
            <w:r w:rsidRPr="00730B1E">
              <w:rPr>
                <w:rFonts w:eastAsia="Times New Roman"/>
                <w:szCs w:val="24"/>
                <w:lang w:eastAsia="cs-CZ"/>
              </w:rPr>
              <w:t>821</w:t>
            </w:r>
          </w:p>
        </w:tc>
        <w:tc>
          <w:tcPr>
            <w:tcW w:w="835" w:type="dxa"/>
            <w:tcBorders>
              <w:top w:val="nil"/>
              <w:left w:val="nil"/>
              <w:bottom w:val="double" w:sz="6" w:space="0" w:color="auto"/>
              <w:right w:val="single" w:sz="4" w:space="0" w:color="auto"/>
            </w:tcBorders>
            <w:shd w:val="clear" w:color="auto" w:fill="auto"/>
            <w:noWrap/>
            <w:vAlign w:val="center"/>
            <w:hideMark/>
          </w:tcPr>
          <w:p w14:paraId="4173E2C1"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951" w:type="dxa"/>
            <w:tcBorders>
              <w:top w:val="nil"/>
              <w:left w:val="nil"/>
              <w:bottom w:val="double" w:sz="6" w:space="0" w:color="auto"/>
              <w:right w:val="nil"/>
            </w:tcBorders>
            <w:shd w:val="clear" w:color="auto" w:fill="auto"/>
            <w:noWrap/>
            <w:vAlign w:val="bottom"/>
            <w:hideMark/>
          </w:tcPr>
          <w:p w14:paraId="15CEE6A0" w14:textId="0E37C415"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2</w:t>
            </w:r>
            <w:r w:rsidR="00CF5DA7" w:rsidRPr="00730B1E">
              <w:rPr>
                <w:rFonts w:eastAsia="Times New Roman"/>
                <w:szCs w:val="24"/>
                <w:lang w:eastAsia="cs-CZ"/>
              </w:rPr>
              <w:t xml:space="preserve"> </w:t>
            </w:r>
            <w:r w:rsidRPr="00730B1E">
              <w:rPr>
                <w:rFonts w:eastAsia="Times New Roman"/>
                <w:szCs w:val="24"/>
                <w:lang w:eastAsia="cs-CZ"/>
              </w:rPr>
              <w:t>197</w:t>
            </w:r>
          </w:p>
        </w:tc>
        <w:tc>
          <w:tcPr>
            <w:tcW w:w="872" w:type="dxa"/>
            <w:tcBorders>
              <w:top w:val="nil"/>
              <w:left w:val="nil"/>
              <w:bottom w:val="double" w:sz="6" w:space="0" w:color="auto"/>
              <w:right w:val="single" w:sz="4" w:space="0" w:color="auto"/>
            </w:tcBorders>
            <w:shd w:val="clear" w:color="auto" w:fill="auto"/>
            <w:noWrap/>
            <w:vAlign w:val="center"/>
            <w:hideMark/>
          </w:tcPr>
          <w:p w14:paraId="3D7239CE" w14:textId="77777777" w:rsidR="005F6AF5" w:rsidRPr="00730B1E" w:rsidRDefault="005F6AF5" w:rsidP="005F6AF5">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471" w:type="dxa"/>
            <w:tcBorders>
              <w:top w:val="nil"/>
              <w:left w:val="nil"/>
              <w:bottom w:val="nil"/>
              <w:right w:val="nil"/>
            </w:tcBorders>
            <w:shd w:val="clear" w:color="auto" w:fill="auto"/>
            <w:noWrap/>
            <w:vAlign w:val="center"/>
            <w:hideMark/>
          </w:tcPr>
          <w:p w14:paraId="622057B8" w14:textId="1EBC70ED" w:rsidR="005F6AF5" w:rsidRPr="00730B1E" w:rsidRDefault="005F6AF5" w:rsidP="005F6AF5">
            <w:pPr>
              <w:spacing w:line="240" w:lineRule="auto"/>
              <w:jc w:val="center"/>
              <w:rPr>
                <w:rFonts w:eastAsia="Times New Roman"/>
                <w:szCs w:val="24"/>
                <w:lang w:eastAsia="cs-CZ"/>
              </w:rPr>
            </w:pPr>
            <w:r w:rsidRPr="00730B1E">
              <w:rPr>
                <w:rFonts w:eastAsia="Times New Roman"/>
                <w:szCs w:val="24"/>
                <w:lang w:eastAsia="cs-CZ"/>
              </w:rPr>
              <w:t>99,7 %</w:t>
            </w:r>
          </w:p>
        </w:tc>
      </w:tr>
      <w:tr w:rsidR="00B64E96" w:rsidRPr="00730B1E" w14:paraId="569F765D" w14:textId="77777777" w:rsidTr="00084651">
        <w:trPr>
          <w:trHeight w:val="345"/>
        </w:trPr>
        <w:tc>
          <w:tcPr>
            <w:tcW w:w="2020" w:type="dxa"/>
            <w:tcBorders>
              <w:top w:val="nil"/>
              <w:left w:val="nil"/>
              <w:bottom w:val="double" w:sz="6" w:space="0" w:color="auto"/>
              <w:right w:val="nil"/>
            </w:tcBorders>
            <w:shd w:val="clear" w:color="auto" w:fill="auto"/>
            <w:noWrap/>
            <w:vAlign w:val="bottom"/>
            <w:hideMark/>
          </w:tcPr>
          <w:p w14:paraId="50BF30BE" w14:textId="77777777" w:rsidR="005F6AF5" w:rsidRPr="00730B1E" w:rsidRDefault="005F6AF5" w:rsidP="005F6AF5">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44" w:type="dxa"/>
            <w:tcBorders>
              <w:top w:val="nil"/>
              <w:left w:val="nil"/>
              <w:bottom w:val="double" w:sz="6" w:space="0" w:color="auto"/>
              <w:right w:val="nil"/>
            </w:tcBorders>
            <w:shd w:val="clear" w:color="auto" w:fill="auto"/>
            <w:noWrap/>
            <w:vAlign w:val="bottom"/>
            <w:hideMark/>
          </w:tcPr>
          <w:p w14:paraId="51BDBC91" w14:textId="188F4C8A"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65</w:t>
            </w:r>
            <w:r w:rsidR="00CF5DA7" w:rsidRPr="00730B1E">
              <w:rPr>
                <w:rFonts w:eastAsia="Times New Roman"/>
                <w:b/>
                <w:bCs/>
                <w:szCs w:val="24"/>
                <w:lang w:eastAsia="cs-CZ"/>
              </w:rPr>
              <w:t xml:space="preserve"> </w:t>
            </w:r>
            <w:r w:rsidRPr="00730B1E">
              <w:rPr>
                <w:rFonts w:eastAsia="Times New Roman"/>
                <w:b/>
                <w:bCs/>
                <w:szCs w:val="24"/>
                <w:lang w:eastAsia="cs-CZ"/>
              </w:rPr>
              <w:t>742</w:t>
            </w:r>
          </w:p>
        </w:tc>
        <w:tc>
          <w:tcPr>
            <w:tcW w:w="835" w:type="dxa"/>
            <w:tcBorders>
              <w:top w:val="nil"/>
              <w:left w:val="nil"/>
              <w:bottom w:val="double" w:sz="6" w:space="0" w:color="auto"/>
              <w:right w:val="nil"/>
            </w:tcBorders>
            <w:shd w:val="clear" w:color="auto" w:fill="auto"/>
            <w:noWrap/>
            <w:vAlign w:val="center"/>
            <w:hideMark/>
          </w:tcPr>
          <w:p w14:paraId="76F7F4D1" w14:textId="77777777" w:rsidR="005F6AF5" w:rsidRPr="00730B1E" w:rsidRDefault="005F6AF5" w:rsidP="005F6AF5">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+2 %  </w:t>
            </w:r>
          </w:p>
        </w:tc>
        <w:tc>
          <w:tcPr>
            <w:tcW w:w="1044" w:type="dxa"/>
            <w:tcBorders>
              <w:top w:val="nil"/>
              <w:left w:val="single" w:sz="4" w:space="0" w:color="auto"/>
              <w:bottom w:val="double" w:sz="6" w:space="0" w:color="auto"/>
              <w:right w:val="nil"/>
            </w:tcBorders>
            <w:shd w:val="clear" w:color="auto" w:fill="auto"/>
            <w:noWrap/>
            <w:vAlign w:val="bottom"/>
            <w:hideMark/>
          </w:tcPr>
          <w:p w14:paraId="2177F694" w14:textId="01E5A986"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66</w:t>
            </w:r>
            <w:r w:rsidR="00CF5DA7" w:rsidRPr="00730B1E">
              <w:rPr>
                <w:rFonts w:eastAsia="Times New Roman"/>
                <w:b/>
                <w:bCs/>
                <w:szCs w:val="24"/>
                <w:lang w:eastAsia="cs-CZ"/>
              </w:rPr>
              <w:t xml:space="preserve"> </w:t>
            </w:r>
            <w:r w:rsidRPr="00730B1E">
              <w:rPr>
                <w:rFonts w:eastAsia="Times New Roman"/>
                <w:b/>
                <w:bCs/>
                <w:szCs w:val="24"/>
                <w:lang w:eastAsia="cs-CZ"/>
              </w:rPr>
              <w:t>023</w:t>
            </w:r>
          </w:p>
        </w:tc>
        <w:tc>
          <w:tcPr>
            <w:tcW w:w="835" w:type="dxa"/>
            <w:tcBorders>
              <w:top w:val="nil"/>
              <w:left w:val="nil"/>
              <w:bottom w:val="double" w:sz="6" w:space="0" w:color="auto"/>
              <w:right w:val="single" w:sz="4" w:space="0" w:color="auto"/>
            </w:tcBorders>
            <w:shd w:val="clear" w:color="auto" w:fill="auto"/>
            <w:noWrap/>
            <w:vAlign w:val="center"/>
            <w:hideMark/>
          </w:tcPr>
          <w:p w14:paraId="123B60F6" w14:textId="77777777" w:rsidR="005F6AF5" w:rsidRPr="00730B1E" w:rsidRDefault="005F6AF5" w:rsidP="005F6AF5">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+2 %  </w:t>
            </w:r>
          </w:p>
        </w:tc>
        <w:tc>
          <w:tcPr>
            <w:tcW w:w="951" w:type="dxa"/>
            <w:tcBorders>
              <w:top w:val="nil"/>
              <w:left w:val="nil"/>
              <w:bottom w:val="double" w:sz="6" w:space="0" w:color="auto"/>
              <w:right w:val="nil"/>
            </w:tcBorders>
            <w:shd w:val="clear" w:color="auto" w:fill="auto"/>
            <w:noWrap/>
            <w:vAlign w:val="bottom"/>
            <w:hideMark/>
          </w:tcPr>
          <w:p w14:paraId="0B038501" w14:textId="13D17A02"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9</w:t>
            </w:r>
            <w:r w:rsidR="00CF5DA7" w:rsidRPr="00730B1E">
              <w:rPr>
                <w:rFonts w:eastAsia="Times New Roman"/>
                <w:b/>
                <w:bCs/>
                <w:szCs w:val="24"/>
                <w:lang w:eastAsia="cs-CZ"/>
              </w:rPr>
              <w:t xml:space="preserve"> </w:t>
            </w:r>
            <w:r w:rsidRPr="00730B1E">
              <w:rPr>
                <w:rFonts w:eastAsia="Times New Roman"/>
                <w:b/>
                <w:bCs/>
                <w:szCs w:val="24"/>
                <w:lang w:eastAsia="cs-CZ"/>
              </w:rPr>
              <w:t>248</w:t>
            </w:r>
          </w:p>
        </w:tc>
        <w:tc>
          <w:tcPr>
            <w:tcW w:w="872" w:type="dxa"/>
            <w:tcBorders>
              <w:top w:val="nil"/>
              <w:left w:val="nil"/>
              <w:bottom w:val="double" w:sz="6" w:space="0" w:color="auto"/>
              <w:right w:val="single" w:sz="4" w:space="0" w:color="auto"/>
            </w:tcBorders>
            <w:shd w:val="clear" w:color="auto" w:fill="auto"/>
            <w:noWrap/>
            <w:vAlign w:val="center"/>
            <w:hideMark/>
          </w:tcPr>
          <w:p w14:paraId="21121D5B" w14:textId="77777777" w:rsidR="005F6AF5" w:rsidRPr="00730B1E" w:rsidRDefault="005F6AF5" w:rsidP="005F6AF5">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-3 %  </w:t>
            </w:r>
          </w:p>
        </w:tc>
        <w:tc>
          <w:tcPr>
            <w:tcW w:w="1471" w:type="dxa"/>
            <w:tcBorders>
              <w:top w:val="double" w:sz="6" w:space="0" w:color="auto"/>
              <w:left w:val="nil"/>
              <w:bottom w:val="double" w:sz="6" w:space="0" w:color="auto"/>
              <w:right w:val="nil"/>
            </w:tcBorders>
            <w:shd w:val="clear" w:color="auto" w:fill="auto"/>
            <w:noWrap/>
            <w:vAlign w:val="center"/>
            <w:hideMark/>
          </w:tcPr>
          <w:p w14:paraId="4EFCE30E" w14:textId="73F08A05" w:rsidR="005F6AF5" w:rsidRPr="00730B1E" w:rsidRDefault="005F6AF5" w:rsidP="005F6AF5">
            <w:pPr>
              <w:spacing w:line="240" w:lineRule="auto"/>
              <w:jc w:val="center"/>
              <w:rPr>
                <w:rFonts w:eastAsia="Times New Roman"/>
                <w:b/>
                <w:bCs/>
                <w:szCs w:val="24"/>
                <w:lang w:eastAsia="cs-CZ"/>
              </w:rPr>
            </w:pPr>
            <w:r w:rsidRPr="00730B1E">
              <w:rPr>
                <w:rFonts w:eastAsia="Times New Roman"/>
                <w:b/>
                <w:bCs/>
                <w:szCs w:val="24"/>
                <w:lang w:eastAsia="cs-CZ"/>
              </w:rPr>
              <w:t>100,4 %</w:t>
            </w:r>
          </w:p>
        </w:tc>
      </w:tr>
      <w:tr w:rsidR="00B64E96" w:rsidRPr="00730B1E" w14:paraId="254F5C52" w14:textId="77777777" w:rsidTr="00084651">
        <w:trPr>
          <w:trHeight w:val="330"/>
        </w:trPr>
        <w:tc>
          <w:tcPr>
            <w:tcW w:w="2020" w:type="dxa"/>
            <w:tcBorders>
              <w:top w:val="nil"/>
              <w:left w:val="nil"/>
              <w:bottom w:val="nil"/>
              <w:right w:val="nil"/>
            </w:tcBorders>
            <w:shd w:val="clear" w:color="auto" w:fill="auto"/>
            <w:noWrap/>
            <w:vAlign w:val="bottom"/>
            <w:hideMark/>
          </w:tcPr>
          <w:p w14:paraId="3E8CA54D" w14:textId="77777777" w:rsidR="005F6AF5" w:rsidRPr="00730B1E" w:rsidRDefault="005F6AF5" w:rsidP="005F6AF5">
            <w:pPr>
              <w:spacing w:line="240" w:lineRule="auto"/>
              <w:jc w:val="center"/>
              <w:rPr>
                <w:rFonts w:eastAsia="Times New Roman"/>
                <w:b/>
                <w:bCs/>
                <w:szCs w:val="24"/>
                <w:lang w:eastAsia="cs-CZ"/>
              </w:rPr>
            </w:pPr>
          </w:p>
        </w:tc>
        <w:tc>
          <w:tcPr>
            <w:tcW w:w="1044" w:type="dxa"/>
            <w:tcBorders>
              <w:top w:val="nil"/>
              <w:left w:val="nil"/>
              <w:bottom w:val="nil"/>
              <w:right w:val="nil"/>
            </w:tcBorders>
            <w:shd w:val="clear" w:color="auto" w:fill="auto"/>
            <w:noWrap/>
            <w:vAlign w:val="bottom"/>
            <w:hideMark/>
          </w:tcPr>
          <w:p w14:paraId="34AE5ACF" w14:textId="77777777" w:rsidR="005F6AF5" w:rsidRPr="00DF07F3" w:rsidRDefault="005F6AF5" w:rsidP="005F6AF5">
            <w:pPr>
              <w:spacing w:line="240" w:lineRule="auto"/>
              <w:jc w:val="left"/>
              <w:rPr>
                <w:sz w:val="20"/>
              </w:rPr>
            </w:pPr>
          </w:p>
        </w:tc>
        <w:tc>
          <w:tcPr>
            <w:tcW w:w="835" w:type="dxa"/>
            <w:tcBorders>
              <w:top w:val="nil"/>
              <w:left w:val="nil"/>
              <w:bottom w:val="nil"/>
              <w:right w:val="nil"/>
            </w:tcBorders>
            <w:shd w:val="clear" w:color="auto" w:fill="auto"/>
            <w:noWrap/>
            <w:vAlign w:val="bottom"/>
            <w:hideMark/>
          </w:tcPr>
          <w:p w14:paraId="1FDE76E4" w14:textId="77777777" w:rsidR="005F6AF5" w:rsidRPr="00DF07F3" w:rsidRDefault="005F6AF5" w:rsidP="005F6AF5">
            <w:pPr>
              <w:spacing w:line="240" w:lineRule="auto"/>
              <w:jc w:val="left"/>
              <w:rPr>
                <w:sz w:val="20"/>
              </w:rPr>
            </w:pPr>
          </w:p>
        </w:tc>
        <w:tc>
          <w:tcPr>
            <w:tcW w:w="1044" w:type="dxa"/>
            <w:tcBorders>
              <w:top w:val="nil"/>
              <w:left w:val="nil"/>
              <w:bottom w:val="nil"/>
              <w:right w:val="nil"/>
            </w:tcBorders>
            <w:shd w:val="clear" w:color="auto" w:fill="auto"/>
            <w:noWrap/>
            <w:vAlign w:val="bottom"/>
            <w:hideMark/>
          </w:tcPr>
          <w:p w14:paraId="3483CB71" w14:textId="77777777" w:rsidR="005F6AF5" w:rsidRPr="00DF07F3" w:rsidRDefault="005F6AF5" w:rsidP="005F6AF5">
            <w:pPr>
              <w:spacing w:line="240" w:lineRule="auto"/>
              <w:jc w:val="left"/>
              <w:rPr>
                <w:sz w:val="20"/>
              </w:rPr>
            </w:pPr>
          </w:p>
        </w:tc>
        <w:tc>
          <w:tcPr>
            <w:tcW w:w="835" w:type="dxa"/>
            <w:tcBorders>
              <w:top w:val="nil"/>
              <w:left w:val="nil"/>
              <w:bottom w:val="nil"/>
              <w:right w:val="nil"/>
            </w:tcBorders>
            <w:shd w:val="clear" w:color="auto" w:fill="auto"/>
            <w:noWrap/>
            <w:vAlign w:val="bottom"/>
            <w:hideMark/>
          </w:tcPr>
          <w:p w14:paraId="3F2073E2" w14:textId="77777777" w:rsidR="005F6AF5" w:rsidRPr="00DF07F3" w:rsidRDefault="005F6AF5" w:rsidP="005F6AF5">
            <w:pPr>
              <w:spacing w:line="240" w:lineRule="auto"/>
              <w:jc w:val="left"/>
              <w:rPr>
                <w:sz w:val="20"/>
              </w:rPr>
            </w:pPr>
          </w:p>
        </w:tc>
        <w:tc>
          <w:tcPr>
            <w:tcW w:w="951" w:type="dxa"/>
            <w:tcBorders>
              <w:top w:val="nil"/>
              <w:left w:val="nil"/>
              <w:bottom w:val="nil"/>
              <w:right w:val="nil"/>
            </w:tcBorders>
            <w:shd w:val="clear" w:color="auto" w:fill="auto"/>
            <w:noWrap/>
            <w:vAlign w:val="bottom"/>
            <w:hideMark/>
          </w:tcPr>
          <w:p w14:paraId="5B0A8A07" w14:textId="77777777" w:rsidR="005F6AF5" w:rsidRPr="00DF07F3" w:rsidRDefault="005F6AF5" w:rsidP="005F6AF5">
            <w:pPr>
              <w:spacing w:line="240" w:lineRule="auto"/>
              <w:jc w:val="left"/>
              <w:rPr>
                <w:sz w:val="20"/>
              </w:rPr>
            </w:pPr>
          </w:p>
        </w:tc>
        <w:tc>
          <w:tcPr>
            <w:tcW w:w="872" w:type="dxa"/>
            <w:tcBorders>
              <w:top w:val="nil"/>
              <w:left w:val="nil"/>
              <w:bottom w:val="nil"/>
              <w:right w:val="nil"/>
            </w:tcBorders>
            <w:shd w:val="clear" w:color="auto" w:fill="auto"/>
            <w:noWrap/>
            <w:vAlign w:val="bottom"/>
            <w:hideMark/>
          </w:tcPr>
          <w:p w14:paraId="3E5E2215" w14:textId="77777777" w:rsidR="005F6AF5" w:rsidRPr="00DF07F3" w:rsidRDefault="005F6AF5" w:rsidP="005F6AF5">
            <w:pPr>
              <w:spacing w:line="240" w:lineRule="auto"/>
              <w:jc w:val="left"/>
              <w:rPr>
                <w:sz w:val="20"/>
              </w:rPr>
            </w:pPr>
          </w:p>
        </w:tc>
        <w:tc>
          <w:tcPr>
            <w:tcW w:w="1471" w:type="dxa"/>
            <w:tcBorders>
              <w:top w:val="nil"/>
              <w:left w:val="nil"/>
              <w:bottom w:val="nil"/>
              <w:right w:val="nil"/>
            </w:tcBorders>
            <w:shd w:val="clear" w:color="auto" w:fill="auto"/>
            <w:noWrap/>
            <w:vAlign w:val="bottom"/>
            <w:hideMark/>
          </w:tcPr>
          <w:p w14:paraId="3C4E5CEA" w14:textId="77777777" w:rsidR="005F6AF5" w:rsidRPr="00DF07F3" w:rsidRDefault="005F6AF5" w:rsidP="005F6AF5">
            <w:pPr>
              <w:spacing w:line="240" w:lineRule="auto"/>
              <w:jc w:val="left"/>
              <w:rPr>
                <w:sz w:val="20"/>
              </w:rPr>
            </w:pPr>
          </w:p>
        </w:tc>
      </w:tr>
    </w:tbl>
    <w:p w14:paraId="0CE33039" w14:textId="079532FE" w:rsidR="005F6AF5" w:rsidRPr="00730B1E" w:rsidRDefault="005D634F" w:rsidP="005F6AF5">
      <w:pPr>
        <w:pStyle w:val="OdstavecASR"/>
      </w:pPr>
      <w:bookmarkStart w:id="391" w:name="_Hlk104291263"/>
      <w:r w:rsidRPr="00730B1E">
        <w:t>Všechny kraje měly míru vyřizování kolem 100 %</w:t>
      </w:r>
      <w:r w:rsidR="005F6AF5" w:rsidRPr="00730B1E">
        <w:t>.</w:t>
      </w:r>
      <w:bookmarkEnd w:id="391"/>
      <w:r w:rsidR="005F6AF5" w:rsidRPr="00730B1E">
        <w:t xml:space="preserve"> Soudní kraj Severní Čechy (nadřízený soud KS Ústí nad Labem), tedy kraj, který vykazuje v</w:t>
      </w:r>
      <w:r w:rsidRPr="00730B1E">
        <w:t>yšší</w:t>
      </w:r>
      <w:r w:rsidR="005F6AF5" w:rsidRPr="00730B1E">
        <w:t xml:space="preserve"> délky řízení a v</w:t>
      </w:r>
      <w:r w:rsidRPr="00730B1E">
        <w:t>ětší</w:t>
      </w:r>
      <w:r w:rsidR="005F6AF5" w:rsidRPr="00730B1E">
        <w:t xml:space="preserve"> množství nedodělků, měl opět ne</w:t>
      </w:r>
      <w:r w:rsidRPr="00730B1E">
        <w:t>j</w:t>
      </w:r>
      <w:r w:rsidR="005F6AF5" w:rsidRPr="00730B1E">
        <w:t>vyšší míru vyřizování</w:t>
      </w:r>
      <w:r w:rsidRPr="00730B1E">
        <w:t xml:space="preserve"> </w:t>
      </w:r>
      <w:r w:rsidR="008E33E0">
        <w:t>–</w:t>
      </w:r>
      <w:r w:rsidRPr="00730B1E">
        <w:t xml:space="preserve"> </w:t>
      </w:r>
      <w:r w:rsidR="005F6AF5" w:rsidRPr="00730B1E">
        <w:t>102,4 %. Situace v tomto kraji se tedy i nadále postupně zlepšuje.</w:t>
      </w:r>
    </w:p>
    <w:p w14:paraId="2AECAAD8" w14:textId="77777777" w:rsidR="005D634F" w:rsidRPr="00730B1E" w:rsidRDefault="005D634F" w:rsidP="005D634F">
      <w:pPr>
        <w:pStyle w:val="Nadpis3"/>
        <w:numPr>
          <w:ilvl w:val="2"/>
          <w:numId w:val="1"/>
        </w:numPr>
        <w:rPr>
          <w:color w:val="auto"/>
        </w:rPr>
      </w:pPr>
      <w:bookmarkStart w:id="392" w:name="_Toc169250814"/>
      <w:bookmarkStart w:id="393" w:name="_Toc174080850"/>
      <w:r w:rsidRPr="00730B1E">
        <w:rPr>
          <w:color w:val="auto"/>
        </w:rPr>
        <w:t>Vyřizování věcí v přepočtu na soudce</w:t>
      </w:r>
      <w:bookmarkEnd w:id="392"/>
      <w:bookmarkEnd w:id="393"/>
    </w:p>
    <w:p w14:paraId="6872626B" w14:textId="77777777" w:rsidR="007F4012" w:rsidRPr="00730B1E" w:rsidRDefault="007F4012" w:rsidP="007F4012">
      <w:pPr>
        <w:pStyle w:val="OdstavecASR"/>
      </w:pPr>
      <w:r w:rsidRPr="00730B1E">
        <w:t>Trestní úsek je výrazně menší než úsek civilní. Proto může v přepočtu na soudce docházet k určitým výkyvům, a to především na úrovni jednotlivých soudů. U nejmenších soudů působí na trestním úseku pouze dva soudci. Dočasný pokles nebo nárůst v počtu soudců tedy může vést ke značnému nárůstu nebo poklesu nevyřízených věcí v přepočtu na soudce.</w:t>
      </w:r>
    </w:p>
    <w:p w14:paraId="0736887A" w14:textId="6ED21C56" w:rsidR="007F4012" w:rsidRPr="00730B1E" w:rsidRDefault="007F4012" w:rsidP="007F4012">
      <w:r w:rsidRPr="00730B1E">
        <w:t>Stejně jako u civilní agendy má Ministerstvo spravedlnosti za posledních pět let k dispozici přesnější data o počtu soudců. Detailnější informace lze najít v podkapitole 2.2.3.</w:t>
      </w:r>
    </w:p>
    <w:p w14:paraId="0926895E" w14:textId="22A53F16" w:rsidR="005D634F" w:rsidRPr="00730B1E" w:rsidRDefault="007F4012" w:rsidP="007F4012">
      <w:pPr>
        <w:pStyle w:val="Podnadpis"/>
        <w:rPr>
          <w:color w:val="auto"/>
        </w:rPr>
      </w:pPr>
      <w:bookmarkStart w:id="394" w:name="_Toc515871454"/>
      <w:bookmarkStart w:id="395" w:name="_Toc11133222"/>
      <w:bookmarkStart w:id="396" w:name="_Toc43931195"/>
      <w:bookmarkStart w:id="397" w:name="_Hlk67407410"/>
      <w:bookmarkStart w:id="398" w:name="_Toc75952325"/>
      <w:bookmarkStart w:id="399" w:name="_Toc106106784"/>
      <w:bookmarkStart w:id="400" w:name="_Toc144104262"/>
      <w:bookmarkStart w:id="401" w:name="_Toc169251078"/>
      <w:bookmarkStart w:id="402" w:name="_Toc174080764"/>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21</w:t>
      </w:r>
      <w:r w:rsidRPr="00730B1E">
        <w:rPr>
          <w:noProof/>
          <w:color w:val="auto"/>
        </w:rPr>
        <w:fldChar w:fldCharType="end"/>
      </w:r>
      <w:r w:rsidRPr="00730B1E">
        <w:rPr>
          <w:color w:val="auto"/>
        </w:rPr>
        <w:t>: OS – vyřizování trestních věcí na skutečný úvazek dle krajů</w:t>
      </w:r>
      <w:bookmarkEnd w:id="394"/>
      <w:bookmarkEnd w:id="395"/>
      <w:bookmarkEnd w:id="396"/>
      <w:bookmarkEnd w:id="397"/>
      <w:bookmarkEnd w:id="398"/>
      <w:bookmarkEnd w:id="399"/>
      <w:bookmarkEnd w:id="400"/>
      <w:r w:rsidR="002263C3" w:rsidRPr="00730B1E">
        <w:rPr>
          <w:color w:val="auto"/>
        </w:rPr>
        <w:t>, 2023</w:t>
      </w:r>
      <w:bookmarkEnd w:id="401"/>
      <w:bookmarkEnd w:id="402"/>
    </w:p>
    <w:tbl>
      <w:tblPr>
        <w:tblW w:w="9073" w:type="dxa"/>
        <w:tblCellMar>
          <w:left w:w="70" w:type="dxa"/>
          <w:right w:w="70" w:type="dxa"/>
        </w:tblCellMar>
        <w:tblLook w:val="04A0" w:firstRow="1" w:lastRow="0" w:firstColumn="1" w:lastColumn="0" w:noHBand="0" w:noVBand="1"/>
      </w:tblPr>
      <w:tblGrid>
        <w:gridCol w:w="2470"/>
        <w:gridCol w:w="1653"/>
        <w:gridCol w:w="2028"/>
        <w:gridCol w:w="1504"/>
        <w:gridCol w:w="1418"/>
      </w:tblGrid>
      <w:tr w:rsidR="00B64E96" w:rsidRPr="00730B1E" w14:paraId="58DB0EF6" w14:textId="77777777" w:rsidTr="00084651">
        <w:trPr>
          <w:trHeight w:val="330"/>
        </w:trPr>
        <w:tc>
          <w:tcPr>
            <w:tcW w:w="2470" w:type="dxa"/>
            <w:vMerge w:val="restart"/>
            <w:tcBorders>
              <w:top w:val="double" w:sz="6" w:space="0" w:color="auto"/>
              <w:left w:val="nil"/>
              <w:bottom w:val="double" w:sz="6" w:space="0" w:color="000000"/>
              <w:right w:val="nil"/>
            </w:tcBorders>
            <w:shd w:val="clear" w:color="auto" w:fill="auto"/>
            <w:noWrap/>
            <w:vAlign w:val="center"/>
            <w:hideMark/>
          </w:tcPr>
          <w:p w14:paraId="76284B24" w14:textId="77777777"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1653" w:type="dxa"/>
            <w:vMerge w:val="restart"/>
            <w:tcBorders>
              <w:top w:val="double" w:sz="6" w:space="0" w:color="auto"/>
              <w:left w:val="nil"/>
              <w:bottom w:val="double" w:sz="6" w:space="0" w:color="000000"/>
              <w:right w:val="nil"/>
            </w:tcBorders>
            <w:shd w:val="clear" w:color="auto" w:fill="auto"/>
            <w:noWrap/>
            <w:vAlign w:val="center"/>
            <w:hideMark/>
          </w:tcPr>
          <w:p w14:paraId="02D7A063" w14:textId="77777777"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4948" w:type="dxa"/>
            <w:gridSpan w:val="3"/>
            <w:tcBorders>
              <w:top w:val="double" w:sz="6" w:space="0" w:color="auto"/>
              <w:left w:val="nil"/>
              <w:bottom w:val="nil"/>
              <w:right w:val="nil"/>
            </w:tcBorders>
            <w:shd w:val="clear" w:color="auto" w:fill="auto"/>
            <w:noWrap/>
            <w:vAlign w:val="center"/>
            <w:hideMark/>
          </w:tcPr>
          <w:p w14:paraId="2530B6A1" w14:textId="77777777"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Počet věcí na úvazek</w:t>
            </w:r>
          </w:p>
        </w:tc>
      </w:tr>
      <w:tr w:rsidR="00B64E96" w:rsidRPr="00730B1E" w14:paraId="2A21116C" w14:textId="77777777" w:rsidTr="00084651">
        <w:trPr>
          <w:trHeight w:val="330"/>
        </w:trPr>
        <w:tc>
          <w:tcPr>
            <w:tcW w:w="2470" w:type="dxa"/>
            <w:vMerge/>
            <w:tcBorders>
              <w:top w:val="double" w:sz="6" w:space="0" w:color="auto"/>
              <w:left w:val="nil"/>
              <w:bottom w:val="double" w:sz="6" w:space="0" w:color="000000"/>
              <w:right w:val="nil"/>
            </w:tcBorders>
            <w:vAlign w:val="center"/>
            <w:hideMark/>
          </w:tcPr>
          <w:p w14:paraId="66D9E75B" w14:textId="77777777" w:rsidR="007F4012" w:rsidRPr="00730B1E" w:rsidRDefault="007F4012" w:rsidP="007F4012">
            <w:pPr>
              <w:spacing w:line="240" w:lineRule="auto"/>
              <w:jc w:val="left"/>
              <w:rPr>
                <w:rFonts w:eastAsia="Times New Roman"/>
                <w:b/>
                <w:bCs/>
                <w:szCs w:val="24"/>
                <w:lang w:eastAsia="cs-CZ"/>
              </w:rPr>
            </w:pPr>
          </w:p>
        </w:tc>
        <w:tc>
          <w:tcPr>
            <w:tcW w:w="1653" w:type="dxa"/>
            <w:vMerge/>
            <w:tcBorders>
              <w:top w:val="double" w:sz="6" w:space="0" w:color="auto"/>
              <w:left w:val="nil"/>
              <w:bottom w:val="double" w:sz="6" w:space="0" w:color="000000"/>
              <w:right w:val="nil"/>
            </w:tcBorders>
            <w:vAlign w:val="center"/>
            <w:hideMark/>
          </w:tcPr>
          <w:p w14:paraId="508D6ECA" w14:textId="77777777" w:rsidR="007F4012" w:rsidRPr="00730B1E" w:rsidRDefault="007F4012" w:rsidP="007F4012">
            <w:pPr>
              <w:spacing w:line="240" w:lineRule="auto"/>
              <w:jc w:val="left"/>
              <w:rPr>
                <w:rFonts w:eastAsia="Times New Roman"/>
                <w:b/>
                <w:bCs/>
                <w:szCs w:val="24"/>
                <w:lang w:eastAsia="cs-CZ"/>
              </w:rPr>
            </w:pPr>
          </w:p>
        </w:tc>
        <w:tc>
          <w:tcPr>
            <w:tcW w:w="2028" w:type="dxa"/>
            <w:tcBorders>
              <w:top w:val="nil"/>
              <w:left w:val="nil"/>
              <w:bottom w:val="double" w:sz="6" w:space="0" w:color="auto"/>
              <w:right w:val="nil"/>
            </w:tcBorders>
            <w:shd w:val="clear" w:color="auto" w:fill="auto"/>
            <w:noWrap/>
            <w:vAlign w:val="center"/>
            <w:hideMark/>
          </w:tcPr>
          <w:p w14:paraId="5CE02854" w14:textId="54F7D768"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504" w:type="dxa"/>
            <w:tcBorders>
              <w:top w:val="nil"/>
              <w:left w:val="nil"/>
              <w:bottom w:val="double" w:sz="6" w:space="0" w:color="auto"/>
              <w:right w:val="nil"/>
            </w:tcBorders>
            <w:shd w:val="clear" w:color="auto" w:fill="auto"/>
            <w:noWrap/>
            <w:vAlign w:val="center"/>
            <w:hideMark/>
          </w:tcPr>
          <w:p w14:paraId="1E77FC67" w14:textId="77777777"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418" w:type="dxa"/>
            <w:tcBorders>
              <w:top w:val="nil"/>
              <w:left w:val="nil"/>
              <w:bottom w:val="double" w:sz="6" w:space="0" w:color="auto"/>
              <w:right w:val="nil"/>
            </w:tcBorders>
            <w:shd w:val="clear" w:color="auto" w:fill="auto"/>
            <w:noWrap/>
            <w:vAlign w:val="center"/>
            <w:hideMark/>
          </w:tcPr>
          <w:p w14:paraId="7C1AC5BE" w14:textId="77777777"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07F2E38A" w14:textId="77777777" w:rsidTr="00084651">
        <w:trPr>
          <w:trHeight w:val="330"/>
        </w:trPr>
        <w:tc>
          <w:tcPr>
            <w:tcW w:w="2470" w:type="dxa"/>
            <w:tcBorders>
              <w:top w:val="single" w:sz="4" w:space="0" w:color="auto"/>
              <w:left w:val="nil"/>
              <w:bottom w:val="single" w:sz="4" w:space="0" w:color="auto"/>
              <w:right w:val="nil"/>
            </w:tcBorders>
            <w:shd w:val="clear" w:color="auto" w:fill="auto"/>
            <w:noWrap/>
            <w:vAlign w:val="bottom"/>
            <w:hideMark/>
          </w:tcPr>
          <w:p w14:paraId="51A61867" w14:textId="77777777" w:rsidR="007F4012" w:rsidRPr="00730B1E" w:rsidRDefault="007F4012" w:rsidP="007F4012">
            <w:pPr>
              <w:spacing w:line="240" w:lineRule="auto"/>
              <w:jc w:val="left"/>
              <w:rPr>
                <w:rFonts w:eastAsia="Times New Roman"/>
                <w:szCs w:val="24"/>
                <w:lang w:eastAsia="cs-CZ"/>
              </w:rPr>
            </w:pPr>
            <w:r w:rsidRPr="00730B1E">
              <w:rPr>
                <w:rFonts w:eastAsia="Times New Roman"/>
                <w:szCs w:val="24"/>
                <w:lang w:eastAsia="cs-CZ"/>
              </w:rPr>
              <w:t>MS Praha</w:t>
            </w:r>
          </w:p>
        </w:tc>
        <w:tc>
          <w:tcPr>
            <w:tcW w:w="1653" w:type="dxa"/>
            <w:tcBorders>
              <w:top w:val="single" w:sz="4" w:space="0" w:color="auto"/>
              <w:left w:val="nil"/>
              <w:bottom w:val="single" w:sz="4" w:space="0" w:color="auto"/>
              <w:right w:val="nil"/>
            </w:tcBorders>
            <w:shd w:val="clear" w:color="auto" w:fill="auto"/>
            <w:noWrap/>
            <w:vAlign w:val="bottom"/>
            <w:hideMark/>
          </w:tcPr>
          <w:p w14:paraId="6C02FBC9" w14:textId="47AA1932"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57,9</w:t>
            </w:r>
          </w:p>
        </w:tc>
        <w:tc>
          <w:tcPr>
            <w:tcW w:w="2028" w:type="dxa"/>
            <w:tcBorders>
              <w:top w:val="single" w:sz="4" w:space="0" w:color="auto"/>
              <w:left w:val="nil"/>
              <w:bottom w:val="single" w:sz="4" w:space="0" w:color="auto"/>
              <w:right w:val="nil"/>
            </w:tcBorders>
            <w:shd w:val="clear" w:color="auto" w:fill="auto"/>
            <w:noWrap/>
            <w:vAlign w:val="bottom"/>
            <w:hideMark/>
          </w:tcPr>
          <w:p w14:paraId="49823C17" w14:textId="792152E6"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154,75</w:t>
            </w:r>
          </w:p>
        </w:tc>
        <w:tc>
          <w:tcPr>
            <w:tcW w:w="1504" w:type="dxa"/>
            <w:tcBorders>
              <w:top w:val="single" w:sz="4" w:space="0" w:color="auto"/>
              <w:left w:val="nil"/>
              <w:bottom w:val="single" w:sz="4" w:space="0" w:color="auto"/>
              <w:right w:val="nil"/>
            </w:tcBorders>
            <w:shd w:val="clear" w:color="auto" w:fill="auto"/>
            <w:noWrap/>
            <w:vAlign w:val="bottom"/>
            <w:hideMark/>
          </w:tcPr>
          <w:p w14:paraId="244811C1" w14:textId="69892403"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155,96</w:t>
            </w:r>
          </w:p>
        </w:tc>
        <w:tc>
          <w:tcPr>
            <w:tcW w:w="1418" w:type="dxa"/>
            <w:tcBorders>
              <w:top w:val="single" w:sz="4" w:space="0" w:color="auto"/>
              <w:left w:val="nil"/>
              <w:bottom w:val="single" w:sz="4" w:space="0" w:color="auto"/>
              <w:right w:val="nil"/>
            </w:tcBorders>
            <w:shd w:val="clear" w:color="auto" w:fill="auto"/>
            <w:noWrap/>
            <w:vAlign w:val="bottom"/>
            <w:hideMark/>
          </w:tcPr>
          <w:p w14:paraId="7BDDD2F4" w14:textId="640C53E9"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18,15</w:t>
            </w:r>
          </w:p>
        </w:tc>
      </w:tr>
      <w:tr w:rsidR="00B64E96" w:rsidRPr="00730B1E" w14:paraId="245F3C2A" w14:textId="77777777" w:rsidTr="00084651">
        <w:trPr>
          <w:trHeight w:val="315"/>
        </w:trPr>
        <w:tc>
          <w:tcPr>
            <w:tcW w:w="2470" w:type="dxa"/>
            <w:tcBorders>
              <w:top w:val="nil"/>
              <w:left w:val="nil"/>
              <w:bottom w:val="single" w:sz="4" w:space="0" w:color="auto"/>
              <w:right w:val="nil"/>
            </w:tcBorders>
            <w:shd w:val="clear" w:color="auto" w:fill="auto"/>
            <w:noWrap/>
            <w:vAlign w:val="bottom"/>
            <w:hideMark/>
          </w:tcPr>
          <w:p w14:paraId="0C0FD338" w14:textId="77777777" w:rsidR="007F4012" w:rsidRPr="00730B1E" w:rsidRDefault="007F4012" w:rsidP="007F4012">
            <w:pPr>
              <w:spacing w:line="240" w:lineRule="auto"/>
              <w:jc w:val="left"/>
              <w:rPr>
                <w:rFonts w:eastAsia="Times New Roman"/>
                <w:szCs w:val="24"/>
                <w:lang w:eastAsia="cs-CZ"/>
              </w:rPr>
            </w:pPr>
            <w:r w:rsidRPr="00730B1E">
              <w:rPr>
                <w:rFonts w:eastAsia="Times New Roman"/>
                <w:szCs w:val="24"/>
                <w:lang w:eastAsia="cs-CZ"/>
              </w:rPr>
              <w:t>KS Praha</w:t>
            </w:r>
          </w:p>
        </w:tc>
        <w:tc>
          <w:tcPr>
            <w:tcW w:w="1653" w:type="dxa"/>
            <w:tcBorders>
              <w:top w:val="nil"/>
              <w:left w:val="nil"/>
              <w:bottom w:val="single" w:sz="4" w:space="0" w:color="auto"/>
              <w:right w:val="nil"/>
            </w:tcBorders>
            <w:shd w:val="clear" w:color="auto" w:fill="auto"/>
            <w:noWrap/>
            <w:vAlign w:val="bottom"/>
            <w:hideMark/>
          </w:tcPr>
          <w:p w14:paraId="5626B3A7" w14:textId="29DB7F50"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41,25</w:t>
            </w:r>
          </w:p>
        </w:tc>
        <w:tc>
          <w:tcPr>
            <w:tcW w:w="2028" w:type="dxa"/>
            <w:tcBorders>
              <w:top w:val="nil"/>
              <w:left w:val="nil"/>
              <w:bottom w:val="single" w:sz="4" w:space="0" w:color="auto"/>
              <w:right w:val="nil"/>
            </w:tcBorders>
            <w:shd w:val="clear" w:color="auto" w:fill="auto"/>
            <w:noWrap/>
            <w:vAlign w:val="bottom"/>
            <w:hideMark/>
          </w:tcPr>
          <w:p w14:paraId="25C7033B" w14:textId="48CEC13E"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184,75</w:t>
            </w:r>
          </w:p>
        </w:tc>
        <w:tc>
          <w:tcPr>
            <w:tcW w:w="1504" w:type="dxa"/>
            <w:tcBorders>
              <w:top w:val="nil"/>
              <w:left w:val="nil"/>
              <w:bottom w:val="single" w:sz="4" w:space="0" w:color="auto"/>
              <w:right w:val="nil"/>
            </w:tcBorders>
            <w:shd w:val="clear" w:color="auto" w:fill="auto"/>
            <w:noWrap/>
            <w:vAlign w:val="bottom"/>
            <w:hideMark/>
          </w:tcPr>
          <w:p w14:paraId="5ED3C80C" w14:textId="0B6FA605"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186,16</w:t>
            </w:r>
          </w:p>
        </w:tc>
        <w:tc>
          <w:tcPr>
            <w:tcW w:w="1418" w:type="dxa"/>
            <w:tcBorders>
              <w:top w:val="nil"/>
              <w:left w:val="nil"/>
              <w:bottom w:val="single" w:sz="4" w:space="0" w:color="auto"/>
              <w:right w:val="nil"/>
            </w:tcBorders>
            <w:shd w:val="clear" w:color="auto" w:fill="auto"/>
            <w:noWrap/>
            <w:vAlign w:val="bottom"/>
            <w:hideMark/>
          </w:tcPr>
          <w:p w14:paraId="7DAE577C" w14:textId="2E7560BE"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10,28</w:t>
            </w:r>
          </w:p>
        </w:tc>
      </w:tr>
      <w:tr w:rsidR="00B64E96" w:rsidRPr="00730B1E" w14:paraId="2ADB3D59" w14:textId="77777777" w:rsidTr="00084651">
        <w:trPr>
          <w:trHeight w:val="315"/>
        </w:trPr>
        <w:tc>
          <w:tcPr>
            <w:tcW w:w="2470" w:type="dxa"/>
            <w:tcBorders>
              <w:top w:val="nil"/>
              <w:left w:val="nil"/>
              <w:bottom w:val="single" w:sz="4" w:space="0" w:color="auto"/>
              <w:right w:val="nil"/>
            </w:tcBorders>
            <w:shd w:val="clear" w:color="auto" w:fill="auto"/>
            <w:noWrap/>
            <w:vAlign w:val="bottom"/>
            <w:hideMark/>
          </w:tcPr>
          <w:p w14:paraId="7493E482" w14:textId="77777777" w:rsidR="007F4012" w:rsidRPr="00730B1E" w:rsidRDefault="007F4012" w:rsidP="007F4012">
            <w:pPr>
              <w:spacing w:line="240" w:lineRule="auto"/>
              <w:jc w:val="left"/>
              <w:rPr>
                <w:rFonts w:eastAsia="Times New Roman"/>
                <w:szCs w:val="24"/>
                <w:lang w:eastAsia="cs-CZ"/>
              </w:rPr>
            </w:pPr>
            <w:r w:rsidRPr="00730B1E">
              <w:rPr>
                <w:rFonts w:eastAsia="Times New Roman"/>
                <w:szCs w:val="24"/>
                <w:lang w:eastAsia="cs-CZ"/>
              </w:rPr>
              <w:t>KS Č. Budějovice</w:t>
            </w:r>
          </w:p>
        </w:tc>
        <w:tc>
          <w:tcPr>
            <w:tcW w:w="1653" w:type="dxa"/>
            <w:tcBorders>
              <w:top w:val="nil"/>
              <w:left w:val="nil"/>
              <w:bottom w:val="single" w:sz="4" w:space="0" w:color="auto"/>
              <w:right w:val="nil"/>
            </w:tcBorders>
            <w:shd w:val="clear" w:color="auto" w:fill="auto"/>
            <w:noWrap/>
            <w:vAlign w:val="bottom"/>
            <w:hideMark/>
          </w:tcPr>
          <w:p w14:paraId="68B2337A" w14:textId="5946296B"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21,9</w:t>
            </w:r>
          </w:p>
        </w:tc>
        <w:tc>
          <w:tcPr>
            <w:tcW w:w="2028" w:type="dxa"/>
            <w:tcBorders>
              <w:top w:val="nil"/>
              <w:left w:val="nil"/>
              <w:bottom w:val="single" w:sz="4" w:space="0" w:color="auto"/>
              <w:right w:val="nil"/>
            </w:tcBorders>
            <w:shd w:val="clear" w:color="auto" w:fill="auto"/>
            <w:noWrap/>
            <w:vAlign w:val="bottom"/>
            <w:hideMark/>
          </w:tcPr>
          <w:p w14:paraId="176DD106" w14:textId="3BEBE780"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201,10</w:t>
            </w:r>
          </w:p>
        </w:tc>
        <w:tc>
          <w:tcPr>
            <w:tcW w:w="1504" w:type="dxa"/>
            <w:tcBorders>
              <w:top w:val="nil"/>
              <w:left w:val="nil"/>
              <w:bottom w:val="single" w:sz="4" w:space="0" w:color="auto"/>
              <w:right w:val="nil"/>
            </w:tcBorders>
            <w:shd w:val="clear" w:color="auto" w:fill="auto"/>
            <w:noWrap/>
            <w:vAlign w:val="bottom"/>
            <w:hideMark/>
          </w:tcPr>
          <w:p w14:paraId="6AF896C3" w14:textId="478D4CCF"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199,91</w:t>
            </w:r>
          </w:p>
        </w:tc>
        <w:tc>
          <w:tcPr>
            <w:tcW w:w="1418" w:type="dxa"/>
            <w:tcBorders>
              <w:top w:val="nil"/>
              <w:left w:val="nil"/>
              <w:bottom w:val="single" w:sz="4" w:space="0" w:color="auto"/>
              <w:right w:val="nil"/>
            </w:tcBorders>
            <w:shd w:val="clear" w:color="auto" w:fill="auto"/>
            <w:noWrap/>
            <w:vAlign w:val="bottom"/>
            <w:hideMark/>
          </w:tcPr>
          <w:p w14:paraId="5DBCB0E6" w14:textId="310AF5F6"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23,65</w:t>
            </w:r>
          </w:p>
        </w:tc>
      </w:tr>
      <w:tr w:rsidR="00B64E96" w:rsidRPr="00730B1E" w14:paraId="7F76F2C4" w14:textId="77777777" w:rsidTr="00084651">
        <w:trPr>
          <w:trHeight w:val="315"/>
        </w:trPr>
        <w:tc>
          <w:tcPr>
            <w:tcW w:w="2470" w:type="dxa"/>
            <w:tcBorders>
              <w:top w:val="nil"/>
              <w:left w:val="nil"/>
              <w:bottom w:val="single" w:sz="4" w:space="0" w:color="auto"/>
              <w:right w:val="nil"/>
            </w:tcBorders>
            <w:shd w:val="clear" w:color="auto" w:fill="auto"/>
            <w:noWrap/>
            <w:vAlign w:val="bottom"/>
            <w:hideMark/>
          </w:tcPr>
          <w:p w14:paraId="37CD5859" w14:textId="77777777" w:rsidR="007F4012" w:rsidRPr="00730B1E" w:rsidRDefault="007F4012" w:rsidP="007F4012">
            <w:pPr>
              <w:spacing w:line="240" w:lineRule="auto"/>
              <w:jc w:val="left"/>
              <w:rPr>
                <w:rFonts w:eastAsia="Times New Roman"/>
                <w:szCs w:val="24"/>
                <w:lang w:eastAsia="cs-CZ"/>
              </w:rPr>
            </w:pPr>
            <w:r w:rsidRPr="00730B1E">
              <w:rPr>
                <w:rFonts w:eastAsia="Times New Roman"/>
                <w:szCs w:val="24"/>
                <w:lang w:eastAsia="cs-CZ"/>
              </w:rPr>
              <w:t>KS Plzeň</w:t>
            </w:r>
          </w:p>
        </w:tc>
        <w:tc>
          <w:tcPr>
            <w:tcW w:w="1653" w:type="dxa"/>
            <w:tcBorders>
              <w:top w:val="nil"/>
              <w:left w:val="nil"/>
              <w:bottom w:val="single" w:sz="4" w:space="0" w:color="auto"/>
              <w:right w:val="nil"/>
            </w:tcBorders>
            <w:shd w:val="clear" w:color="auto" w:fill="auto"/>
            <w:noWrap/>
            <w:vAlign w:val="bottom"/>
            <w:hideMark/>
          </w:tcPr>
          <w:p w14:paraId="5BC32014" w14:textId="3D4E8304"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36,32</w:t>
            </w:r>
          </w:p>
        </w:tc>
        <w:tc>
          <w:tcPr>
            <w:tcW w:w="2028" w:type="dxa"/>
            <w:tcBorders>
              <w:top w:val="nil"/>
              <w:left w:val="nil"/>
              <w:bottom w:val="single" w:sz="4" w:space="0" w:color="auto"/>
              <w:right w:val="nil"/>
            </w:tcBorders>
            <w:shd w:val="clear" w:color="auto" w:fill="auto"/>
            <w:noWrap/>
            <w:vAlign w:val="bottom"/>
            <w:hideMark/>
          </w:tcPr>
          <w:p w14:paraId="67B27F9F" w14:textId="46121DC7"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155,20</w:t>
            </w:r>
          </w:p>
        </w:tc>
        <w:tc>
          <w:tcPr>
            <w:tcW w:w="1504" w:type="dxa"/>
            <w:tcBorders>
              <w:top w:val="nil"/>
              <w:left w:val="nil"/>
              <w:bottom w:val="single" w:sz="4" w:space="0" w:color="auto"/>
              <w:right w:val="nil"/>
            </w:tcBorders>
            <w:shd w:val="clear" w:color="auto" w:fill="auto"/>
            <w:noWrap/>
            <w:vAlign w:val="bottom"/>
            <w:hideMark/>
          </w:tcPr>
          <w:p w14:paraId="45D6E73B" w14:textId="56406513"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155,18</w:t>
            </w:r>
          </w:p>
        </w:tc>
        <w:tc>
          <w:tcPr>
            <w:tcW w:w="1418" w:type="dxa"/>
            <w:tcBorders>
              <w:top w:val="nil"/>
              <w:left w:val="nil"/>
              <w:bottom w:val="single" w:sz="4" w:space="0" w:color="auto"/>
              <w:right w:val="nil"/>
            </w:tcBorders>
            <w:shd w:val="clear" w:color="auto" w:fill="auto"/>
            <w:noWrap/>
            <w:vAlign w:val="bottom"/>
            <w:hideMark/>
          </w:tcPr>
          <w:p w14:paraId="60718E8F" w14:textId="62AE3E97"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23,60</w:t>
            </w:r>
          </w:p>
        </w:tc>
      </w:tr>
      <w:tr w:rsidR="00B64E96" w:rsidRPr="00730B1E" w14:paraId="1088AAF6" w14:textId="77777777" w:rsidTr="00084651">
        <w:trPr>
          <w:trHeight w:val="315"/>
        </w:trPr>
        <w:tc>
          <w:tcPr>
            <w:tcW w:w="2470" w:type="dxa"/>
            <w:tcBorders>
              <w:top w:val="nil"/>
              <w:left w:val="nil"/>
              <w:bottom w:val="single" w:sz="4" w:space="0" w:color="auto"/>
              <w:right w:val="nil"/>
            </w:tcBorders>
            <w:shd w:val="clear" w:color="auto" w:fill="auto"/>
            <w:noWrap/>
            <w:vAlign w:val="bottom"/>
            <w:hideMark/>
          </w:tcPr>
          <w:p w14:paraId="114C3BD9" w14:textId="77777777" w:rsidR="007F4012" w:rsidRPr="00730B1E" w:rsidRDefault="007F4012" w:rsidP="007F4012">
            <w:pPr>
              <w:spacing w:line="240" w:lineRule="auto"/>
              <w:jc w:val="left"/>
              <w:rPr>
                <w:rFonts w:eastAsia="Times New Roman"/>
                <w:szCs w:val="24"/>
                <w:lang w:eastAsia="cs-CZ"/>
              </w:rPr>
            </w:pPr>
            <w:r w:rsidRPr="00730B1E">
              <w:rPr>
                <w:rFonts w:eastAsia="Times New Roman"/>
                <w:szCs w:val="24"/>
                <w:lang w:eastAsia="cs-CZ"/>
              </w:rPr>
              <w:t>KS Ústí n. Labem</w:t>
            </w:r>
          </w:p>
        </w:tc>
        <w:tc>
          <w:tcPr>
            <w:tcW w:w="1653" w:type="dxa"/>
            <w:tcBorders>
              <w:top w:val="nil"/>
              <w:left w:val="nil"/>
              <w:bottom w:val="single" w:sz="4" w:space="0" w:color="auto"/>
              <w:right w:val="nil"/>
            </w:tcBorders>
            <w:shd w:val="clear" w:color="auto" w:fill="auto"/>
            <w:noWrap/>
            <w:vAlign w:val="bottom"/>
            <w:hideMark/>
          </w:tcPr>
          <w:p w14:paraId="34A0A403" w14:textId="1E1CE2EC"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62,07</w:t>
            </w:r>
          </w:p>
        </w:tc>
        <w:tc>
          <w:tcPr>
            <w:tcW w:w="2028" w:type="dxa"/>
            <w:tcBorders>
              <w:top w:val="nil"/>
              <w:left w:val="nil"/>
              <w:bottom w:val="single" w:sz="4" w:space="0" w:color="auto"/>
              <w:right w:val="nil"/>
            </w:tcBorders>
            <w:shd w:val="clear" w:color="auto" w:fill="auto"/>
            <w:noWrap/>
            <w:vAlign w:val="bottom"/>
            <w:hideMark/>
          </w:tcPr>
          <w:p w14:paraId="11C0D911" w14:textId="34D4BA10"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169,00</w:t>
            </w:r>
          </w:p>
        </w:tc>
        <w:tc>
          <w:tcPr>
            <w:tcW w:w="1504" w:type="dxa"/>
            <w:tcBorders>
              <w:top w:val="nil"/>
              <w:left w:val="nil"/>
              <w:bottom w:val="single" w:sz="4" w:space="0" w:color="auto"/>
              <w:right w:val="nil"/>
            </w:tcBorders>
            <w:shd w:val="clear" w:color="auto" w:fill="auto"/>
            <w:noWrap/>
            <w:vAlign w:val="bottom"/>
            <w:hideMark/>
          </w:tcPr>
          <w:p w14:paraId="2E5409B7" w14:textId="025EB9F7"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173,09</w:t>
            </w:r>
          </w:p>
        </w:tc>
        <w:tc>
          <w:tcPr>
            <w:tcW w:w="1418" w:type="dxa"/>
            <w:tcBorders>
              <w:top w:val="nil"/>
              <w:left w:val="nil"/>
              <w:bottom w:val="single" w:sz="4" w:space="0" w:color="auto"/>
              <w:right w:val="nil"/>
            </w:tcBorders>
            <w:shd w:val="clear" w:color="auto" w:fill="auto"/>
            <w:noWrap/>
            <w:vAlign w:val="bottom"/>
            <w:hideMark/>
          </w:tcPr>
          <w:p w14:paraId="69056F38" w14:textId="2C965DB6"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36,83</w:t>
            </w:r>
          </w:p>
        </w:tc>
      </w:tr>
      <w:tr w:rsidR="00B64E96" w:rsidRPr="00730B1E" w14:paraId="046C9AF9" w14:textId="77777777" w:rsidTr="00084651">
        <w:trPr>
          <w:trHeight w:val="315"/>
        </w:trPr>
        <w:tc>
          <w:tcPr>
            <w:tcW w:w="2470" w:type="dxa"/>
            <w:tcBorders>
              <w:top w:val="nil"/>
              <w:left w:val="nil"/>
              <w:bottom w:val="single" w:sz="4" w:space="0" w:color="auto"/>
              <w:right w:val="nil"/>
            </w:tcBorders>
            <w:shd w:val="clear" w:color="auto" w:fill="auto"/>
            <w:noWrap/>
            <w:vAlign w:val="bottom"/>
            <w:hideMark/>
          </w:tcPr>
          <w:p w14:paraId="66135D42" w14:textId="77777777" w:rsidR="007F4012" w:rsidRPr="00730B1E" w:rsidRDefault="007F4012" w:rsidP="007F4012">
            <w:pPr>
              <w:spacing w:line="240" w:lineRule="auto"/>
              <w:jc w:val="left"/>
              <w:rPr>
                <w:rFonts w:eastAsia="Times New Roman"/>
                <w:szCs w:val="24"/>
                <w:lang w:eastAsia="cs-CZ"/>
              </w:rPr>
            </w:pPr>
            <w:r w:rsidRPr="00730B1E">
              <w:rPr>
                <w:rFonts w:eastAsia="Times New Roman"/>
                <w:szCs w:val="24"/>
                <w:lang w:eastAsia="cs-CZ"/>
              </w:rPr>
              <w:t>KS Hr. Králové</w:t>
            </w:r>
          </w:p>
        </w:tc>
        <w:tc>
          <w:tcPr>
            <w:tcW w:w="1653" w:type="dxa"/>
            <w:tcBorders>
              <w:top w:val="nil"/>
              <w:left w:val="nil"/>
              <w:bottom w:val="single" w:sz="4" w:space="0" w:color="auto"/>
              <w:right w:val="nil"/>
            </w:tcBorders>
            <w:shd w:val="clear" w:color="auto" w:fill="auto"/>
            <w:noWrap/>
            <w:vAlign w:val="bottom"/>
            <w:hideMark/>
          </w:tcPr>
          <w:p w14:paraId="0FED882B" w14:textId="5039CCB3"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35,5</w:t>
            </w:r>
          </w:p>
        </w:tc>
        <w:tc>
          <w:tcPr>
            <w:tcW w:w="2028" w:type="dxa"/>
            <w:tcBorders>
              <w:top w:val="nil"/>
              <w:left w:val="nil"/>
              <w:bottom w:val="single" w:sz="4" w:space="0" w:color="auto"/>
              <w:right w:val="nil"/>
            </w:tcBorders>
            <w:shd w:val="clear" w:color="auto" w:fill="auto"/>
            <w:noWrap/>
            <w:vAlign w:val="bottom"/>
            <w:hideMark/>
          </w:tcPr>
          <w:p w14:paraId="268D8F46" w14:textId="3954CBD6"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162,25</w:t>
            </w:r>
          </w:p>
        </w:tc>
        <w:tc>
          <w:tcPr>
            <w:tcW w:w="1504" w:type="dxa"/>
            <w:tcBorders>
              <w:top w:val="nil"/>
              <w:left w:val="nil"/>
              <w:bottom w:val="single" w:sz="4" w:space="0" w:color="auto"/>
              <w:right w:val="nil"/>
            </w:tcBorders>
            <w:shd w:val="clear" w:color="auto" w:fill="auto"/>
            <w:noWrap/>
            <w:vAlign w:val="bottom"/>
            <w:hideMark/>
          </w:tcPr>
          <w:p w14:paraId="1FBE2601" w14:textId="37B1E8D6"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161,66</w:t>
            </w:r>
          </w:p>
        </w:tc>
        <w:tc>
          <w:tcPr>
            <w:tcW w:w="1418" w:type="dxa"/>
            <w:tcBorders>
              <w:top w:val="nil"/>
              <w:left w:val="nil"/>
              <w:bottom w:val="single" w:sz="4" w:space="0" w:color="auto"/>
              <w:right w:val="nil"/>
            </w:tcBorders>
            <w:shd w:val="clear" w:color="auto" w:fill="auto"/>
            <w:noWrap/>
            <w:vAlign w:val="bottom"/>
            <w:hideMark/>
          </w:tcPr>
          <w:p w14:paraId="5CC4C955" w14:textId="4F6D76E3"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15,24</w:t>
            </w:r>
          </w:p>
        </w:tc>
      </w:tr>
      <w:tr w:rsidR="00B64E96" w:rsidRPr="00730B1E" w14:paraId="6D490F73" w14:textId="77777777" w:rsidTr="00084651">
        <w:trPr>
          <w:trHeight w:val="315"/>
        </w:trPr>
        <w:tc>
          <w:tcPr>
            <w:tcW w:w="2470" w:type="dxa"/>
            <w:tcBorders>
              <w:top w:val="nil"/>
              <w:left w:val="nil"/>
              <w:bottom w:val="single" w:sz="4" w:space="0" w:color="auto"/>
              <w:right w:val="nil"/>
            </w:tcBorders>
            <w:shd w:val="clear" w:color="auto" w:fill="auto"/>
            <w:noWrap/>
            <w:vAlign w:val="bottom"/>
            <w:hideMark/>
          </w:tcPr>
          <w:p w14:paraId="5581F4CF" w14:textId="77777777" w:rsidR="007F4012" w:rsidRPr="00730B1E" w:rsidRDefault="007F4012" w:rsidP="007F4012">
            <w:pPr>
              <w:spacing w:line="240" w:lineRule="auto"/>
              <w:jc w:val="left"/>
              <w:rPr>
                <w:rFonts w:eastAsia="Times New Roman"/>
                <w:szCs w:val="24"/>
                <w:lang w:eastAsia="cs-CZ"/>
              </w:rPr>
            </w:pPr>
            <w:r w:rsidRPr="00730B1E">
              <w:rPr>
                <w:rFonts w:eastAsia="Times New Roman"/>
                <w:szCs w:val="24"/>
                <w:lang w:eastAsia="cs-CZ"/>
              </w:rPr>
              <w:t>KS Brno</w:t>
            </w:r>
          </w:p>
        </w:tc>
        <w:tc>
          <w:tcPr>
            <w:tcW w:w="1653" w:type="dxa"/>
            <w:tcBorders>
              <w:top w:val="nil"/>
              <w:left w:val="nil"/>
              <w:bottom w:val="single" w:sz="4" w:space="0" w:color="auto"/>
              <w:right w:val="nil"/>
            </w:tcBorders>
            <w:shd w:val="clear" w:color="auto" w:fill="auto"/>
            <w:noWrap/>
            <w:vAlign w:val="bottom"/>
            <w:hideMark/>
          </w:tcPr>
          <w:p w14:paraId="7599856F" w14:textId="293F35B2"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53,1</w:t>
            </w:r>
          </w:p>
        </w:tc>
        <w:tc>
          <w:tcPr>
            <w:tcW w:w="2028" w:type="dxa"/>
            <w:tcBorders>
              <w:top w:val="nil"/>
              <w:left w:val="nil"/>
              <w:bottom w:val="single" w:sz="4" w:space="0" w:color="auto"/>
              <w:right w:val="nil"/>
            </w:tcBorders>
            <w:shd w:val="clear" w:color="auto" w:fill="auto"/>
            <w:noWrap/>
            <w:vAlign w:val="bottom"/>
            <w:hideMark/>
          </w:tcPr>
          <w:p w14:paraId="1DA0E42B" w14:textId="6CF0BF3E"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188,51</w:t>
            </w:r>
          </w:p>
        </w:tc>
        <w:tc>
          <w:tcPr>
            <w:tcW w:w="1504" w:type="dxa"/>
            <w:tcBorders>
              <w:top w:val="nil"/>
              <w:left w:val="nil"/>
              <w:bottom w:val="single" w:sz="4" w:space="0" w:color="auto"/>
              <w:right w:val="nil"/>
            </w:tcBorders>
            <w:shd w:val="clear" w:color="auto" w:fill="auto"/>
            <w:noWrap/>
            <w:vAlign w:val="bottom"/>
            <w:hideMark/>
          </w:tcPr>
          <w:p w14:paraId="405E0E60" w14:textId="04AEB3B5"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188,25</w:t>
            </w:r>
          </w:p>
        </w:tc>
        <w:tc>
          <w:tcPr>
            <w:tcW w:w="1418" w:type="dxa"/>
            <w:tcBorders>
              <w:top w:val="nil"/>
              <w:left w:val="nil"/>
              <w:bottom w:val="single" w:sz="4" w:space="0" w:color="auto"/>
              <w:right w:val="nil"/>
            </w:tcBorders>
            <w:shd w:val="clear" w:color="auto" w:fill="auto"/>
            <w:noWrap/>
            <w:vAlign w:val="bottom"/>
            <w:hideMark/>
          </w:tcPr>
          <w:p w14:paraId="735A6106" w14:textId="1395F91D"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25,88</w:t>
            </w:r>
          </w:p>
        </w:tc>
      </w:tr>
      <w:tr w:rsidR="00B64E96" w:rsidRPr="00730B1E" w14:paraId="2A188E02" w14:textId="77777777" w:rsidTr="00084651">
        <w:trPr>
          <w:trHeight w:val="330"/>
        </w:trPr>
        <w:tc>
          <w:tcPr>
            <w:tcW w:w="2470" w:type="dxa"/>
            <w:tcBorders>
              <w:top w:val="nil"/>
              <w:left w:val="nil"/>
              <w:bottom w:val="double" w:sz="6" w:space="0" w:color="auto"/>
              <w:right w:val="nil"/>
            </w:tcBorders>
            <w:shd w:val="clear" w:color="auto" w:fill="auto"/>
            <w:noWrap/>
            <w:vAlign w:val="bottom"/>
            <w:hideMark/>
          </w:tcPr>
          <w:p w14:paraId="26E29AC0" w14:textId="77777777" w:rsidR="007F4012" w:rsidRPr="00730B1E" w:rsidRDefault="007F4012" w:rsidP="007F4012">
            <w:pPr>
              <w:spacing w:line="240" w:lineRule="auto"/>
              <w:jc w:val="left"/>
              <w:rPr>
                <w:rFonts w:eastAsia="Times New Roman"/>
                <w:szCs w:val="24"/>
                <w:lang w:eastAsia="cs-CZ"/>
              </w:rPr>
            </w:pPr>
            <w:r w:rsidRPr="00730B1E">
              <w:rPr>
                <w:rFonts w:eastAsia="Times New Roman"/>
                <w:szCs w:val="24"/>
                <w:lang w:eastAsia="cs-CZ"/>
              </w:rPr>
              <w:t>KS Ostrava</w:t>
            </w:r>
          </w:p>
        </w:tc>
        <w:tc>
          <w:tcPr>
            <w:tcW w:w="1653" w:type="dxa"/>
            <w:tcBorders>
              <w:top w:val="nil"/>
              <w:left w:val="nil"/>
              <w:bottom w:val="double" w:sz="6" w:space="0" w:color="auto"/>
              <w:right w:val="nil"/>
            </w:tcBorders>
            <w:shd w:val="clear" w:color="auto" w:fill="auto"/>
            <w:noWrap/>
            <w:vAlign w:val="bottom"/>
            <w:hideMark/>
          </w:tcPr>
          <w:p w14:paraId="5E5787D9" w14:textId="5817E7B6"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70,35</w:t>
            </w:r>
          </w:p>
        </w:tc>
        <w:tc>
          <w:tcPr>
            <w:tcW w:w="2028" w:type="dxa"/>
            <w:tcBorders>
              <w:top w:val="nil"/>
              <w:left w:val="nil"/>
              <w:bottom w:val="double" w:sz="6" w:space="0" w:color="auto"/>
              <w:right w:val="nil"/>
            </w:tcBorders>
            <w:shd w:val="clear" w:color="auto" w:fill="auto"/>
            <w:noWrap/>
            <w:vAlign w:val="bottom"/>
            <w:hideMark/>
          </w:tcPr>
          <w:p w14:paraId="5F037057" w14:textId="1646AF56"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182,80</w:t>
            </w:r>
          </w:p>
        </w:tc>
        <w:tc>
          <w:tcPr>
            <w:tcW w:w="1504" w:type="dxa"/>
            <w:tcBorders>
              <w:top w:val="nil"/>
              <w:left w:val="nil"/>
              <w:bottom w:val="double" w:sz="6" w:space="0" w:color="auto"/>
              <w:right w:val="nil"/>
            </w:tcBorders>
            <w:shd w:val="clear" w:color="auto" w:fill="auto"/>
            <w:noWrap/>
            <w:vAlign w:val="bottom"/>
            <w:hideMark/>
          </w:tcPr>
          <w:p w14:paraId="21F991A6" w14:textId="7C959315"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182,25</w:t>
            </w:r>
          </w:p>
        </w:tc>
        <w:tc>
          <w:tcPr>
            <w:tcW w:w="1418" w:type="dxa"/>
            <w:tcBorders>
              <w:top w:val="nil"/>
              <w:left w:val="nil"/>
              <w:bottom w:val="double" w:sz="6" w:space="0" w:color="auto"/>
              <w:right w:val="nil"/>
            </w:tcBorders>
            <w:shd w:val="clear" w:color="auto" w:fill="auto"/>
            <w:noWrap/>
            <w:vAlign w:val="bottom"/>
            <w:hideMark/>
          </w:tcPr>
          <w:p w14:paraId="7E555130" w14:textId="41239D44" w:rsidR="007F4012" w:rsidRPr="00730B1E" w:rsidRDefault="007F4012" w:rsidP="007F4012">
            <w:pPr>
              <w:spacing w:line="240" w:lineRule="auto"/>
              <w:jc w:val="center"/>
              <w:rPr>
                <w:rFonts w:eastAsia="Times New Roman"/>
                <w:szCs w:val="24"/>
                <w:lang w:eastAsia="cs-CZ"/>
              </w:rPr>
            </w:pPr>
            <w:r w:rsidRPr="00730B1E">
              <w:rPr>
                <w:rFonts w:eastAsia="Times New Roman"/>
                <w:szCs w:val="24"/>
                <w:lang w:eastAsia="cs-CZ"/>
              </w:rPr>
              <w:t>31,23</w:t>
            </w:r>
          </w:p>
        </w:tc>
      </w:tr>
      <w:tr w:rsidR="00B64E96" w:rsidRPr="00730B1E" w14:paraId="5F01D0C4" w14:textId="77777777" w:rsidTr="00084651">
        <w:trPr>
          <w:trHeight w:val="345"/>
        </w:trPr>
        <w:tc>
          <w:tcPr>
            <w:tcW w:w="2470" w:type="dxa"/>
            <w:tcBorders>
              <w:top w:val="nil"/>
              <w:left w:val="nil"/>
              <w:bottom w:val="double" w:sz="6" w:space="0" w:color="auto"/>
              <w:right w:val="nil"/>
            </w:tcBorders>
            <w:shd w:val="clear" w:color="auto" w:fill="auto"/>
            <w:noWrap/>
            <w:vAlign w:val="bottom"/>
            <w:hideMark/>
          </w:tcPr>
          <w:p w14:paraId="0B0CA80A" w14:textId="77777777" w:rsidR="007F4012" w:rsidRPr="00730B1E" w:rsidRDefault="007F4012" w:rsidP="007F4012">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653" w:type="dxa"/>
            <w:tcBorders>
              <w:top w:val="nil"/>
              <w:left w:val="nil"/>
              <w:bottom w:val="double" w:sz="6" w:space="0" w:color="auto"/>
              <w:right w:val="nil"/>
            </w:tcBorders>
            <w:shd w:val="clear" w:color="auto" w:fill="auto"/>
            <w:noWrap/>
            <w:vAlign w:val="bottom"/>
            <w:hideMark/>
          </w:tcPr>
          <w:p w14:paraId="7F973BC8" w14:textId="6E99C729"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378,39</w:t>
            </w:r>
          </w:p>
        </w:tc>
        <w:tc>
          <w:tcPr>
            <w:tcW w:w="2028" w:type="dxa"/>
            <w:tcBorders>
              <w:top w:val="nil"/>
              <w:left w:val="nil"/>
              <w:bottom w:val="double" w:sz="6" w:space="0" w:color="auto"/>
              <w:right w:val="nil"/>
            </w:tcBorders>
            <w:shd w:val="clear" w:color="auto" w:fill="auto"/>
            <w:noWrap/>
            <w:vAlign w:val="bottom"/>
            <w:hideMark/>
          </w:tcPr>
          <w:p w14:paraId="67DD51AD" w14:textId="1DC13C90"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173,74</w:t>
            </w:r>
          </w:p>
        </w:tc>
        <w:tc>
          <w:tcPr>
            <w:tcW w:w="1504" w:type="dxa"/>
            <w:tcBorders>
              <w:top w:val="nil"/>
              <w:left w:val="nil"/>
              <w:bottom w:val="double" w:sz="6" w:space="0" w:color="auto"/>
              <w:right w:val="nil"/>
            </w:tcBorders>
            <w:shd w:val="clear" w:color="auto" w:fill="auto"/>
            <w:noWrap/>
            <w:vAlign w:val="bottom"/>
            <w:hideMark/>
          </w:tcPr>
          <w:p w14:paraId="30935AF3" w14:textId="57A8987E"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174,48</w:t>
            </w:r>
          </w:p>
        </w:tc>
        <w:tc>
          <w:tcPr>
            <w:tcW w:w="1418" w:type="dxa"/>
            <w:tcBorders>
              <w:top w:val="nil"/>
              <w:left w:val="nil"/>
              <w:bottom w:val="double" w:sz="6" w:space="0" w:color="auto"/>
              <w:right w:val="nil"/>
            </w:tcBorders>
            <w:shd w:val="clear" w:color="auto" w:fill="auto"/>
            <w:noWrap/>
            <w:vAlign w:val="bottom"/>
            <w:hideMark/>
          </w:tcPr>
          <w:p w14:paraId="2014F4D8" w14:textId="6123E743" w:rsidR="007F4012" w:rsidRPr="00730B1E" w:rsidRDefault="007F4012" w:rsidP="007F4012">
            <w:pPr>
              <w:spacing w:line="240" w:lineRule="auto"/>
              <w:jc w:val="center"/>
              <w:rPr>
                <w:rFonts w:eastAsia="Times New Roman"/>
                <w:b/>
                <w:bCs/>
                <w:szCs w:val="24"/>
                <w:lang w:eastAsia="cs-CZ"/>
              </w:rPr>
            </w:pPr>
            <w:r w:rsidRPr="00730B1E">
              <w:rPr>
                <w:rFonts w:eastAsia="Times New Roman"/>
                <w:b/>
                <w:bCs/>
                <w:szCs w:val="24"/>
                <w:lang w:eastAsia="cs-CZ"/>
              </w:rPr>
              <w:t>24,44</w:t>
            </w:r>
          </w:p>
        </w:tc>
      </w:tr>
      <w:tr w:rsidR="00B64E96" w:rsidRPr="00730B1E" w14:paraId="5494040B" w14:textId="77777777" w:rsidTr="00084651">
        <w:trPr>
          <w:trHeight w:val="330"/>
        </w:trPr>
        <w:tc>
          <w:tcPr>
            <w:tcW w:w="2470" w:type="dxa"/>
            <w:tcBorders>
              <w:top w:val="nil"/>
              <w:left w:val="nil"/>
              <w:bottom w:val="nil"/>
              <w:right w:val="nil"/>
            </w:tcBorders>
            <w:shd w:val="clear" w:color="auto" w:fill="auto"/>
            <w:noWrap/>
            <w:vAlign w:val="bottom"/>
            <w:hideMark/>
          </w:tcPr>
          <w:p w14:paraId="63B2E849" w14:textId="77777777" w:rsidR="007F4012" w:rsidRPr="00730B1E" w:rsidRDefault="007F4012" w:rsidP="007F4012">
            <w:pPr>
              <w:spacing w:line="240" w:lineRule="auto"/>
              <w:jc w:val="center"/>
              <w:rPr>
                <w:rFonts w:eastAsia="Times New Roman"/>
                <w:b/>
                <w:bCs/>
                <w:szCs w:val="24"/>
                <w:lang w:eastAsia="cs-CZ"/>
              </w:rPr>
            </w:pPr>
          </w:p>
        </w:tc>
        <w:tc>
          <w:tcPr>
            <w:tcW w:w="1653" w:type="dxa"/>
            <w:tcBorders>
              <w:top w:val="nil"/>
              <w:left w:val="nil"/>
              <w:bottom w:val="nil"/>
              <w:right w:val="nil"/>
            </w:tcBorders>
            <w:shd w:val="clear" w:color="auto" w:fill="auto"/>
            <w:noWrap/>
            <w:vAlign w:val="bottom"/>
            <w:hideMark/>
          </w:tcPr>
          <w:p w14:paraId="618626BD" w14:textId="77777777" w:rsidR="007F4012" w:rsidRPr="00DF07F3" w:rsidRDefault="007F4012" w:rsidP="007F4012">
            <w:pPr>
              <w:spacing w:line="240" w:lineRule="auto"/>
              <w:jc w:val="left"/>
              <w:rPr>
                <w:sz w:val="20"/>
              </w:rPr>
            </w:pPr>
          </w:p>
        </w:tc>
        <w:tc>
          <w:tcPr>
            <w:tcW w:w="2028" w:type="dxa"/>
            <w:tcBorders>
              <w:top w:val="nil"/>
              <w:left w:val="nil"/>
              <w:bottom w:val="nil"/>
              <w:right w:val="nil"/>
            </w:tcBorders>
            <w:shd w:val="clear" w:color="auto" w:fill="auto"/>
            <w:noWrap/>
            <w:vAlign w:val="bottom"/>
            <w:hideMark/>
          </w:tcPr>
          <w:p w14:paraId="728901EA" w14:textId="77777777" w:rsidR="007F4012" w:rsidRPr="00DF07F3" w:rsidRDefault="007F4012" w:rsidP="007F4012">
            <w:pPr>
              <w:spacing w:line="240" w:lineRule="auto"/>
              <w:jc w:val="left"/>
              <w:rPr>
                <w:sz w:val="20"/>
              </w:rPr>
            </w:pPr>
          </w:p>
        </w:tc>
        <w:tc>
          <w:tcPr>
            <w:tcW w:w="1504" w:type="dxa"/>
            <w:tcBorders>
              <w:top w:val="nil"/>
              <w:left w:val="nil"/>
              <w:bottom w:val="nil"/>
              <w:right w:val="nil"/>
            </w:tcBorders>
            <w:shd w:val="clear" w:color="auto" w:fill="auto"/>
            <w:noWrap/>
            <w:vAlign w:val="bottom"/>
            <w:hideMark/>
          </w:tcPr>
          <w:p w14:paraId="0D1B655F" w14:textId="77777777" w:rsidR="007F4012" w:rsidRPr="00DF07F3" w:rsidRDefault="007F4012" w:rsidP="007F4012">
            <w:pPr>
              <w:spacing w:line="240" w:lineRule="auto"/>
              <w:jc w:val="left"/>
              <w:rPr>
                <w:sz w:val="20"/>
              </w:rPr>
            </w:pPr>
          </w:p>
        </w:tc>
        <w:tc>
          <w:tcPr>
            <w:tcW w:w="1418" w:type="dxa"/>
            <w:tcBorders>
              <w:top w:val="nil"/>
              <w:left w:val="nil"/>
              <w:bottom w:val="nil"/>
              <w:right w:val="nil"/>
            </w:tcBorders>
            <w:shd w:val="clear" w:color="auto" w:fill="auto"/>
            <w:noWrap/>
            <w:vAlign w:val="bottom"/>
            <w:hideMark/>
          </w:tcPr>
          <w:p w14:paraId="6F0CAE9F" w14:textId="77777777" w:rsidR="007F4012" w:rsidRPr="00DF07F3" w:rsidRDefault="007F4012" w:rsidP="007F4012">
            <w:pPr>
              <w:spacing w:line="240" w:lineRule="auto"/>
              <w:jc w:val="left"/>
              <w:rPr>
                <w:sz w:val="20"/>
              </w:rPr>
            </w:pPr>
          </w:p>
        </w:tc>
      </w:tr>
    </w:tbl>
    <w:p w14:paraId="015132B8" w14:textId="68E44BAD" w:rsidR="00997E2C" w:rsidRPr="00730B1E" w:rsidRDefault="00997E2C" w:rsidP="00997E2C">
      <w:pPr>
        <w:pStyle w:val="OdstavecASR"/>
      </w:pPr>
      <w:r w:rsidRPr="00730B1E">
        <w:t xml:space="preserve">V tabulce vidíme, že výsledky (počty nevyřízených věcí na soudce) opět přibližně odpovídají délkám řízení – </w:t>
      </w:r>
      <w:r w:rsidR="00CD6777" w:rsidRPr="00730B1E">
        <w:t xml:space="preserve">nejméně příznivá </w:t>
      </w:r>
      <w:r w:rsidRPr="00730B1E">
        <w:t>situace je zatím ještě stále u OS, které spadají pod KS Ústí nad Labem.</w:t>
      </w:r>
    </w:p>
    <w:p w14:paraId="23137EA2" w14:textId="77777777" w:rsidR="00997E2C" w:rsidRPr="00730B1E" w:rsidRDefault="00997E2C" w:rsidP="00997E2C">
      <w:pPr>
        <w:pStyle w:val="OdstavecASR"/>
      </w:pPr>
      <w:r w:rsidRPr="00730B1E">
        <w:lastRenderedPageBreak/>
        <w:t>Počet úvazků se za rok téměř nezměnil, takže změny v počtu příchozích, vyřízených a nevyřízených věcí na soudce odpovídají vývoji v absolutních počtech.</w:t>
      </w:r>
    </w:p>
    <w:p w14:paraId="3DEDD2C3" w14:textId="488728CB" w:rsidR="00997E2C" w:rsidRPr="00730B1E" w:rsidRDefault="00997E2C" w:rsidP="00997E2C">
      <w:pPr>
        <w:pStyle w:val="Podnadpis"/>
        <w:rPr>
          <w:color w:val="auto"/>
        </w:rPr>
      </w:pPr>
      <w:bookmarkStart w:id="403" w:name="_Toc515871354"/>
      <w:bookmarkStart w:id="404" w:name="_Toc11135089"/>
      <w:bookmarkStart w:id="405" w:name="_Toc43841405"/>
      <w:bookmarkStart w:id="406" w:name="_Toc75952208"/>
      <w:bookmarkStart w:id="407" w:name="_Toc106106660"/>
      <w:bookmarkStart w:id="408" w:name="_Toc144104137"/>
      <w:bookmarkStart w:id="409" w:name="_Toc169250945"/>
      <w:bookmarkStart w:id="410" w:name="_Toc17408063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26</w:t>
      </w:r>
      <w:r w:rsidRPr="00730B1E">
        <w:rPr>
          <w:color w:val="auto"/>
        </w:rPr>
        <w:fldChar w:fldCharType="end"/>
      </w:r>
      <w:r w:rsidRPr="00730B1E">
        <w:rPr>
          <w:color w:val="auto"/>
        </w:rPr>
        <w:t>: OS – počet nevyř. trestních věcí na úvazek u jednotlivých soudů</w:t>
      </w:r>
      <w:bookmarkEnd w:id="403"/>
      <w:bookmarkEnd w:id="404"/>
      <w:bookmarkEnd w:id="405"/>
      <w:bookmarkEnd w:id="406"/>
      <w:bookmarkEnd w:id="407"/>
      <w:bookmarkEnd w:id="408"/>
      <w:r w:rsidR="002263C3" w:rsidRPr="00730B1E">
        <w:rPr>
          <w:color w:val="auto"/>
        </w:rPr>
        <w:t>, 2023</w:t>
      </w:r>
      <w:bookmarkEnd w:id="409"/>
      <w:bookmarkEnd w:id="410"/>
    </w:p>
    <w:p w14:paraId="512BD68A" w14:textId="2E1ACB62" w:rsidR="007F4012" w:rsidRPr="00730B1E" w:rsidRDefault="00B032C0" w:rsidP="005F6AF5">
      <w:pPr>
        <w:pStyle w:val="OdstavecASR"/>
      </w:pPr>
      <w:r w:rsidRPr="00730B1E">
        <w:rPr>
          <w:noProof/>
          <w:lang w:eastAsia="cs-CZ"/>
        </w:rPr>
        <w:drawing>
          <wp:anchor distT="0" distB="0" distL="114300" distR="114300" simplePos="0" relativeHeight="251669504" behindDoc="0" locked="0" layoutInCell="1" allowOverlap="1" wp14:anchorId="0E7696B4" wp14:editId="262C1400">
            <wp:simplePos x="0" y="0"/>
            <wp:positionH relativeFrom="margin">
              <wp:posOffset>4490720</wp:posOffset>
            </wp:positionH>
            <wp:positionV relativeFrom="paragraph">
              <wp:posOffset>57785</wp:posOffset>
            </wp:positionV>
            <wp:extent cx="1242000" cy="903600"/>
            <wp:effectExtent l="0" t="0" r="0" b="0"/>
            <wp:wrapNone/>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42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B1E">
        <w:rPr>
          <w:noProof/>
          <w:lang w:eastAsia="cs-CZ"/>
        </w:rPr>
        <w:drawing>
          <wp:inline distT="0" distB="0" distL="0" distR="0" wp14:anchorId="4E82B94F" wp14:editId="2D5F8957">
            <wp:extent cx="5760720" cy="3296920"/>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2E363EA2" w14:textId="445BCC3D" w:rsidR="00997E2C" w:rsidRPr="00730B1E" w:rsidRDefault="00B032C0" w:rsidP="005F6AF5">
      <w:pPr>
        <w:pStyle w:val="OdstavecASR"/>
      </w:pPr>
      <w:r w:rsidRPr="00730B1E">
        <w:t>Vzhledem k neustále se zmenšujícímu počtu nevyřízených věcí byly upraveny intervaly pro zabarvení kartogramu.</w:t>
      </w:r>
    </w:p>
    <w:p w14:paraId="29931640" w14:textId="6D49492D" w:rsidR="00B032C0" w:rsidRPr="00730B1E" w:rsidRDefault="00B032C0" w:rsidP="00B032C0">
      <w:pPr>
        <w:pStyle w:val="OdstavecASR"/>
      </w:pPr>
      <w:r w:rsidRPr="00730B1E">
        <w:t>Soudy s nejmenším počtem nevyřízených věcí v přepočtu na soudce jsou OS Praha-západ (6 věcí), OS Beroun a OS Kutná Hora (oba 7 věcí). Naopak soudy s nejvyšším počtem nevyřízených věcí na soudce jsou OS Tachov, OS Hodonín (oba 45 věcí) a OS Liberec (48).</w:t>
      </w:r>
    </w:p>
    <w:p w14:paraId="479BB0DB" w14:textId="3556E7FE" w:rsidR="008430BD" w:rsidRPr="00730B1E" w:rsidRDefault="008430BD" w:rsidP="008430BD">
      <w:pPr>
        <w:pStyle w:val="Nadpis3"/>
        <w:numPr>
          <w:ilvl w:val="2"/>
          <w:numId w:val="1"/>
        </w:numPr>
        <w:rPr>
          <w:color w:val="auto"/>
        </w:rPr>
      </w:pPr>
      <w:bookmarkStart w:id="411" w:name="_Toc515871234"/>
      <w:bookmarkStart w:id="412" w:name="_Toc106092731"/>
      <w:bookmarkStart w:id="413" w:name="_Toc169250815"/>
      <w:bookmarkStart w:id="414" w:name="_Toc174080851"/>
      <w:r w:rsidRPr="00730B1E">
        <w:rPr>
          <w:color w:val="auto"/>
        </w:rPr>
        <w:t>Disposition time</w:t>
      </w:r>
      <w:bookmarkEnd w:id="411"/>
      <w:r w:rsidRPr="00730B1E">
        <w:rPr>
          <w:color w:val="auto"/>
        </w:rPr>
        <w:t xml:space="preserve"> (dispoziční čas)</w:t>
      </w:r>
      <w:bookmarkEnd w:id="412"/>
      <w:bookmarkEnd w:id="413"/>
      <w:bookmarkEnd w:id="414"/>
    </w:p>
    <w:p w14:paraId="5A85E9C0" w14:textId="77777777" w:rsidR="00B032C0" w:rsidRPr="00730B1E" w:rsidRDefault="00B032C0" w:rsidP="00B032C0">
      <w:r w:rsidRPr="00730B1E">
        <w:t>Základní popis způsobu výpočtu a účelu tohoto ukazatele se nachází v části věnované civilnímu řízení u OS. Výsledky DT velmi silně korespondují s výsledky z předchozích podkapitol.</w:t>
      </w:r>
    </w:p>
    <w:p w14:paraId="5E6552F9" w14:textId="01D1E729" w:rsidR="00B032C0" w:rsidRPr="00730B1E" w:rsidRDefault="00A6101F" w:rsidP="00B032C0">
      <w:pPr>
        <w:pStyle w:val="OdstavecASR"/>
      </w:pPr>
      <w:r w:rsidRPr="00730B1E">
        <w:t>V letech 2014 až 2019 byl</w:t>
      </w:r>
      <w:r w:rsidR="00B032C0" w:rsidRPr="00730B1E">
        <w:t xml:space="preserve"> DT velmi stabilní. Pokles počtu vyřízených i nevyřízených věcí za celou ČR pokračoval přibližně stejným tempem. V roce 2020 významně poklesl nápad (o 13 %), logicky tak poklesl i počet vyřízených věcí (také o 13 %), ale počet nevyřízených věcí poklesl jen nepatrně o 1 % oproti roku 2019. To pak vedlo k růstu DT. V roce 2021 se podařilo snížit počet nevyřízených věcí. To se pak samozřejmě odrazilo v poklesu DT. Totéž platí i pro rok</w:t>
      </w:r>
      <w:r w:rsidRPr="00730B1E">
        <w:t>y</w:t>
      </w:r>
      <w:r w:rsidR="00B032C0" w:rsidRPr="00730B1E">
        <w:t xml:space="preserve"> 2022</w:t>
      </w:r>
      <w:r w:rsidRPr="00730B1E">
        <w:t xml:space="preserve"> </w:t>
      </w:r>
      <w:r w:rsidR="00CF5DA7" w:rsidRPr="00730B1E">
        <w:t>a </w:t>
      </w:r>
      <w:r w:rsidRPr="00730B1E">
        <w:t>2023</w:t>
      </w:r>
      <w:r w:rsidR="00B032C0" w:rsidRPr="00730B1E">
        <w:t xml:space="preserve">. Díky tomu klesl DT na nejnižší hodnotu za celé sledované období. </w:t>
      </w:r>
    </w:p>
    <w:p w14:paraId="64DC61D7" w14:textId="05FE1DDE" w:rsidR="001B76F1" w:rsidRPr="00730B1E" w:rsidRDefault="001B76F1">
      <w:pPr>
        <w:spacing w:after="160" w:line="259" w:lineRule="auto"/>
        <w:jc w:val="left"/>
      </w:pPr>
      <w:r w:rsidRPr="00730B1E">
        <w:br w:type="page"/>
      </w:r>
    </w:p>
    <w:p w14:paraId="411513B4" w14:textId="141636DF" w:rsidR="001B76F1" w:rsidRPr="00730B1E" w:rsidRDefault="001B76F1" w:rsidP="001B76F1">
      <w:pPr>
        <w:pStyle w:val="Podnadpis"/>
        <w:numPr>
          <w:ilvl w:val="0"/>
          <w:numId w:val="0"/>
        </w:numPr>
        <w:rPr>
          <w:color w:val="auto"/>
        </w:rPr>
      </w:pPr>
      <w:bookmarkStart w:id="415" w:name="_Toc515871358"/>
      <w:bookmarkStart w:id="416" w:name="_Toc11135092"/>
      <w:bookmarkStart w:id="417" w:name="_Toc43841406"/>
      <w:bookmarkStart w:id="418" w:name="_Toc75952209"/>
      <w:bookmarkStart w:id="419" w:name="_Toc106106661"/>
      <w:bookmarkStart w:id="420" w:name="_Toc144104138"/>
      <w:bookmarkStart w:id="421" w:name="_Toc169250946"/>
      <w:bookmarkStart w:id="422" w:name="_Toc174080632"/>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27</w:t>
      </w:r>
      <w:r w:rsidRPr="00730B1E">
        <w:rPr>
          <w:color w:val="auto"/>
        </w:rPr>
        <w:fldChar w:fldCharType="end"/>
      </w:r>
      <w:r w:rsidRPr="00730B1E">
        <w:rPr>
          <w:color w:val="auto"/>
        </w:rPr>
        <w:t>: OS – disposition time trestního řízení v letech 2014–</w:t>
      </w:r>
      <w:bookmarkEnd w:id="415"/>
      <w:bookmarkEnd w:id="416"/>
      <w:bookmarkEnd w:id="417"/>
      <w:bookmarkEnd w:id="418"/>
      <w:bookmarkEnd w:id="419"/>
      <w:r w:rsidRPr="00730B1E">
        <w:rPr>
          <w:color w:val="auto"/>
        </w:rPr>
        <w:t>202</w:t>
      </w:r>
      <w:bookmarkEnd w:id="420"/>
      <w:r w:rsidRPr="00730B1E">
        <w:rPr>
          <w:color w:val="auto"/>
        </w:rPr>
        <w:t>3</w:t>
      </w:r>
      <w:bookmarkEnd w:id="421"/>
      <w:bookmarkEnd w:id="422"/>
    </w:p>
    <w:p w14:paraId="0820B1A4" w14:textId="3964DD95" w:rsidR="001B76F1" w:rsidRPr="00730B1E" w:rsidRDefault="00FB0A0C" w:rsidP="00997E2C">
      <w:r w:rsidRPr="00730B1E">
        <w:rPr>
          <w:noProof/>
          <w:lang w:eastAsia="cs-CZ"/>
        </w:rPr>
        <w:drawing>
          <wp:inline distT="0" distB="0" distL="0" distR="0" wp14:anchorId="5631FF37" wp14:editId="38769CA9">
            <wp:extent cx="5029200" cy="3657600"/>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613B0E3" w14:textId="77777777" w:rsidR="001B76F1" w:rsidRPr="00730B1E" w:rsidRDefault="001B76F1" w:rsidP="00997E2C"/>
    <w:p w14:paraId="19B86EB7" w14:textId="77777777" w:rsidR="001B76F1" w:rsidRPr="00730B1E" w:rsidRDefault="001B76F1" w:rsidP="00997E2C"/>
    <w:p w14:paraId="5CD8AD5A" w14:textId="77777777" w:rsidR="001B76F1" w:rsidRPr="00730B1E" w:rsidRDefault="001B76F1" w:rsidP="00997E2C"/>
    <w:p w14:paraId="7510134E" w14:textId="0FDEC377" w:rsidR="00FB0A0C" w:rsidRPr="00730B1E" w:rsidRDefault="00FB0A0C" w:rsidP="00FB0A0C">
      <w:pPr>
        <w:pStyle w:val="Podnadpis"/>
        <w:rPr>
          <w:color w:val="auto"/>
        </w:rPr>
      </w:pPr>
      <w:bookmarkStart w:id="423" w:name="_Toc515871359"/>
      <w:bookmarkStart w:id="424" w:name="_Toc11135093"/>
      <w:bookmarkStart w:id="425" w:name="_Toc43841407"/>
      <w:bookmarkStart w:id="426" w:name="_Toc75952210"/>
      <w:bookmarkStart w:id="427" w:name="_Toc106106662"/>
      <w:bookmarkStart w:id="428" w:name="_Toc109801986"/>
      <w:bookmarkStart w:id="429" w:name="_Toc144104139"/>
      <w:bookmarkStart w:id="430" w:name="_Toc169250947"/>
      <w:bookmarkStart w:id="431" w:name="_Toc174080633"/>
      <w:r w:rsidRPr="00730B1E">
        <w:rPr>
          <w:color w:val="auto"/>
        </w:rPr>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28</w:t>
      </w:r>
      <w:r w:rsidRPr="00730B1E">
        <w:rPr>
          <w:noProof/>
          <w:color w:val="auto"/>
        </w:rPr>
        <w:fldChar w:fldCharType="end"/>
      </w:r>
      <w:r w:rsidRPr="00730B1E">
        <w:rPr>
          <w:color w:val="auto"/>
        </w:rPr>
        <w:t>: OS – disposition time trestního řízení u jednotlivých soudů</w:t>
      </w:r>
      <w:bookmarkEnd w:id="423"/>
      <w:bookmarkEnd w:id="424"/>
      <w:bookmarkEnd w:id="425"/>
      <w:bookmarkEnd w:id="426"/>
      <w:bookmarkEnd w:id="427"/>
      <w:bookmarkEnd w:id="428"/>
      <w:bookmarkEnd w:id="429"/>
      <w:r w:rsidR="002263C3" w:rsidRPr="00730B1E">
        <w:rPr>
          <w:color w:val="auto"/>
        </w:rPr>
        <w:t>, 2023</w:t>
      </w:r>
      <w:bookmarkEnd w:id="430"/>
      <w:bookmarkEnd w:id="431"/>
    </w:p>
    <w:p w14:paraId="4484A92E" w14:textId="30590AC2" w:rsidR="00997E2C" w:rsidRPr="00730B1E" w:rsidRDefault="003B7A05" w:rsidP="00997E2C">
      <w:r w:rsidRPr="00730B1E">
        <w:rPr>
          <w:noProof/>
          <w:lang w:eastAsia="cs-CZ"/>
        </w:rPr>
        <w:drawing>
          <wp:anchor distT="0" distB="0" distL="114300" distR="114300" simplePos="0" relativeHeight="251670528" behindDoc="0" locked="0" layoutInCell="1" allowOverlap="1" wp14:anchorId="3F35F500" wp14:editId="228F908B">
            <wp:simplePos x="0" y="0"/>
            <wp:positionH relativeFrom="margin">
              <wp:posOffset>4493895</wp:posOffset>
            </wp:positionH>
            <wp:positionV relativeFrom="paragraph">
              <wp:posOffset>4445</wp:posOffset>
            </wp:positionV>
            <wp:extent cx="1242000" cy="903600"/>
            <wp:effectExtent l="0" t="0" r="0" b="0"/>
            <wp:wrapNone/>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42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0A0C" w:rsidRPr="00730B1E">
        <w:rPr>
          <w:noProof/>
          <w:lang w:eastAsia="cs-CZ"/>
        </w:rPr>
        <w:drawing>
          <wp:inline distT="0" distB="0" distL="0" distR="0" wp14:anchorId="55BF5359" wp14:editId="191325EE">
            <wp:extent cx="5760720" cy="3296920"/>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01325DBA" w14:textId="77777777" w:rsidR="00A6101F" w:rsidRPr="00730B1E" w:rsidRDefault="00A6101F" w:rsidP="00997E2C"/>
    <w:p w14:paraId="79BAE509" w14:textId="77777777" w:rsidR="003B7A05" w:rsidRPr="00730B1E" w:rsidRDefault="003B7A05" w:rsidP="00A6101F">
      <w:pPr>
        <w:pStyle w:val="Podnadpis"/>
        <w:rPr>
          <w:color w:val="auto"/>
        </w:rPr>
      </w:pPr>
      <w:bookmarkStart w:id="432" w:name="_Toc43931196"/>
      <w:bookmarkStart w:id="433" w:name="_Toc75952326"/>
      <w:bookmarkStart w:id="434" w:name="_Toc106106785"/>
      <w:bookmarkStart w:id="435" w:name="_Toc109802108"/>
      <w:bookmarkStart w:id="436" w:name="_Toc144104263"/>
    </w:p>
    <w:p w14:paraId="667B01B0" w14:textId="4699D0FE" w:rsidR="00A6101F" w:rsidRPr="00730B1E" w:rsidRDefault="00A6101F" w:rsidP="00A6101F">
      <w:pPr>
        <w:pStyle w:val="Podnadpis"/>
        <w:rPr>
          <w:color w:val="auto"/>
        </w:rPr>
      </w:pPr>
      <w:bookmarkStart w:id="437" w:name="_Toc169251079"/>
      <w:bookmarkStart w:id="438" w:name="_Toc174080765"/>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22</w:t>
      </w:r>
      <w:r w:rsidRPr="00730B1E">
        <w:rPr>
          <w:noProof/>
          <w:color w:val="auto"/>
        </w:rPr>
        <w:fldChar w:fldCharType="end"/>
      </w:r>
      <w:r w:rsidRPr="00730B1E">
        <w:rPr>
          <w:color w:val="auto"/>
        </w:rPr>
        <w:t>: OS – disposition time trestního řízení dle krajů</w:t>
      </w:r>
      <w:bookmarkEnd w:id="432"/>
      <w:bookmarkEnd w:id="433"/>
      <w:bookmarkEnd w:id="434"/>
      <w:bookmarkEnd w:id="435"/>
      <w:bookmarkEnd w:id="436"/>
      <w:bookmarkEnd w:id="437"/>
      <w:bookmarkEnd w:id="438"/>
    </w:p>
    <w:tbl>
      <w:tblPr>
        <w:tblW w:w="5960" w:type="dxa"/>
        <w:tblCellMar>
          <w:left w:w="70" w:type="dxa"/>
          <w:right w:w="70" w:type="dxa"/>
        </w:tblCellMar>
        <w:tblLook w:val="04A0" w:firstRow="1" w:lastRow="0" w:firstColumn="1" w:lastColumn="0" w:noHBand="0" w:noVBand="1"/>
      </w:tblPr>
      <w:tblGrid>
        <w:gridCol w:w="2780"/>
        <w:gridCol w:w="1081"/>
        <w:gridCol w:w="2099"/>
      </w:tblGrid>
      <w:tr w:rsidR="00B64E96" w:rsidRPr="00730B1E" w14:paraId="68971D3E" w14:textId="77777777" w:rsidTr="003B7A05">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8C1E488" w14:textId="77777777" w:rsidR="003B7A05" w:rsidRPr="00730B1E" w:rsidRDefault="003B7A05" w:rsidP="003B7A05">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71691D54" w14:textId="77777777" w:rsidR="003B7A05" w:rsidRPr="00730B1E" w:rsidRDefault="003B7A05" w:rsidP="003B7A05">
            <w:pPr>
              <w:spacing w:line="240" w:lineRule="auto"/>
              <w:jc w:val="center"/>
              <w:rPr>
                <w:rFonts w:eastAsia="Times New Roman"/>
                <w:b/>
                <w:bCs/>
                <w:szCs w:val="24"/>
                <w:lang w:eastAsia="cs-CZ"/>
              </w:rPr>
            </w:pPr>
            <w:r w:rsidRPr="00730B1E">
              <w:rPr>
                <w:rFonts w:eastAsia="Times New Roman"/>
                <w:b/>
                <w:bCs/>
                <w:szCs w:val="24"/>
                <w:lang w:eastAsia="cs-CZ"/>
              </w:rPr>
              <w:t>Disposition time</w:t>
            </w:r>
          </w:p>
        </w:tc>
      </w:tr>
      <w:tr w:rsidR="00B64E96" w:rsidRPr="00730B1E" w14:paraId="10551926" w14:textId="77777777" w:rsidTr="003B7A05">
        <w:trPr>
          <w:trHeight w:val="330"/>
        </w:trPr>
        <w:tc>
          <w:tcPr>
            <w:tcW w:w="2780" w:type="dxa"/>
            <w:tcBorders>
              <w:top w:val="nil"/>
              <w:left w:val="nil"/>
              <w:bottom w:val="single" w:sz="4" w:space="0" w:color="auto"/>
              <w:right w:val="nil"/>
            </w:tcBorders>
            <w:shd w:val="clear" w:color="auto" w:fill="auto"/>
            <w:noWrap/>
            <w:vAlign w:val="bottom"/>
            <w:hideMark/>
          </w:tcPr>
          <w:p w14:paraId="0849CBF0" w14:textId="77777777" w:rsidR="003B7A05" w:rsidRPr="00730B1E" w:rsidRDefault="003B7A05" w:rsidP="003B7A05">
            <w:pPr>
              <w:spacing w:line="240" w:lineRule="auto"/>
              <w:jc w:val="left"/>
              <w:rPr>
                <w:rFonts w:eastAsia="Times New Roman"/>
                <w:szCs w:val="24"/>
                <w:lang w:eastAsia="cs-CZ"/>
              </w:rPr>
            </w:pPr>
            <w:r w:rsidRPr="00730B1E">
              <w:rPr>
                <w:rFonts w:eastAsia="Times New Roman"/>
                <w:szCs w:val="24"/>
                <w:lang w:eastAsia="cs-CZ"/>
              </w:rPr>
              <w:t>MS Praha</w:t>
            </w:r>
          </w:p>
        </w:tc>
        <w:tc>
          <w:tcPr>
            <w:tcW w:w="1081" w:type="dxa"/>
            <w:tcBorders>
              <w:top w:val="nil"/>
              <w:left w:val="nil"/>
              <w:bottom w:val="single" w:sz="4" w:space="0" w:color="auto"/>
              <w:right w:val="nil"/>
            </w:tcBorders>
            <w:shd w:val="clear" w:color="auto" w:fill="auto"/>
            <w:noWrap/>
            <w:vAlign w:val="bottom"/>
            <w:hideMark/>
          </w:tcPr>
          <w:p w14:paraId="122165B2" w14:textId="77777777" w:rsidR="003B7A05" w:rsidRPr="00730B1E" w:rsidRDefault="003B7A05" w:rsidP="003B7A05">
            <w:pPr>
              <w:spacing w:line="240" w:lineRule="auto"/>
              <w:jc w:val="center"/>
              <w:rPr>
                <w:rFonts w:eastAsia="Times New Roman"/>
                <w:szCs w:val="24"/>
                <w:lang w:eastAsia="cs-CZ"/>
              </w:rPr>
            </w:pPr>
            <w:r w:rsidRPr="00730B1E">
              <w:rPr>
                <w:rFonts w:eastAsia="Times New Roman"/>
                <w:szCs w:val="24"/>
                <w:lang w:eastAsia="cs-CZ"/>
              </w:rPr>
              <w:t>42</w:t>
            </w:r>
          </w:p>
        </w:tc>
        <w:tc>
          <w:tcPr>
            <w:tcW w:w="2099" w:type="dxa"/>
            <w:tcBorders>
              <w:top w:val="nil"/>
              <w:left w:val="nil"/>
              <w:bottom w:val="single" w:sz="4" w:space="0" w:color="auto"/>
              <w:right w:val="nil"/>
            </w:tcBorders>
            <w:shd w:val="clear" w:color="auto" w:fill="auto"/>
            <w:noWrap/>
            <w:vAlign w:val="center"/>
            <w:hideMark/>
          </w:tcPr>
          <w:p w14:paraId="26471749" w14:textId="77777777" w:rsidR="003B7A05" w:rsidRPr="00730B1E" w:rsidRDefault="003B7A05" w:rsidP="003B7A05">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78F6B1BC" w14:textId="77777777" w:rsidTr="003B7A05">
        <w:trPr>
          <w:trHeight w:val="315"/>
        </w:trPr>
        <w:tc>
          <w:tcPr>
            <w:tcW w:w="2780" w:type="dxa"/>
            <w:tcBorders>
              <w:top w:val="nil"/>
              <w:left w:val="nil"/>
              <w:bottom w:val="single" w:sz="4" w:space="0" w:color="auto"/>
              <w:right w:val="nil"/>
            </w:tcBorders>
            <w:shd w:val="clear" w:color="auto" w:fill="auto"/>
            <w:noWrap/>
            <w:vAlign w:val="bottom"/>
            <w:hideMark/>
          </w:tcPr>
          <w:p w14:paraId="2BB2812D" w14:textId="77777777" w:rsidR="003B7A05" w:rsidRPr="00730B1E" w:rsidRDefault="003B7A05" w:rsidP="003B7A05">
            <w:pPr>
              <w:spacing w:line="240" w:lineRule="auto"/>
              <w:jc w:val="left"/>
              <w:rPr>
                <w:rFonts w:eastAsia="Times New Roman"/>
                <w:szCs w:val="24"/>
                <w:lang w:eastAsia="cs-CZ"/>
              </w:rPr>
            </w:pPr>
            <w:r w:rsidRPr="00730B1E">
              <w:rPr>
                <w:rFonts w:eastAsia="Times New Roman"/>
                <w:szCs w:val="24"/>
                <w:lang w:eastAsia="cs-CZ"/>
              </w:rPr>
              <w:t>KS Praha</w:t>
            </w:r>
          </w:p>
        </w:tc>
        <w:tc>
          <w:tcPr>
            <w:tcW w:w="1081" w:type="dxa"/>
            <w:tcBorders>
              <w:top w:val="nil"/>
              <w:left w:val="nil"/>
              <w:bottom w:val="single" w:sz="4" w:space="0" w:color="auto"/>
              <w:right w:val="nil"/>
            </w:tcBorders>
            <w:shd w:val="clear" w:color="auto" w:fill="auto"/>
            <w:noWrap/>
            <w:vAlign w:val="bottom"/>
            <w:hideMark/>
          </w:tcPr>
          <w:p w14:paraId="7A1261ED" w14:textId="77777777" w:rsidR="003B7A05" w:rsidRPr="00730B1E" w:rsidRDefault="003B7A05" w:rsidP="003B7A05">
            <w:pPr>
              <w:spacing w:line="240" w:lineRule="auto"/>
              <w:jc w:val="center"/>
              <w:rPr>
                <w:rFonts w:eastAsia="Times New Roman"/>
                <w:szCs w:val="24"/>
                <w:lang w:eastAsia="cs-CZ"/>
              </w:rPr>
            </w:pPr>
            <w:r w:rsidRPr="00730B1E">
              <w:rPr>
                <w:rFonts w:eastAsia="Times New Roman"/>
                <w:szCs w:val="24"/>
                <w:lang w:eastAsia="cs-CZ"/>
              </w:rPr>
              <w:t>20</w:t>
            </w:r>
          </w:p>
        </w:tc>
        <w:tc>
          <w:tcPr>
            <w:tcW w:w="2099" w:type="dxa"/>
            <w:tcBorders>
              <w:top w:val="nil"/>
              <w:left w:val="nil"/>
              <w:bottom w:val="single" w:sz="4" w:space="0" w:color="auto"/>
              <w:right w:val="nil"/>
            </w:tcBorders>
            <w:shd w:val="clear" w:color="auto" w:fill="auto"/>
            <w:noWrap/>
            <w:vAlign w:val="center"/>
            <w:hideMark/>
          </w:tcPr>
          <w:p w14:paraId="2E43C559" w14:textId="77777777" w:rsidR="003B7A05" w:rsidRPr="00730B1E" w:rsidRDefault="003B7A05" w:rsidP="003B7A05">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r>
      <w:tr w:rsidR="00B64E96" w:rsidRPr="00730B1E" w14:paraId="2F93699C" w14:textId="77777777" w:rsidTr="003B7A05">
        <w:trPr>
          <w:trHeight w:val="315"/>
        </w:trPr>
        <w:tc>
          <w:tcPr>
            <w:tcW w:w="2780" w:type="dxa"/>
            <w:tcBorders>
              <w:top w:val="nil"/>
              <w:left w:val="nil"/>
              <w:bottom w:val="single" w:sz="4" w:space="0" w:color="auto"/>
              <w:right w:val="nil"/>
            </w:tcBorders>
            <w:shd w:val="clear" w:color="auto" w:fill="auto"/>
            <w:noWrap/>
            <w:vAlign w:val="bottom"/>
            <w:hideMark/>
          </w:tcPr>
          <w:p w14:paraId="2B0D614D" w14:textId="77777777" w:rsidR="003B7A05" w:rsidRPr="00730B1E" w:rsidRDefault="003B7A05" w:rsidP="003B7A05">
            <w:pPr>
              <w:spacing w:line="240" w:lineRule="auto"/>
              <w:jc w:val="left"/>
              <w:rPr>
                <w:rFonts w:eastAsia="Times New Roman"/>
                <w:szCs w:val="24"/>
                <w:lang w:eastAsia="cs-CZ"/>
              </w:rPr>
            </w:pPr>
            <w:r w:rsidRPr="00730B1E">
              <w:rPr>
                <w:rFonts w:eastAsia="Times New Roman"/>
                <w:szCs w:val="24"/>
                <w:lang w:eastAsia="cs-CZ"/>
              </w:rPr>
              <w:t>KS Č. Budějovice</w:t>
            </w:r>
          </w:p>
        </w:tc>
        <w:tc>
          <w:tcPr>
            <w:tcW w:w="1081" w:type="dxa"/>
            <w:tcBorders>
              <w:top w:val="nil"/>
              <w:left w:val="nil"/>
              <w:bottom w:val="single" w:sz="4" w:space="0" w:color="auto"/>
              <w:right w:val="nil"/>
            </w:tcBorders>
            <w:shd w:val="clear" w:color="auto" w:fill="auto"/>
            <w:noWrap/>
            <w:vAlign w:val="bottom"/>
            <w:hideMark/>
          </w:tcPr>
          <w:p w14:paraId="3B5A7EF2" w14:textId="77777777" w:rsidR="003B7A05" w:rsidRPr="00730B1E" w:rsidRDefault="003B7A05" w:rsidP="003B7A05">
            <w:pPr>
              <w:spacing w:line="240" w:lineRule="auto"/>
              <w:jc w:val="center"/>
              <w:rPr>
                <w:rFonts w:eastAsia="Times New Roman"/>
                <w:szCs w:val="24"/>
                <w:lang w:eastAsia="cs-CZ"/>
              </w:rPr>
            </w:pPr>
            <w:r w:rsidRPr="00730B1E">
              <w:rPr>
                <w:rFonts w:eastAsia="Times New Roman"/>
                <w:szCs w:val="24"/>
                <w:lang w:eastAsia="cs-CZ"/>
              </w:rPr>
              <w:t>43</w:t>
            </w:r>
          </w:p>
        </w:tc>
        <w:tc>
          <w:tcPr>
            <w:tcW w:w="2099" w:type="dxa"/>
            <w:tcBorders>
              <w:top w:val="nil"/>
              <w:left w:val="nil"/>
              <w:bottom w:val="single" w:sz="4" w:space="0" w:color="auto"/>
              <w:right w:val="nil"/>
            </w:tcBorders>
            <w:shd w:val="clear" w:color="auto" w:fill="auto"/>
            <w:noWrap/>
            <w:vAlign w:val="center"/>
            <w:hideMark/>
          </w:tcPr>
          <w:p w14:paraId="19C4D7B1" w14:textId="77777777" w:rsidR="003B7A05" w:rsidRPr="00730B1E" w:rsidRDefault="003B7A05" w:rsidP="003B7A05">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15C276BF" w14:textId="77777777" w:rsidTr="003B7A05">
        <w:trPr>
          <w:trHeight w:val="315"/>
        </w:trPr>
        <w:tc>
          <w:tcPr>
            <w:tcW w:w="2780" w:type="dxa"/>
            <w:tcBorders>
              <w:top w:val="nil"/>
              <w:left w:val="nil"/>
              <w:bottom w:val="single" w:sz="4" w:space="0" w:color="auto"/>
              <w:right w:val="nil"/>
            </w:tcBorders>
            <w:shd w:val="clear" w:color="auto" w:fill="auto"/>
            <w:noWrap/>
            <w:vAlign w:val="bottom"/>
            <w:hideMark/>
          </w:tcPr>
          <w:p w14:paraId="45474403" w14:textId="77777777" w:rsidR="003B7A05" w:rsidRPr="00730B1E" w:rsidRDefault="003B7A05" w:rsidP="003B7A05">
            <w:pPr>
              <w:spacing w:line="240" w:lineRule="auto"/>
              <w:jc w:val="left"/>
              <w:rPr>
                <w:rFonts w:eastAsia="Times New Roman"/>
                <w:szCs w:val="24"/>
                <w:lang w:eastAsia="cs-CZ"/>
              </w:rPr>
            </w:pPr>
            <w:r w:rsidRPr="00730B1E">
              <w:rPr>
                <w:rFonts w:eastAsia="Times New Roman"/>
                <w:szCs w:val="24"/>
                <w:lang w:eastAsia="cs-CZ"/>
              </w:rPr>
              <w:t>KS Plzeň</w:t>
            </w:r>
          </w:p>
        </w:tc>
        <w:tc>
          <w:tcPr>
            <w:tcW w:w="1081" w:type="dxa"/>
            <w:tcBorders>
              <w:top w:val="nil"/>
              <w:left w:val="nil"/>
              <w:bottom w:val="single" w:sz="4" w:space="0" w:color="auto"/>
              <w:right w:val="nil"/>
            </w:tcBorders>
            <w:shd w:val="clear" w:color="auto" w:fill="auto"/>
            <w:noWrap/>
            <w:vAlign w:val="bottom"/>
            <w:hideMark/>
          </w:tcPr>
          <w:p w14:paraId="5A0905B9" w14:textId="77777777" w:rsidR="003B7A05" w:rsidRPr="00730B1E" w:rsidRDefault="003B7A05" w:rsidP="003B7A05">
            <w:pPr>
              <w:spacing w:line="240" w:lineRule="auto"/>
              <w:jc w:val="center"/>
              <w:rPr>
                <w:rFonts w:eastAsia="Times New Roman"/>
                <w:szCs w:val="24"/>
                <w:lang w:eastAsia="cs-CZ"/>
              </w:rPr>
            </w:pPr>
            <w:r w:rsidRPr="00730B1E">
              <w:rPr>
                <w:rFonts w:eastAsia="Times New Roman"/>
                <w:szCs w:val="24"/>
                <w:lang w:eastAsia="cs-CZ"/>
              </w:rPr>
              <w:t>56</w:t>
            </w:r>
          </w:p>
        </w:tc>
        <w:tc>
          <w:tcPr>
            <w:tcW w:w="2099" w:type="dxa"/>
            <w:tcBorders>
              <w:top w:val="nil"/>
              <w:left w:val="nil"/>
              <w:bottom w:val="single" w:sz="4" w:space="0" w:color="auto"/>
              <w:right w:val="nil"/>
            </w:tcBorders>
            <w:shd w:val="clear" w:color="auto" w:fill="auto"/>
            <w:noWrap/>
            <w:vAlign w:val="center"/>
            <w:hideMark/>
          </w:tcPr>
          <w:p w14:paraId="272D73DC" w14:textId="77777777" w:rsidR="003B7A05" w:rsidRPr="00730B1E" w:rsidRDefault="003B7A05" w:rsidP="003B7A05">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r>
      <w:tr w:rsidR="00B64E96" w:rsidRPr="00730B1E" w14:paraId="304B8960" w14:textId="77777777" w:rsidTr="003B7A05">
        <w:trPr>
          <w:trHeight w:val="315"/>
        </w:trPr>
        <w:tc>
          <w:tcPr>
            <w:tcW w:w="2780" w:type="dxa"/>
            <w:tcBorders>
              <w:top w:val="nil"/>
              <w:left w:val="nil"/>
              <w:bottom w:val="single" w:sz="4" w:space="0" w:color="auto"/>
              <w:right w:val="nil"/>
            </w:tcBorders>
            <w:shd w:val="clear" w:color="auto" w:fill="auto"/>
            <w:noWrap/>
            <w:vAlign w:val="bottom"/>
            <w:hideMark/>
          </w:tcPr>
          <w:p w14:paraId="60523D39" w14:textId="77777777" w:rsidR="003B7A05" w:rsidRPr="00730B1E" w:rsidRDefault="003B7A05" w:rsidP="003B7A05">
            <w:pPr>
              <w:spacing w:line="240" w:lineRule="auto"/>
              <w:jc w:val="left"/>
              <w:rPr>
                <w:rFonts w:eastAsia="Times New Roman"/>
                <w:szCs w:val="24"/>
                <w:lang w:eastAsia="cs-CZ"/>
              </w:rPr>
            </w:pPr>
            <w:r w:rsidRPr="00730B1E">
              <w:rPr>
                <w:rFonts w:eastAsia="Times New Roman"/>
                <w:szCs w:val="24"/>
                <w:lang w:eastAsia="cs-CZ"/>
              </w:rPr>
              <w:t>KS Ústí n. Labem</w:t>
            </w:r>
          </w:p>
        </w:tc>
        <w:tc>
          <w:tcPr>
            <w:tcW w:w="1081" w:type="dxa"/>
            <w:tcBorders>
              <w:top w:val="nil"/>
              <w:left w:val="nil"/>
              <w:bottom w:val="single" w:sz="4" w:space="0" w:color="auto"/>
              <w:right w:val="nil"/>
            </w:tcBorders>
            <w:shd w:val="clear" w:color="auto" w:fill="auto"/>
            <w:noWrap/>
            <w:vAlign w:val="bottom"/>
            <w:hideMark/>
          </w:tcPr>
          <w:p w14:paraId="4E03AA9E" w14:textId="77777777" w:rsidR="003B7A05" w:rsidRPr="00730B1E" w:rsidRDefault="003B7A05" w:rsidP="003B7A05">
            <w:pPr>
              <w:spacing w:line="240" w:lineRule="auto"/>
              <w:jc w:val="center"/>
              <w:rPr>
                <w:rFonts w:eastAsia="Times New Roman"/>
                <w:szCs w:val="24"/>
                <w:lang w:eastAsia="cs-CZ"/>
              </w:rPr>
            </w:pPr>
            <w:r w:rsidRPr="00730B1E">
              <w:rPr>
                <w:rFonts w:eastAsia="Times New Roman"/>
                <w:szCs w:val="24"/>
                <w:lang w:eastAsia="cs-CZ"/>
              </w:rPr>
              <w:t>78</w:t>
            </w:r>
          </w:p>
        </w:tc>
        <w:tc>
          <w:tcPr>
            <w:tcW w:w="2099" w:type="dxa"/>
            <w:tcBorders>
              <w:top w:val="nil"/>
              <w:left w:val="nil"/>
              <w:bottom w:val="single" w:sz="4" w:space="0" w:color="auto"/>
              <w:right w:val="nil"/>
            </w:tcBorders>
            <w:shd w:val="clear" w:color="auto" w:fill="auto"/>
            <w:noWrap/>
            <w:vAlign w:val="center"/>
            <w:hideMark/>
          </w:tcPr>
          <w:p w14:paraId="7DB55359" w14:textId="77777777" w:rsidR="003B7A05" w:rsidRPr="00730B1E" w:rsidRDefault="003B7A05" w:rsidP="003B7A05">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55A9270C" w14:textId="77777777" w:rsidTr="003B7A05">
        <w:trPr>
          <w:trHeight w:val="315"/>
        </w:trPr>
        <w:tc>
          <w:tcPr>
            <w:tcW w:w="2780" w:type="dxa"/>
            <w:tcBorders>
              <w:top w:val="nil"/>
              <w:left w:val="nil"/>
              <w:bottom w:val="single" w:sz="4" w:space="0" w:color="auto"/>
              <w:right w:val="nil"/>
            </w:tcBorders>
            <w:shd w:val="clear" w:color="auto" w:fill="auto"/>
            <w:noWrap/>
            <w:vAlign w:val="bottom"/>
            <w:hideMark/>
          </w:tcPr>
          <w:p w14:paraId="5CE1EE15" w14:textId="77777777" w:rsidR="003B7A05" w:rsidRPr="00730B1E" w:rsidRDefault="003B7A05" w:rsidP="003B7A05">
            <w:pPr>
              <w:spacing w:line="240" w:lineRule="auto"/>
              <w:jc w:val="left"/>
              <w:rPr>
                <w:rFonts w:eastAsia="Times New Roman"/>
                <w:szCs w:val="24"/>
                <w:lang w:eastAsia="cs-CZ"/>
              </w:rPr>
            </w:pPr>
            <w:r w:rsidRPr="00730B1E">
              <w:rPr>
                <w:rFonts w:eastAsia="Times New Roman"/>
                <w:szCs w:val="24"/>
                <w:lang w:eastAsia="cs-CZ"/>
              </w:rPr>
              <w:t>KS Hr. Králové</w:t>
            </w:r>
          </w:p>
        </w:tc>
        <w:tc>
          <w:tcPr>
            <w:tcW w:w="1081" w:type="dxa"/>
            <w:tcBorders>
              <w:top w:val="nil"/>
              <w:left w:val="nil"/>
              <w:bottom w:val="single" w:sz="4" w:space="0" w:color="auto"/>
              <w:right w:val="nil"/>
            </w:tcBorders>
            <w:shd w:val="clear" w:color="auto" w:fill="auto"/>
            <w:noWrap/>
            <w:vAlign w:val="bottom"/>
            <w:hideMark/>
          </w:tcPr>
          <w:p w14:paraId="62777D09" w14:textId="77777777" w:rsidR="003B7A05" w:rsidRPr="00730B1E" w:rsidRDefault="003B7A05" w:rsidP="003B7A05">
            <w:pPr>
              <w:spacing w:line="240" w:lineRule="auto"/>
              <w:jc w:val="center"/>
              <w:rPr>
                <w:rFonts w:eastAsia="Times New Roman"/>
                <w:szCs w:val="24"/>
                <w:lang w:eastAsia="cs-CZ"/>
              </w:rPr>
            </w:pPr>
            <w:r w:rsidRPr="00730B1E">
              <w:rPr>
                <w:rFonts w:eastAsia="Times New Roman"/>
                <w:szCs w:val="24"/>
                <w:lang w:eastAsia="cs-CZ"/>
              </w:rPr>
              <w:t>34</w:t>
            </w:r>
          </w:p>
        </w:tc>
        <w:tc>
          <w:tcPr>
            <w:tcW w:w="2099" w:type="dxa"/>
            <w:tcBorders>
              <w:top w:val="nil"/>
              <w:left w:val="nil"/>
              <w:bottom w:val="single" w:sz="4" w:space="0" w:color="auto"/>
              <w:right w:val="nil"/>
            </w:tcBorders>
            <w:shd w:val="clear" w:color="auto" w:fill="auto"/>
            <w:noWrap/>
            <w:vAlign w:val="center"/>
            <w:hideMark/>
          </w:tcPr>
          <w:p w14:paraId="1D04A135" w14:textId="77777777" w:rsidR="003B7A05" w:rsidRPr="00730B1E" w:rsidRDefault="003B7A05" w:rsidP="003B7A05">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0F76D091" w14:textId="77777777" w:rsidTr="003B7A05">
        <w:trPr>
          <w:trHeight w:val="315"/>
        </w:trPr>
        <w:tc>
          <w:tcPr>
            <w:tcW w:w="2780" w:type="dxa"/>
            <w:tcBorders>
              <w:top w:val="nil"/>
              <w:left w:val="nil"/>
              <w:bottom w:val="single" w:sz="4" w:space="0" w:color="auto"/>
              <w:right w:val="nil"/>
            </w:tcBorders>
            <w:shd w:val="clear" w:color="auto" w:fill="auto"/>
            <w:noWrap/>
            <w:vAlign w:val="bottom"/>
            <w:hideMark/>
          </w:tcPr>
          <w:p w14:paraId="554BEB6C" w14:textId="77777777" w:rsidR="003B7A05" w:rsidRPr="00730B1E" w:rsidRDefault="003B7A05" w:rsidP="003B7A05">
            <w:pPr>
              <w:spacing w:line="240" w:lineRule="auto"/>
              <w:jc w:val="left"/>
              <w:rPr>
                <w:rFonts w:eastAsia="Times New Roman"/>
                <w:szCs w:val="24"/>
                <w:lang w:eastAsia="cs-CZ"/>
              </w:rPr>
            </w:pPr>
            <w:r w:rsidRPr="00730B1E">
              <w:rPr>
                <w:rFonts w:eastAsia="Times New Roman"/>
                <w:szCs w:val="24"/>
                <w:lang w:eastAsia="cs-CZ"/>
              </w:rPr>
              <w:t>KS Brno</w:t>
            </w:r>
          </w:p>
        </w:tc>
        <w:tc>
          <w:tcPr>
            <w:tcW w:w="1081" w:type="dxa"/>
            <w:tcBorders>
              <w:top w:val="nil"/>
              <w:left w:val="nil"/>
              <w:bottom w:val="single" w:sz="4" w:space="0" w:color="auto"/>
              <w:right w:val="nil"/>
            </w:tcBorders>
            <w:shd w:val="clear" w:color="auto" w:fill="auto"/>
            <w:noWrap/>
            <w:vAlign w:val="bottom"/>
            <w:hideMark/>
          </w:tcPr>
          <w:p w14:paraId="5C9375EF" w14:textId="77777777" w:rsidR="003B7A05" w:rsidRPr="00730B1E" w:rsidRDefault="003B7A05" w:rsidP="003B7A05">
            <w:pPr>
              <w:spacing w:line="240" w:lineRule="auto"/>
              <w:jc w:val="center"/>
              <w:rPr>
                <w:rFonts w:eastAsia="Times New Roman"/>
                <w:szCs w:val="24"/>
                <w:lang w:eastAsia="cs-CZ"/>
              </w:rPr>
            </w:pPr>
            <w:r w:rsidRPr="00730B1E">
              <w:rPr>
                <w:rFonts w:eastAsia="Times New Roman"/>
                <w:szCs w:val="24"/>
                <w:lang w:eastAsia="cs-CZ"/>
              </w:rPr>
              <w:t>50</w:t>
            </w:r>
          </w:p>
        </w:tc>
        <w:tc>
          <w:tcPr>
            <w:tcW w:w="2099" w:type="dxa"/>
            <w:tcBorders>
              <w:top w:val="nil"/>
              <w:left w:val="nil"/>
              <w:bottom w:val="single" w:sz="4" w:space="0" w:color="auto"/>
              <w:right w:val="nil"/>
            </w:tcBorders>
            <w:shd w:val="clear" w:color="auto" w:fill="auto"/>
            <w:noWrap/>
            <w:vAlign w:val="center"/>
            <w:hideMark/>
          </w:tcPr>
          <w:p w14:paraId="20203AA7" w14:textId="77777777" w:rsidR="003B7A05" w:rsidRPr="00730B1E" w:rsidRDefault="003B7A05" w:rsidP="003B7A05">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22A57EAD" w14:textId="77777777" w:rsidTr="003B7A05">
        <w:trPr>
          <w:trHeight w:val="330"/>
        </w:trPr>
        <w:tc>
          <w:tcPr>
            <w:tcW w:w="2780" w:type="dxa"/>
            <w:tcBorders>
              <w:top w:val="nil"/>
              <w:left w:val="nil"/>
              <w:bottom w:val="double" w:sz="6" w:space="0" w:color="auto"/>
              <w:right w:val="nil"/>
            </w:tcBorders>
            <w:shd w:val="clear" w:color="auto" w:fill="auto"/>
            <w:noWrap/>
            <w:vAlign w:val="bottom"/>
            <w:hideMark/>
          </w:tcPr>
          <w:p w14:paraId="5C2C117B" w14:textId="77777777" w:rsidR="003B7A05" w:rsidRPr="00730B1E" w:rsidRDefault="003B7A05" w:rsidP="003B7A05">
            <w:pPr>
              <w:spacing w:line="240" w:lineRule="auto"/>
              <w:jc w:val="left"/>
              <w:rPr>
                <w:rFonts w:eastAsia="Times New Roman"/>
                <w:szCs w:val="24"/>
                <w:lang w:eastAsia="cs-CZ"/>
              </w:rPr>
            </w:pPr>
            <w:r w:rsidRPr="00730B1E">
              <w:rPr>
                <w:rFonts w:eastAsia="Times New Roman"/>
                <w:szCs w:val="24"/>
                <w:lang w:eastAsia="cs-CZ"/>
              </w:rPr>
              <w:t>KS Ostrava</w:t>
            </w:r>
          </w:p>
        </w:tc>
        <w:tc>
          <w:tcPr>
            <w:tcW w:w="1081" w:type="dxa"/>
            <w:tcBorders>
              <w:top w:val="nil"/>
              <w:left w:val="nil"/>
              <w:bottom w:val="double" w:sz="6" w:space="0" w:color="auto"/>
              <w:right w:val="nil"/>
            </w:tcBorders>
            <w:shd w:val="clear" w:color="auto" w:fill="auto"/>
            <w:noWrap/>
            <w:vAlign w:val="bottom"/>
            <w:hideMark/>
          </w:tcPr>
          <w:p w14:paraId="21A78E7A" w14:textId="77777777" w:rsidR="003B7A05" w:rsidRPr="00730B1E" w:rsidRDefault="003B7A05" w:rsidP="003B7A05">
            <w:pPr>
              <w:spacing w:line="240" w:lineRule="auto"/>
              <w:jc w:val="center"/>
              <w:rPr>
                <w:rFonts w:eastAsia="Times New Roman"/>
                <w:szCs w:val="24"/>
                <w:lang w:eastAsia="cs-CZ"/>
              </w:rPr>
            </w:pPr>
            <w:r w:rsidRPr="00730B1E">
              <w:rPr>
                <w:rFonts w:eastAsia="Times New Roman"/>
                <w:szCs w:val="24"/>
                <w:lang w:eastAsia="cs-CZ"/>
              </w:rPr>
              <w:t>63</w:t>
            </w:r>
          </w:p>
        </w:tc>
        <w:tc>
          <w:tcPr>
            <w:tcW w:w="2099" w:type="dxa"/>
            <w:tcBorders>
              <w:top w:val="nil"/>
              <w:left w:val="nil"/>
              <w:bottom w:val="double" w:sz="6" w:space="0" w:color="auto"/>
              <w:right w:val="nil"/>
            </w:tcBorders>
            <w:shd w:val="clear" w:color="auto" w:fill="auto"/>
            <w:noWrap/>
            <w:vAlign w:val="center"/>
            <w:hideMark/>
          </w:tcPr>
          <w:p w14:paraId="34119C49" w14:textId="77777777" w:rsidR="003B7A05" w:rsidRPr="00730B1E" w:rsidRDefault="003B7A05" w:rsidP="003B7A05">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754655C3" w14:textId="77777777" w:rsidTr="003B7A05">
        <w:trPr>
          <w:trHeight w:val="345"/>
        </w:trPr>
        <w:tc>
          <w:tcPr>
            <w:tcW w:w="2780" w:type="dxa"/>
            <w:tcBorders>
              <w:top w:val="nil"/>
              <w:left w:val="nil"/>
              <w:bottom w:val="double" w:sz="6" w:space="0" w:color="auto"/>
              <w:right w:val="nil"/>
            </w:tcBorders>
            <w:shd w:val="clear" w:color="auto" w:fill="auto"/>
            <w:noWrap/>
            <w:vAlign w:val="bottom"/>
            <w:hideMark/>
          </w:tcPr>
          <w:p w14:paraId="41F98ABD" w14:textId="77777777" w:rsidR="003B7A05" w:rsidRPr="00730B1E" w:rsidRDefault="003B7A05" w:rsidP="003B7A05">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81" w:type="dxa"/>
            <w:tcBorders>
              <w:top w:val="nil"/>
              <w:left w:val="nil"/>
              <w:bottom w:val="double" w:sz="6" w:space="0" w:color="auto"/>
              <w:right w:val="nil"/>
            </w:tcBorders>
            <w:shd w:val="clear" w:color="auto" w:fill="auto"/>
            <w:noWrap/>
            <w:vAlign w:val="bottom"/>
            <w:hideMark/>
          </w:tcPr>
          <w:p w14:paraId="1D4C50F9" w14:textId="77777777" w:rsidR="003B7A05" w:rsidRPr="00730B1E" w:rsidRDefault="003B7A05" w:rsidP="003B7A05">
            <w:pPr>
              <w:spacing w:line="240" w:lineRule="auto"/>
              <w:jc w:val="center"/>
              <w:rPr>
                <w:rFonts w:eastAsia="Times New Roman"/>
                <w:b/>
                <w:bCs/>
                <w:szCs w:val="24"/>
                <w:lang w:eastAsia="cs-CZ"/>
              </w:rPr>
            </w:pPr>
            <w:r w:rsidRPr="00730B1E">
              <w:rPr>
                <w:rFonts w:eastAsia="Times New Roman"/>
                <w:b/>
                <w:bCs/>
                <w:szCs w:val="24"/>
                <w:lang w:eastAsia="cs-CZ"/>
              </w:rPr>
              <w:t>51</w:t>
            </w:r>
          </w:p>
        </w:tc>
        <w:tc>
          <w:tcPr>
            <w:tcW w:w="2099" w:type="dxa"/>
            <w:tcBorders>
              <w:top w:val="nil"/>
              <w:left w:val="nil"/>
              <w:bottom w:val="double" w:sz="6" w:space="0" w:color="auto"/>
              <w:right w:val="nil"/>
            </w:tcBorders>
            <w:shd w:val="clear" w:color="auto" w:fill="auto"/>
            <w:noWrap/>
            <w:vAlign w:val="center"/>
            <w:hideMark/>
          </w:tcPr>
          <w:p w14:paraId="13CB31E8" w14:textId="77777777" w:rsidR="003B7A05" w:rsidRPr="00730B1E" w:rsidRDefault="003B7A05" w:rsidP="003B7A05">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-6 %  </w:t>
            </w:r>
          </w:p>
        </w:tc>
      </w:tr>
      <w:tr w:rsidR="00B64E96" w:rsidRPr="00730B1E" w14:paraId="1C81E1BC" w14:textId="77777777" w:rsidTr="003B7A05">
        <w:trPr>
          <w:trHeight w:val="330"/>
        </w:trPr>
        <w:tc>
          <w:tcPr>
            <w:tcW w:w="2780" w:type="dxa"/>
            <w:tcBorders>
              <w:top w:val="nil"/>
              <w:left w:val="nil"/>
              <w:bottom w:val="nil"/>
              <w:right w:val="nil"/>
            </w:tcBorders>
            <w:shd w:val="clear" w:color="auto" w:fill="auto"/>
            <w:noWrap/>
            <w:vAlign w:val="bottom"/>
            <w:hideMark/>
          </w:tcPr>
          <w:p w14:paraId="26551ACB" w14:textId="77777777" w:rsidR="003B7A05" w:rsidRPr="00730B1E" w:rsidRDefault="003B7A05" w:rsidP="003B7A05">
            <w:pPr>
              <w:spacing w:line="240" w:lineRule="auto"/>
              <w:jc w:val="center"/>
              <w:rPr>
                <w:rFonts w:eastAsia="Times New Roman"/>
                <w:b/>
                <w:bCs/>
                <w:sz w:val="20"/>
                <w:szCs w:val="20"/>
                <w:lang w:eastAsia="cs-CZ"/>
              </w:rPr>
            </w:pPr>
          </w:p>
        </w:tc>
        <w:tc>
          <w:tcPr>
            <w:tcW w:w="1081" w:type="dxa"/>
            <w:tcBorders>
              <w:top w:val="nil"/>
              <w:left w:val="nil"/>
              <w:bottom w:val="nil"/>
              <w:right w:val="nil"/>
            </w:tcBorders>
            <w:shd w:val="clear" w:color="auto" w:fill="auto"/>
            <w:noWrap/>
            <w:vAlign w:val="bottom"/>
            <w:hideMark/>
          </w:tcPr>
          <w:p w14:paraId="29F1A874" w14:textId="77777777" w:rsidR="003B7A05" w:rsidRPr="00DF07F3" w:rsidRDefault="003B7A05" w:rsidP="003B7A05">
            <w:pPr>
              <w:spacing w:line="240" w:lineRule="auto"/>
              <w:jc w:val="left"/>
              <w:rPr>
                <w:sz w:val="20"/>
              </w:rPr>
            </w:pPr>
          </w:p>
        </w:tc>
        <w:tc>
          <w:tcPr>
            <w:tcW w:w="2099" w:type="dxa"/>
            <w:tcBorders>
              <w:top w:val="nil"/>
              <w:left w:val="nil"/>
              <w:bottom w:val="nil"/>
              <w:right w:val="nil"/>
            </w:tcBorders>
            <w:shd w:val="clear" w:color="auto" w:fill="auto"/>
            <w:noWrap/>
            <w:vAlign w:val="bottom"/>
            <w:hideMark/>
          </w:tcPr>
          <w:p w14:paraId="36D8214A" w14:textId="77777777" w:rsidR="003B7A05" w:rsidRPr="00DF07F3" w:rsidRDefault="003B7A05" w:rsidP="003B7A05">
            <w:pPr>
              <w:spacing w:line="240" w:lineRule="auto"/>
              <w:jc w:val="left"/>
              <w:rPr>
                <w:sz w:val="20"/>
              </w:rPr>
            </w:pPr>
          </w:p>
        </w:tc>
      </w:tr>
    </w:tbl>
    <w:p w14:paraId="14FB6537" w14:textId="1E4418E1" w:rsidR="003B7A05" w:rsidRPr="00730B1E" w:rsidRDefault="003B7A05" w:rsidP="003B7A05">
      <w:pPr>
        <w:pStyle w:val="OdstavecASR"/>
      </w:pPr>
      <w:r w:rsidRPr="00730B1E">
        <w:t xml:space="preserve">DT dle krajů víceméně odpovídá výsledkům dle počtu nevyřízených věcí na soudce. Nejvyšší DT má Severočeský kraj, nejnižší kraj Středočeský. DT v tomto roce klesl v pěti z osmi krajů. </w:t>
      </w:r>
    </w:p>
    <w:p w14:paraId="11F17C9D" w14:textId="77777777" w:rsidR="003B7A05" w:rsidRPr="00730B1E" w:rsidRDefault="003B7A05" w:rsidP="003B7A05"/>
    <w:p w14:paraId="78464DB3" w14:textId="62D9C48B" w:rsidR="003B7A05" w:rsidRPr="00730B1E" w:rsidRDefault="003B7A05" w:rsidP="003B7A05">
      <w:pPr>
        <w:pStyle w:val="Podnadpis"/>
        <w:rPr>
          <w:color w:val="auto"/>
        </w:rPr>
      </w:pPr>
      <w:bookmarkStart w:id="439" w:name="_Toc169250948"/>
      <w:bookmarkStart w:id="440" w:name="_Toc17408063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29</w:t>
      </w:r>
      <w:r w:rsidRPr="00730B1E">
        <w:rPr>
          <w:color w:val="auto"/>
        </w:rPr>
        <w:fldChar w:fldCharType="end"/>
      </w:r>
      <w:r w:rsidRPr="00730B1E">
        <w:rPr>
          <w:color w:val="auto"/>
        </w:rPr>
        <w:t>: OS – krabicové grafy, DT trestního řízení</w:t>
      </w:r>
      <w:bookmarkEnd w:id="439"/>
      <w:bookmarkEnd w:id="440"/>
    </w:p>
    <w:p w14:paraId="3C1FD4D9" w14:textId="77777777" w:rsidR="003B7A05" w:rsidRPr="00730B1E" w:rsidRDefault="003B7A05" w:rsidP="003B7A05">
      <w:r w:rsidRPr="00730B1E">
        <w:rPr>
          <w:noProof/>
          <w:lang w:eastAsia="cs-CZ"/>
        </w:rPr>
        <w:drawing>
          <wp:inline distT="0" distB="0" distL="0" distR="0" wp14:anchorId="153FC75E" wp14:editId="4AD02BDA">
            <wp:extent cx="5029200" cy="36576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F13189B" w14:textId="798724AA" w:rsidR="003B7A05" w:rsidRPr="00730B1E" w:rsidRDefault="007D2242" w:rsidP="003B7A05">
      <w:pPr>
        <w:pStyle w:val="OdstavecASR"/>
      </w:pPr>
      <w:r w:rsidRPr="00730B1E">
        <w:t xml:space="preserve">Variabilita zůstala tento rok víceméně stejná. Místo dvou odlehlých hodnot zůstala jen jedna. </w:t>
      </w:r>
      <w:r w:rsidR="003B7A05" w:rsidRPr="00730B1E">
        <w:t>Nejodlehlejší hodnot</w:t>
      </w:r>
      <w:r w:rsidR="00CD6777" w:rsidRPr="00730B1E">
        <w:t>u</w:t>
      </w:r>
      <w:r w:rsidR="003B7A05" w:rsidRPr="00730B1E">
        <w:t xml:space="preserve"> DT na grafu </w:t>
      </w:r>
      <w:r w:rsidRPr="00730B1E">
        <w:t xml:space="preserve">nyní </w:t>
      </w:r>
      <w:r w:rsidR="00CD6777" w:rsidRPr="00730B1E">
        <w:t xml:space="preserve">představuje </w:t>
      </w:r>
      <w:r w:rsidRPr="00730B1E">
        <w:t>OS Chomutov, který po</w:t>
      </w:r>
      <w:r w:rsidR="003B7A05" w:rsidRPr="00730B1E">
        <w:t xml:space="preserve"> několik</w:t>
      </w:r>
      <w:r w:rsidRPr="00730B1E">
        <w:t>a</w:t>
      </w:r>
      <w:r w:rsidR="003B7A05" w:rsidRPr="00730B1E">
        <w:t xml:space="preserve"> let</w:t>
      </w:r>
      <w:r w:rsidR="00CD6777" w:rsidRPr="00730B1E">
        <w:t>ech</w:t>
      </w:r>
      <w:r w:rsidR="003B7A05" w:rsidRPr="00730B1E">
        <w:t xml:space="preserve"> </w:t>
      </w:r>
      <w:r w:rsidRPr="00730B1E">
        <w:t>nahradil</w:t>
      </w:r>
      <w:r w:rsidR="003B7A05" w:rsidRPr="00730B1E">
        <w:t xml:space="preserve"> OS Děčín. </w:t>
      </w:r>
    </w:p>
    <w:p w14:paraId="2C355662" w14:textId="77777777" w:rsidR="003B7A05" w:rsidRPr="00730B1E" w:rsidRDefault="003B7A05" w:rsidP="003B7A05">
      <w:pPr>
        <w:spacing w:after="160" w:line="259" w:lineRule="auto"/>
        <w:jc w:val="left"/>
      </w:pPr>
      <w:r w:rsidRPr="00730B1E">
        <w:br w:type="page"/>
      </w:r>
    </w:p>
    <w:p w14:paraId="72FECD01" w14:textId="0EEAA17D" w:rsidR="008430BD" w:rsidRPr="00730B1E" w:rsidRDefault="008430BD" w:rsidP="008430BD">
      <w:pPr>
        <w:pStyle w:val="Nadpis3"/>
        <w:numPr>
          <w:ilvl w:val="2"/>
          <w:numId w:val="1"/>
        </w:numPr>
        <w:rPr>
          <w:color w:val="auto"/>
        </w:rPr>
      </w:pPr>
      <w:bookmarkStart w:id="441" w:name="_Toc515871235"/>
      <w:bookmarkStart w:id="442" w:name="_Toc106092732"/>
      <w:bookmarkStart w:id="443" w:name="_Toc169250816"/>
      <w:bookmarkStart w:id="444" w:name="_Toc174080852"/>
      <w:r w:rsidRPr="00730B1E">
        <w:rPr>
          <w:color w:val="auto"/>
        </w:rPr>
        <w:lastRenderedPageBreak/>
        <w:t>Další statistiky</w:t>
      </w:r>
      <w:bookmarkEnd w:id="441"/>
      <w:bookmarkEnd w:id="442"/>
      <w:bookmarkEnd w:id="443"/>
      <w:bookmarkEnd w:id="444"/>
    </w:p>
    <w:p w14:paraId="1DAF83AA" w14:textId="1E3D95D2" w:rsidR="002C1721" w:rsidRPr="00730B1E" w:rsidRDefault="002C1721" w:rsidP="002C1721">
      <w:pPr>
        <w:pStyle w:val="OdstavecASR"/>
      </w:pPr>
      <w:r w:rsidRPr="00730B1E">
        <w:t>Data pochází ze statistických listů, zkoumáme tedy agendy T a Tm. I zde uvádíme několik příkladů dalších sledovaných statistik. Podobně jako u civilního řízení je to míra odvolání a míra změny rozsudku. Dále se v této kapitole zabýváme vývojem ukládání peněžitých trestů od roku 20</w:t>
      </w:r>
      <w:r w:rsidR="00577265" w:rsidRPr="00730B1E">
        <w:t>14</w:t>
      </w:r>
      <w:r w:rsidRPr="00730B1E">
        <w:t xml:space="preserve">. Připomínáme, že jsme u trestních statistik vyřadili věci vyřízené trestním příkazem, jejichž podíl na celkovém počtu věcí však v této podkapitole také zkoumáme. Také se zaměřujeme na </w:t>
      </w:r>
      <w:r w:rsidR="006A1133" w:rsidRPr="00730B1E">
        <w:t>tzv. míru odsouzení</w:t>
      </w:r>
      <w:r w:rsidRPr="00730B1E">
        <w:t>,</w:t>
      </w:r>
      <w:r w:rsidR="006A1133" w:rsidRPr="00730B1E">
        <w:t xml:space="preserve"> tedy podíl osob</w:t>
      </w:r>
      <w:r w:rsidR="00F50254" w:rsidRPr="00730B1E">
        <w:t>, které</w:t>
      </w:r>
      <w:r w:rsidR="006A1133" w:rsidRPr="00730B1E">
        <w:t xml:space="preserve"> byly</w:t>
      </w:r>
      <w:r w:rsidRPr="00730B1E">
        <w:t xml:space="preserve"> </w:t>
      </w:r>
      <w:r w:rsidR="006A1133" w:rsidRPr="00730B1E">
        <w:t>odsouzeny</w:t>
      </w:r>
      <w:r w:rsidR="00F50254" w:rsidRPr="00730B1E">
        <w:t xml:space="preserve"> na počtu osob obžalovaných</w:t>
      </w:r>
      <w:r w:rsidR="006A1133" w:rsidRPr="00730B1E">
        <w:t>. A</w:t>
      </w:r>
      <w:r w:rsidRPr="00730B1E">
        <w:t xml:space="preserve"> nakonec se díváme na to, za jaké trestné činy jsou nejvíce ukládány tresty nepodmíněného odnětí svobody.</w:t>
      </w:r>
    </w:p>
    <w:p w14:paraId="4DCCD3F5" w14:textId="77777777" w:rsidR="002A77E3" w:rsidRPr="00730B1E" w:rsidRDefault="002A77E3" w:rsidP="002A77E3">
      <w:pPr>
        <w:pStyle w:val="OdstavecASR"/>
        <w:keepNext/>
        <w:outlineLvl w:val="3"/>
        <w:rPr>
          <w:b/>
          <w:bCs/>
        </w:rPr>
      </w:pPr>
      <w:r w:rsidRPr="00730B1E">
        <w:rPr>
          <w:b/>
          <w:bCs/>
        </w:rPr>
        <w:t>Míra odvolání</w:t>
      </w:r>
    </w:p>
    <w:p w14:paraId="440CB3F5" w14:textId="249ABD67" w:rsidR="006053BA" w:rsidRPr="00730B1E" w:rsidRDefault="006053BA" w:rsidP="006053BA">
      <w:pPr>
        <w:pStyle w:val="Podnadpis"/>
        <w:rPr>
          <w:color w:val="auto"/>
        </w:rPr>
      </w:pPr>
      <w:bookmarkStart w:id="445" w:name="_Toc144104264"/>
      <w:bookmarkStart w:id="446" w:name="_Toc169251080"/>
      <w:bookmarkStart w:id="447" w:name="_Toc174080766"/>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23</w:t>
      </w:r>
      <w:r w:rsidRPr="00730B1E">
        <w:rPr>
          <w:noProof/>
          <w:color w:val="auto"/>
        </w:rPr>
        <w:fldChar w:fldCharType="end"/>
      </w:r>
      <w:r w:rsidRPr="00730B1E">
        <w:rPr>
          <w:color w:val="auto"/>
        </w:rPr>
        <w:t>: OS – míra odvolání dle krajů v trestním řízení</w:t>
      </w:r>
      <w:bookmarkEnd w:id="445"/>
      <w:r w:rsidR="002263C3" w:rsidRPr="00730B1E">
        <w:rPr>
          <w:color w:val="auto"/>
        </w:rPr>
        <w:t>, 2023</w:t>
      </w:r>
      <w:bookmarkEnd w:id="446"/>
      <w:bookmarkEnd w:id="447"/>
    </w:p>
    <w:tbl>
      <w:tblPr>
        <w:tblW w:w="6300" w:type="dxa"/>
        <w:tblCellMar>
          <w:left w:w="70" w:type="dxa"/>
          <w:right w:w="70" w:type="dxa"/>
        </w:tblCellMar>
        <w:tblLook w:val="04A0" w:firstRow="1" w:lastRow="0" w:firstColumn="1" w:lastColumn="0" w:noHBand="0" w:noVBand="1"/>
      </w:tblPr>
      <w:tblGrid>
        <w:gridCol w:w="2780"/>
        <w:gridCol w:w="1821"/>
        <w:gridCol w:w="1699"/>
      </w:tblGrid>
      <w:tr w:rsidR="00B64E96" w:rsidRPr="00730B1E" w14:paraId="40C7C888" w14:textId="77777777" w:rsidTr="00F83A8D">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8F7D5B6" w14:textId="77777777" w:rsidR="00F83A8D" w:rsidRPr="00730B1E" w:rsidRDefault="00F83A8D" w:rsidP="00F83A8D">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06CEA620" w14:textId="77777777" w:rsidR="00F83A8D" w:rsidRPr="00730B1E" w:rsidRDefault="00F83A8D" w:rsidP="00F83A8D">
            <w:pPr>
              <w:spacing w:line="240" w:lineRule="auto"/>
              <w:jc w:val="center"/>
              <w:rPr>
                <w:rFonts w:eastAsia="Times New Roman"/>
                <w:b/>
                <w:bCs/>
                <w:szCs w:val="24"/>
                <w:lang w:eastAsia="cs-CZ"/>
              </w:rPr>
            </w:pPr>
            <w:r w:rsidRPr="00730B1E">
              <w:rPr>
                <w:rFonts w:eastAsia="Times New Roman"/>
                <w:b/>
                <w:bCs/>
                <w:szCs w:val="24"/>
                <w:lang w:eastAsia="cs-CZ"/>
              </w:rPr>
              <w:t xml:space="preserve">Míra odvolání </w:t>
            </w:r>
          </w:p>
        </w:tc>
      </w:tr>
      <w:tr w:rsidR="00B64E96" w:rsidRPr="00730B1E" w14:paraId="72E4E57D" w14:textId="77777777" w:rsidTr="00F83A8D">
        <w:trPr>
          <w:trHeight w:val="330"/>
        </w:trPr>
        <w:tc>
          <w:tcPr>
            <w:tcW w:w="2780" w:type="dxa"/>
            <w:tcBorders>
              <w:top w:val="nil"/>
              <w:left w:val="nil"/>
              <w:bottom w:val="single" w:sz="4" w:space="0" w:color="auto"/>
              <w:right w:val="nil"/>
            </w:tcBorders>
            <w:shd w:val="clear" w:color="auto" w:fill="auto"/>
            <w:noWrap/>
            <w:vAlign w:val="bottom"/>
            <w:hideMark/>
          </w:tcPr>
          <w:p w14:paraId="4B64D801"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MS Praha</w:t>
            </w:r>
          </w:p>
        </w:tc>
        <w:tc>
          <w:tcPr>
            <w:tcW w:w="1821" w:type="dxa"/>
            <w:tcBorders>
              <w:top w:val="nil"/>
              <w:left w:val="nil"/>
              <w:bottom w:val="single" w:sz="4" w:space="0" w:color="auto"/>
              <w:right w:val="nil"/>
            </w:tcBorders>
            <w:shd w:val="clear" w:color="auto" w:fill="auto"/>
            <w:noWrap/>
            <w:vAlign w:val="bottom"/>
            <w:hideMark/>
          </w:tcPr>
          <w:p w14:paraId="76BF8CF4" w14:textId="1E789DB1"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25,34 %</w:t>
            </w:r>
          </w:p>
        </w:tc>
        <w:tc>
          <w:tcPr>
            <w:tcW w:w="1699" w:type="dxa"/>
            <w:tcBorders>
              <w:top w:val="nil"/>
              <w:left w:val="nil"/>
              <w:bottom w:val="single" w:sz="4" w:space="0" w:color="auto"/>
              <w:right w:val="nil"/>
            </w:tcBorders>
            <w:shd w:val="clear" w:color="auto" w:fill="auto"/>
            <w:noWrap/>
            <w:vAlign w:val="center"/>
            <w:hideMark/>
          </w:tcPr>
          <w:p w14:paraId="2D8F70BE" w14:textId="70E230B2"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+0,9 p.b.</w:t>
            </w:r>
          </w:p>
        </w:tc>
      </w:tr>
      <w:tr w:rsidR="00B64E96" w:rsidRPr="00730B1E" w14:paraId="49D59B42"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5244DCA7"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Praha</w:t>
            </w:r>
          </w:p>
        </w:tc>
        <w:tc>
          <w:tcPr>
            <w:tcW w:w="1821" w:type="dxa"/>
            <w:tcBorders>
              <w:top w:val="nil"/>
              <w:left w:val="nil"/>
              <w:bottom w:val="single" w:sz="4" w:space="0" w:color="auto"/>
              <w:right w:val="nil"/>
            </w:tcBorders>
            <w:shd w:val="clear" w:color="auto" w:fill="auto"/>
            <w:noWrap/>
            <w:vAlign w:val="bottom"/>
            <w:hideMark/>
          </w:tcPr>
          <w:p w14:paraId="36D1D067" w14:textId="208918C1"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28,74 %</w:t>
            </w:r>
          </w:p>
        </w:tc>
        <w:tc>
          <w:tcPr>
            <w:tcW w:w="1699" w:type="dxa"/>
            <w:tcBorders>
              <w:top w:val="nil"/>
              <w:left w:val="nil"/>
              <w:bottom w:val="single" w:sz="4" w:space="0" w:color="auto"/>
              <w:right w:val="nil"/>
            </w:tcBorders>
            <w:shd w:val="clear" w:color="auto" w:fill="auto"/>
            <w:noWrap/>
            <w:vAlign w:val="center"/>
            <w:hideMark/>
          </w:tcPr>
          <w:p w14:paraId="2A34E22D" w14:textId="47CBC8FD"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+0,2 p.b.</w:t>
            </w:r>
          </w:p>
        </w:tc>
      </w:tr>
      <w:tr w:rsidR="00B64E96" w:rsidRPr="00730B1E" w14:paraId="543AA8F9"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22B214AF"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Č. Budějovice</w:t>
            </w:r>
          </w:p>
        </w:tc>
        <w:tc>
          <w:tcPr>
            <w:tcW w:w="1821" w:type="dxa"/>
            <w:tcBorders>
              <w:top w:val="nil"/>
              <w:left w:val="nil"/>
              <w:bottom w:val="single" w:sz="4" w:space="0" w:color="auto"/>
              <w:right w:val="nil"/>
            </w:tcBorders>
            <w:shd w:val="clear" w:color="auto" w:fill="auto"/>
            <w:noWrap/>
            <w:vAlign w:val="bottom"/>
            <w:hideMark/>
          </w:tcPr>
          <w:p w14:paraId="24D05205" w14:textId="5348F5BB"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21,37 %</w:t>
            </w:r>
          </w:p>
        </w:tc>
        <w:tc>
          <w:tcPr>
            <w:tcW w:w="1699" w:type="dxa"/>
            <w:tcBorders>
              <w:top w:val="nil"/>
              <w:left w:val="nil"/>
              <w:bottom w:val="single" w:sz="4" w:space="0" w:color="auto"/>
              <w:right w:val="nil"/>
            </w:tcBorders>
            <w:shd w:val="clear" w:color="auto" w:fill="auto"/>
            <w:noWrap/>
            <w:vAlign w:val="center"/>
            <w:hideMark/>
          </w:tcPr>
          <w:p w14:paraId="66E7587D" w14:textId="0FD28F50"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+0,7 p.b.</w:t>
            </w:r>
          </w:p>
        </w:tc>
      </w:tr>
      <w:tr w:rsidR="00B64E96" w:rsidRPr="00730B1E" w14:paraId="4F6DA67A"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69713212"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Plzeň</w:t>
            </w:r>
          </w:p>
        </w:tc>
        <w:tc>
          <w:tcPr>
            <w:tcW w:w="1821" w:type="dxa"/>
            <w:tcBorders>
              <w:top w:val="nil"/>
              <w:left w:val="nil"/>
              <w:bottom w:val="single" w:sz="4" w:space="0" w:color="auto"/>
              <w:right w:val="nil"/>
            </w:tcBorders>
            <w:shd w:val="clear" w:color="auto" w:fill="auto"/>
            <w:noWrap/>
            <w:vAlign w:val="bottom"/>
            <w:hideMark/>
          </w:tcPr>
          <w:p w14:paraId="369ABFAC" w14:textId="178E8EDC"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23,79 %</w:t>
            </w:r>
          </w:p>
        </w:tc>
        <w:tc>
          <w:tcPr>
            <w:tcW w:w="1699" w:type="dxa"/>
            <w:tcBorders>
              <w:top w:val="nil"/>
              <w:left w:val="nil"/>
              <w:bottom w:val="single" w:sz="4" w:space="0" w:color="auto"/>
              <w:right w:val="nil"/>
            </w:tcBorders>
            <w:shd w:val="clear" w:color="auto" w:fill="auto"/>
            <w:noWrap/>
            <w:vAlign w:val="center"/>
            <w:hideMark/>
          </w:tcPr>
          <w:p w14:paraId="69B7E8DF" w14:textId="2E977160"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-1,4 p.b.</w:t>
            </w:r>
          </w:p>
        </w:tc>
      </w:tr>
      <w:tr w:rsidR="00B64E96" w:rsidRPr="00730B1E" w14:paraId="5F8FBADF"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3C986CA3"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Ústí n. Labem</w:t>
            </w:r>
          </w:p>
        </w:tc>
        <w:tc>
          <w:tcPr>
            <w:tcW w:w="1821" w:type="dxa"/>
            <w:tcBorders>
              <w:top w:val="nil"/>
              <w:left w:val="nil"/>
              <w:bottom w:val="single" w:sz="4" w:space="0" w:color="auto"/>
              <w:right w:val="nil"/>
            </w:tcBorders>
            <w:shd w:val="clear" w:color="auto" w:fill="auto"/>
            <w:noWrap/>
            <w:vAlign w:val="bottom"/>
            <w:hideMark/>
          </w:tcPr>
          <w:p w14:paraId="3E8C8CA5" w14:textId="761D0694"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15,60 %</w:t>
            </w:r>
          </w:p>
        </w:tc>
        <w:tc>
          <w:tcPr>
            <w:tcW w:w="1699" w:type="dxa"/>
            <w:tcBorders>
              <w:top w:val="nil"/>
              <w:left w:val="nil"/>
              <w:bottom w:val="single" w:sz="4" w:space="0" w:color="auto"/>
              <w:right w:val="nil"/>
            </w:tcBorders>
            <w:shd w:val="clear" w:color="auto" w:fill="auto"/>
            <w:noWrap/>
            <w:vAlign w:val="center"/>
            <w:hideMark/>
          </w:tcPr>
          <w:p w14:paraId="30FC7135" w14:textId="2E4765D0"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-0,5 p.b.</w:t>
            </w:r>
          </w:p>
        </w:tc>
      </w:tr>
      <w:tr w:rsidR="00B64E96" w:rsidRPr="00730B1E" w14:paraId="3AAD4862"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2800D4D4"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Hr. Králové</w:t>
            </w:r>
          </w:p>
        </w:tc>
        <w:tc>
          <w:tcPr>
            <w:tcW w:w="1821" w:type="dxa"/>
            <w:tcBorders>
              <w:top w:val="nil"/>
              <w:left w:val="nil"/>
              <w:bottom w:val="single" w:sz="4" w:space="0" w:color="auto"/>
              <w:right w:val="nil"/>
            </w:tcBorders>
            <w:shd w:val="clear" w:color="auto" w:fill="auto"/>
            <w:noWrap/>
            <w:vAlign w:val="bottom"/>
            <w:hideMark/>
          </w:tcPr>
          <w:p w14:paraId="42F19E5C" w14:textId="54D63FB8"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23,43 %</w:t>
            </w:r>
          </w:p>
        </w:tc>
        <w:tc>
          <w:tcPr>
            <w:tcW w:w="1699" w:type="dxa"/>
            <w:tcBorders>
              <w:top w:val="nil"/>
              <w:left w:val="nil"/>
              <w:bottom w:val="single" w:sz="4" w:space="0" w:color="auto"/>
              <w:right w:val="nil"/>
            </w:tcBorders>
            <w:shd w:val="clear" w:color="auto" w:fill="auto"/>
            <w:noWrap/>
            <w:vAlign w:val="center"/>
            <w:hideMark/>
          </w:tcPr>
          <w:p w14:paraId="4A5504FD" w14:textId="78994200"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-0,4 p.b.</w:t>
            </w:r>
          </w:p>
        </w:tc>
      </w:tr>
      <w:tr w:rsidR="00B64E96" w:rsidRPr="00730B1E" w14:paraId="50A7D65D"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24BEB5B7"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Brno</w:t>
            </w:r>
          </w:p>
        </w:tc>
        <w:tc>
          <w:tcPr>
            <w:tcW w:w="1821" w:type="dxa"/>
            <w:tcBorders>
              <w:top w:val="nil"/>
              <w:left w:val="nil"/>
              <w:bottom w:val="single" w:sz="4" w:space="0" w:color="auto"/>
              <w:right w:val="nil"/>
            </w:tcBorders>
            <w:shd w:val="clear" w:color="auto" w:fill="auto"/>
            <w:noWrap/>
            <w:vAlign w:val="bottom"/>
            <w:hideMark/>
          </w:tcPr>
          <w:p w14:paraId="434DE65A" w14:textId="423422C6"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20,00 %</w:t>
            </w:r>
          </w:p>
        </w:tc>
        <w:tc>
          <w:tcPr>
            <w:tcW w:w="1699" w:type="dxa"/>
            <w:tcBorders>
              <w:top w:val="nil"/>
              <w:left w:val="nil"/>
              <w:bottom w:val="single" w:sz="4" w:space="0" w:color="auto"/>
              <w:right w:val="nil"/>
            </w:tcBorders>
            <w:shd w:val="clear" w:color="auto" w:fill="auto"/>
            <w:noWrap/>
            <w:vAlign w:val="center"/>
            <w:hideMark/>
          </w:tcPr>
          <w:p w14:paraId="1E8ADF5E" w14:textId="728888ED"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-2,0 p.b.</w:t>
            </w:r>
          </w:p>
        </w:tc>
      </w:tr>
      <w:tr w:rsidR="00B64E96" w:rsidRPr="00730B1E" w14:paraId="3E541B4B" w14:textId="77777777" w:rsidTr="00F83A8D">
        <w:trPr>
          <w:trHeight w:val="330"/>
        </w:trPr>
        <w:tc>
          <w:tcPr>
            <w:tcW w:w="2780" w:type="dxa"/>
            <w:tcBorders>
              <w:top w:val="nil"/>
              <w:left w:val="nil"/>
              <w:bottom w:val="double" w:sz="6" w:space="0" w:color="auto"/>
              <w:right w:val="nil"/>
            </w:tcBorders>
            <w:shd w:val="clear" w:color="auto" w:fill="auto"/>
            <w:noWrap/>
            <w:vAlign w:val="bottom"/>
            <w:hideMark/>
          </w:tcPr>
          <w:p w14:paraId="51D796FC"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Ostrava</w:t>
            </w:r>
          </w:p>
        </w:tc>
        <w:tc>
          <w:tcPr>
            <w:tcW w:w="1821" w:type="dxa"/>
            <w:tcBorders>
              <w:top w:val="nil"/>
              <w:left w:val="nil"/>
              <w:bottom w:val="double" w:sz="6" w:space="0" w:color="auto"/>
              <w:right w:val="nil"/>
            </w:tcBorders>
            <w:shd w:val="clear" w:color="auto" w:fill="auto"/>
            <w:noWrap/>
            <w:vAlign w:val="bottom"/>
            <w:hideMark/>
          </w:tcPr>
          <w:p w14:paraId="56C81C49" w14:textId="1DF08AEC"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20,38 %</w:t>
            </w:r>
          </w:p>
        </w:tc>
        <w:tc>
          <w:tcPr>
            <w:tcW w:w="1699" w:type="dxa"/>
            <w:tcBorders>
              <w:top w:val="nil"/>
              <w:left w:val="nil"/>
              <w:bottom w:val="double" w:sz="6" w:space="0" w:color="auto"/>
              <w:right w:val="nil"/>
            </w:tcBorders>
            <w:shd w:val="clear" w:color="auto" w:fill="auto"/>
            <w:noWrap/>
            <w:vAlign w:val="center"/>
            <w:hideMark/>
          </w:tcPr>
          <w:p w14:paraId="55F1F515" w14:textId="777D8264"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-0,4 p.b.</w:t>
            </w:r>
          </w:p>
        </w:tc>
      </w:tr>
      <w:tr w:rsidR="00B64E96" w:rsidRPr="00730B1E" w14:paraId="1F0626C5" w14:textId="77777777" w:rsidTr="00F83A8D">
        <w:trPr>
          <w:trHeight w:val="345"/>
        </w:trPr>
        <w:tc>
          <w:tcPr>
            <w:tcW w:w="2780" w:type="dxa"/>
            <w:tcBorders>
              <w:top w:val="nil"/>
              <w:left w:val="nil"/>
              <w:bottom w:val="double" w:sz="6" w:space="0" w:color="auto"/>
              <w:right w:val="nil"/>
            </w:tcBorders>
            <w:shd w:val="clear" w:color="auto" w:fill="auto"/>
            <w:noWrap/>
            <w:vAlign w:val="bottom"/>
            <w:hideMark/>
          </w:tcPr>
          <w:p w14:paraId="3BA7DEF8" w14:textId="77777777" w:rsidR="00F83A8D" w:rsidRPr="00730B1E" w:rsidRDefault="00F83A8D" w:rsidP="00F83A8D">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821" w:type="dxa"/>
            <w:tcBorders>
              <w:top w:val="nil"/>
              <w:left w:val="nil"/>
              <w:bottom w:val="double" w:sz="6" w:space="0" w:color="auto"/>
              <w:right w:val="nil"/>
            </w:tcBorders>
            <w:shd w:val="clear" w:color="auto" w:fill="auto"/>
            <w:noWrap/>
            <w:vAlign w:val="bottom"/>
            <w:hideMark/>
          </w:tcPr>
          <w:p w14:paraId="322197F3" w14:textId="30AC184B" w:rsidR="00F83A8D" w:rsidRPr="00730B1E" w:rsidRDefault="00F83A8D" w:rsidP="00F83A8D">
            <w:pPr>
              <w:spacing w:line="240" w:lineRule="auto"/>
              <w:jc w:val="center"/>
              <w:rPr>
                <w:rFonts w:eastAsia="Times New Roman"/>
                <w:b/>
                <w:bCs/>
                <w:szCs w:val="24"/>
                <w:lang w:eastAsia="cs-CZ"/>
              </w:rPr>
            </w:pPr>
            <w:r w:rsidRPr="00730B1E">
              <w:rPr>
                <w:rFonts w:eastAsia="Times New Roman"/>
                <w:b/>
                <w:bCs/>
                <w:szCs w:val="24"/>
                <w:lang w:eastAsia="cs-CZ"/>
              </w:rPr>
              <w:t>21,48 %</w:t>
            </w:r>
          </w:p>
        </w:tc>
        <w:tc>
          <w:tcPr>
            <w:tcW w:w="1699" w:type="dxa"/>
            <w:tcBorders>
              <w:top w:val="nil"/>
              <w:left w:val="nil"/>
              <w:bottom w:val="double" w:sz="6" w:space="0" w:color="auto"/>
              <w:right w:val="nil"/>
            </w:tcBorders>
            <w:shd w:val="clear" w:color="auto" w:fill="auto"/>
            <w:noWrap/>
            <w:vAlign w:val="center"/>
            <w:hideMark/>
          </w:tcPr>
          <w:p w14:paraId="4DCF2689" w14:textId="7EC03AE8" w:rsidR="00F83A8D" w:rsidRPr="00730B1E" w:rsidRDefault="00F83A8D" w:rsidP="00F83A8D">
            <w:pPr>
              <w:spacing w:line="240" w:lineRule="auto"/>
              <w:jc w:val="center"/>
              <w:rPr>
                <w:rFonts w:eastAsia="Times New Roman"/>
                <w:b/>
                <w:bCs/>
                <w:sz w:val="20"/>
                <w:szCs w:val="20"/>
                <w:lang w:eastAsia="cs-CZ"/>
              </w:rPr>
            </w:pPr>
            <w:r w:rsidRPr="00730B1E">
              <w:rPr>
                <w:rFonts w:eastAsia="Times New Roman"/>
                <w:b/>
                <w:bCs/>
                <w:sz w:val="20"/>
                <w:szCs w:val="20"/>
                <w:lang w:eastAsia="cs-CZ"/>
              </w:rPr>
              <w:t>-0,5 p.b.</w:t>
            </w:r>
          </w:p>
        </w:tc>
      </w:tr>
      <w:tr w:rsidR="00B64E96" w:rsidRPr="00730B1E" w14:paraId="44E5ABAA" w14:textId="77777777" w:rsidTr="00F83A8D">
        <w:trPr>
          <w:trHeight w:val="330"/>
        </w:trPr>
        <w:tc>
          <w:tcPr>
            <w:tcW w:w="2780" w:type="dxa"/>
            <w:tcBorders>
              <w:top w:val="nil"/>
              <w:left w:val="nil"/>
              <w:bottom w:val="nil"/>
              <w:right w:val="nil"/>
            </w:tcBorders>
            <w:shd w:val="clear" w:color="auto" w:fill="auto"/>
            <w:noWrap/>
            <w:vAlign w:val="bottom"/>
            <w:hideMark/>
          </w:tcPr>
          <w:p w14:paraId="4A0A149B" w14:textId="77777777" w:rsidR="00F83A8D" w:rsidRPr="00730B1E" w:rsidRDefault="00F83A8D" w:rsidP="00F83A8D">
            <w:pPr>
              <w:spacing w:line="240" w:lineRule="auto"/>
              <w:jc w:val="right"/>
              <w:rPr>
                <w:rFonts w:eastAsia="Times New Roman"/>
                <w:b/>
                <w:bCs/>
                <w:sz w:val="20"/>
                <w:szCs w:val="20"/>
                <w:lang w:eastAsia="cs-CZ"/>
              </w:rPr>
            </w:pPr>
          </w:p>
        </w:tc>
        <w:tc>
          <w:tcPr>
            <w:tcW w:w="1821" w:type="dxa"/>
            <w:tcBorders>
              <w:top w:val="nil"/>
              <w:left w:val="nil"/>
              <w:bottom w:val="nil"/>
              <w:right w:val="nil"/>
            </w:tcBorders>
            <w:shd w:val="clear" w:color="auto" w:fill="auto"/>
            <w:noWrap/>
            <w:vAlign w:val="bottom"/>
            <w:hideMark/>
          </w:tcPr>
          <w:p w14:paraId="7FC54B42" w14:textId="77777777" w:rsidR="00F83A8D" w:rsidRPr="00DF07F3" w:rsidRDefault="00F83A8D" w:rsidP="00F83A8D">
            <w:pPr>
              <w:spacing w:line="240" w:lineRule="auto"/>
              <w:jc w:val="left"/>
              <w:rPr>
                <w:sz w:val="20"/>
              </w:rPr>
            </w:pPr>
          </w:p>
        </w:tc>
        <w:tc>
          <w:tcPr>
            <w:tcW w:w="1699" w:type="dxa"/>
            <w:tcBorders>
              <w:top w:val="nil"/>
              <w:left w:val="nil"/>
              <w:bottom w:val="nil"/>
              <w:right w:val="nil"/>
            </w:tcBorders>
            <w:shd w:val="clear" w:color="auto" w:fill="auto"/>
            <w:noWrap/>
            <w:vAlign w:val="bottom"/>
            <w:hideMark/>
          </w:tcPr>
          <w:p w14:paraId="4EE511B8" w14:textId="11DFD562" w:rsidR="00F83A8D" w:rsidRPr="00DF07F3" w:rsidRDefault="00F83A8D" w:rsidP="00F83A8D">
            <w:pPr>
              <w:spacing w:line="240" w:lineRule="auto"/>
              <w:jc w:val="left"/>
              <w:rPr>
                <w:sz w:val="20"/>
              </w:rPr>
            </w:pPr>
          </w:p>
        </w:tc>
      </w:tr>
    </w:tbl>
    <w:p w14:paraId="40E2896A" w14:textId="15574602" w:rsidR="006053BA" w:rsidRPr="00730B1E" w:rsidRDefault="006053BA" w:rsidP="006053BA">
      <w:pPr>
        <w:pStyle w:val="Podnadpis"/>
        <w:rPr>
          <w:color w:val="auto"/>
        </w:rPr>
      </w:pPr>
      <w:bookmarkStart w:id="448" w:name="_Toc515871361"/>
      <w:bookmarkStart w:id="449" w:name="_Toc11135095"/>
      <w:bookmarkStart w:id="450" w:name="_Toc43841409"/>
      <w:bookmarkStart w:id="451" w:name="_Toc75952212"/>
      <w:bookmarkStart w:id="452" w:name="_Toc106106664"/>
      <w:bookmarkStart w:id="453" w:name="_Toc109801988"/>
      <w:bookmarkStart w:id="454" w:name="_Toc144104141"/>
      <w:bookmarkStart w:id="455" w:name="_Toc169250949"/>
      <w:bookmarkStart w:id="456" w:name="_Toc174080635"/>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30</w:t>
      </w:r>
      <w:r w:rsidRPr="00730B1E">
        <w:rPr>
          <w:color w:val="auto"/>
        </w:rPr>
        <w:fldChar w:fldCharType="end"/>
      </w:r>
      <w:r w:rsidRPr="00730B1E">
        <w:rPr>
          <w:color w:val="auto"/>
        </w:rPr>
        <w:t>: OS – míra odvolání u jednotlivých soudů v trestním řízení</w:t>
      </w:r>
      <w:bookmarkEnd w:id="448"/>
      <w:bookmarkEnd w:id="449"/>
      <w:bookmarkEnd w:id="450"/>
      <w:bookmarkEnd w:id="451"/>
      <w:bookmarkEnd w:id="452"/>
      <w:bookmarkEnd w:id="453"/>
      <w:bookmarkEnd w:id="454"/>
      <w:r w:rsidR="002263C3" w:rsidRPr="00730B1E">
        <w:rPr>
          <w:color w:val="auto"/>
        </w:rPr>
        <w:t>, 2023</w:t>
      </w:r>
      <w:bookmarkEnd w:id="455"/>
      <w:bookmarkEnd w:id="456"/>
    </w:p>
    <w:p w14:paraId="63B6EDBD" w14:textId="159EE697" w:rsidR="006053BA" w:rsidRPr="00730B1E" w:rsidRDefault="00C4495A" w:rsidP="00084651">
      <w:pPr>
        <w:pStyle w:val="OdstavecASR"/>
        <w:keepNext/>
        <w:rPr>
          <w:b/>
        </w:rPr>
      </w:pPr>
      <w:r w:rsidRPr="00730B1E">
        <w:rPr>
          <w:b/>
          <w:bCs/>
          <w:noProof/>
          <w:lang w:eastAsia="cs-CZ"/>
        </w:rPr>
        <w:drawing>
          <wp:anchor distT="0" distB="0" distL="114300" distR="114300" simplePos="0" relativeHeight="251671552" behindDoc="0" locked="0" layoutInCell="1" allowOverlap="1" wp14:anchorId="3FC6F502" wp14:editId="1BE960B0">
            <wp:simplePos x="0" y="0"/>
            <wp:positionH relativeFrom="column">
              <wp:posOffset>4481195</wp:posOffset>
            </wp:positionH>
            <wp:positionV relativeFrom="paragraph">
              <wp:posOffset>43180</wp:posOffset>
            </wp:positionV>
            <wp:extent cx="1245600" cy="907200"/>
            <wp:effectExtent l="0" t="0" r="0" b="7620"/>
            <wp:wrapNone/>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45600" cy="90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B1E">
        <w:rPr>
          <w:b/>
          <w:bCs/>
          <w:noProof/>
          <w:lang w:eastAsia="cs-CZ"/>
        </w:rPr>
        <w:drawing>
          <wp:inline distT="0" distB="0" distL="0" distR="0" wp14:anchorId="51D0B913" wp14:editId="186FE9AC">
            <wp:extent cx="5760720" cy="3296920"/>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1D1F1CC" w14:textId="77777777" w:rsidR="000E311A" w:rsidRPr="00730B1E" w:rsidRDefault="000E311A">
      <w:pPr>
        <w:spacing w:after="160" w:line="259" w:lineRule="auto"/>
        <w:jc w:val="left"/>
        <w:rPr>
          <w:b/>
          <w:bCs/>
        </w:rPr>
      </w:pPr>
    </w:p>
    <w:p w14:paraId="7E35F593" w14:textId="2FE28678" w:rsidR="000E311A" w:rsidRPr="00730B1E" w:rsidRDefault="000E311A" w:rsidP="000E311A">
      <w:pPr>
        <w:pStyle w:val="OdstavecASR"/>
      </w:pPr>
      <w:r w:rsidRPr="00730B1E">
        <w:lastRenderedPageBreak/>
        <w:t>Soudy s nejnižší mírou odvolání v roce 2023 jsou OS Most (8,37 %), OS Domažlice (8,87 %) a OS Třebíč (10,27 %). Nejvyšší míra odvolání naopak je u OS Plzeň-město (38,91 %), OS Příbram (37,89 %) a OS Mělník (36,93 %).</w:t>
      </w:r>
    </w:p>
    <w:p w14:paraId="277995D3" w14:textId="77777777" w:rsidR="00C4495A" w:rsidRPr="00730B1E" w:rsidRDefault="00C4495A" w:rsidP="00C4495A">
      <w:pPr>
        <w:pStyle w:val="OdstavecASR"/>
        <w:keepNext/>
      </w:pPr>
      <w:r w:rsidRPr="00730B1E">
        <w:t>Při pohledu na data o míře odvolání je třeba poukázat na několik věcí:</w:t>
      </w:r>
    </w:p>
    <w:p w14:paraId="7E7587CE" w14:textId="1D3C564D" w:rsidR="00C4495A" w:rsidRPr="00730B1E" w:rsidRDefault="00C4495A" w:rsidP="00A94F8F">
      <w:pPr>
        <w:pStyle w:val="OdstavecASR"/>
        <w:numPr>
          <w:ilvl w:val="0"/>
          <w:numId w:val="8"/>
        </w:numPr>
      </w:pPr>
      <w:r w:rsidRPr="00730B1E">
        <w:t>Míra odvolání v trestním řízení je vysoká – asi třikrát vyšší než v řízení občanskoprávním. Odvolání je podáno přibližně v každém čtvrtém až pátém trestním řízení u okresního soudu.</w:t>
      </w:r>
    </w:p>
    <w:p w14:paraId="7DE7E6F6" w14:textId="720D0120" w:rsidR="00C4495A" w:rsidRPr="00730B1E" w:rsidRDefault="00C4495A" w:rsidP="00A94F8F">
      <w:pPr>
        <w:pStyle w:val="OdstavecASR"/>
        <w:numPr>
          <w:ilvl w:val="0"/>
          <w:numId w:val="8"/>
        </w:numPr>
      </w:pPr>
      <w:r w:rsidRPr="00730B1E">
        <w:t>Na celorepublikové úrovni je míra odvolání stabilní, na úrovni krajů jsou patrné větší odchylky, stále však nijak zásadní. U jednotlivých soudů se míra odvolání může mezi roky lišit nejvýrazněji.</w:t>
      </w:r>
    </w:p>
    <w:p w14:paraId="449478C2" w14:textId="77777777" w:rsidR="00C4495A" w:rsidRPr="00730B1E" w:rsidRDefault="00C4495A" w:rsidP="00A94F8F">
      <w:pPr>
        <w:pStyle w:val="OdstavecASR"/>
        <w:numPr>
          <w:ilvl w:val="0"/>
          <w:numId w:val="8"/>
        </w:numPr>
      </w:pPr>
      <w:r w:rsidRPr="00730B1E">
        <w:t>V míře odvolání jsou mezi jednotlivými soudy velké rozdíly – až šestinásobek u soudů s nejvyšší mírou odvolání oproti soudům s nejnižší mírou odvolání.</w:t>
      </w:r>
    </w:p>
    <w:p w14:paraId="0EE97B07" w14:textId="77777777" w:rsidR="00C4495A" w:rsidRPr="00730B1E" w:rsidRDefault="00C4495A" w:rsidP="00A94F8F">
      <w:pPr>
        <w:pStyle w:val="OdstavecASR"/>
        <w:numPr>
          <w:ilvl w:val="0"/>
          <w:numId w:val="8"/>
        </w:numPr>
      </w:pPr>
      <w:r w:rsidRPr="00730B1E">
        <w:t>Nejvyšší míra odvolání je ve Středočeském kraji a suverénně nejnižší v Severočeském kraji. Částečně to zřejmě souvisí s rozdílnou agendou a s rozdíly v socioekonomických ukazatelích, uspokojivé vysvětlení pro takto markantní rozdíl to však není. Rozdíly jsou totiž někdy značné i v rámci jednoho kraje.</w:t>
      </w:r>
    </w:p>
    <w:p w14:paraId="5B2E776C" w14:textId="77777777" w:rsidR="00C4495A" w:rsidRPr="00730B1E" w:rsidRDefault="00C4495A" w:rsidP="000E311A">
      <w:pPr>
        <w:pStyle w:val="OdstavecASR"/>
      </w:pPr>
    </w:p>
    <w:p w14:paraId="14AC2406" w14:textId="04B1E887" w:rsidR="006D088B" w:rsidRPr="00730B1E" w:rsidRDefault="006D088B" w:rsidP="006D088B">
      <w:pPr>
        <w:pStyle w:val="OdstavecASR"/>
        <w:keepNext/>
        <w:outlineLvl w:val="3"/>
        <w:rPr>
          <w:b/>
          <w:bCs/>
        </w:rPr>
      </w:pPr>
      <w:r w:rsidRPr="00730B1E">
        <w:rPr>
          <w:b/>
          <w:bCs/>
        </w:rPr>
        <w:t>Míra změny rozsudku</w:t>
      </w:r>
    </w:p>
    <w:p w14:paraId="7913808F" w14:textId="492BB3EE" w:rsidR="00C4495A" w:rsidRPr="00730B1E" w:rsidRDefault="00C4495A" w:rsidP="00C4495A">
      <w:pPr>
        <w:pStyle w:val="OdstavecASR"/>
      </w:pPr>
      <w:r w:rsidRPr="00730B1E">
        <w:t>Dalším sledovaným ukazatelem je míra změny rozsudku. Jedná se o podíl věcí v procentech, ve kterých odvolací soud na základě odvolání změnil rozhodnutí soudu I. stupně. Jako změna rozsudku jsou započítány věci, v nichž bylo odvolání vyhověno, ale i případy, kdy bylo rozhodnutí soudu I. stupně odvolacím soudem zrušeno a vráceno soudu I. stupně.</w:t>
      </w:r>
    </w:p>
    <w:p w14:paraId="41C8307C" w14:textId="770E436C" w:rsidR="00F83A8D" w:rsidRPr="00730B1E" w:rsidRDefault="00F83A8D" w:rsidP="00F83A8D">
      <w:pPr>
        <w:pStyle w:val="Podnadpis"/>
        <w:rPr>
          <w:color w:val="auto"/>
        </w:rPr>
      </w:pPr>
      <w:bookmarkStart w:id="457" w:name="_Toc75952328"/>
      <w:bookmarkStart w:id="458" w:name="_Toc106106786"/>
      <w:bookmarkStart w:id="459" w:name="_Toc109802109"/>
      <w:bookmarkStart w:id="460" w:name="_Toc144104265"/>
      <w:bookmarkStart w:id="461" w:name="_Toc169251081"/>
      <w:bookmarkStart w:id="462" w:name="_Toc174080767"/>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24</w:t>
      </w:r>
      <w:r w:rsidRPr="00730B1E">
        <w:rPr>
          <w:noProof/>
          <w:color w:val="auto"/>
        </w:rPr>
        <w:fldChar w:fldCharType="end"/>
      </w:r>
      <w:r w:rsidRPr="00730B1E">
        <w:rPr>
          <w:color w:val="auto"/>
        </w:rPr>
        <w:t>: OS – míra změny rozsudku dle krajů v trestním řízení</w:t>
      </w:r>
      <w:bookmarkEnd w:id="457"/>
      <w:bookmarkEnd w:id="458"/>
      <w:bookmarkEnd w:id="459"/>
      <w:bookmarkEnd w:id="460"/>
      <w:r w:rsidR="002263C3" w:rsidRPr="00730B1E">
        <w:rPr>
          <w:color w:val="auto"/>
        </w:rPr>
        <w:t>, 2023</w:t>
      </w:r>
      <w:bookmarkEnd w:id="461"/>
      <w:bookmarkEnd w:id="462"/>
    </w:p>
    <w:tbl>
      <w:tblPr>
        <w:tblW w:w="6980" w:type="dxa"/>
        <w:tblCellMar>
          <w:left w:w="70" w:type="dxa"/>
          <w:right w:w="70" w:type="dxa"/>
        </w:tblCellMar>
        <w:tblLook w:val="04A0" w:firstRow="1" w:lastRow="0" w:firstColumn="1" w:lastColumn="0" w:noHBand="0" w:noVBand="1"/>
      </w:tblPr>
      <w:tblGrid>
        <w:gridCol w:w="2780"/>
        <w:gridCol w:w="1726"/>
        <w:gridCol w:w="2474"/>
      </w:tblGrid>
      <w:tr w:rsidR="00B64E96" w:rsidRPr="00730B1E" w14:paraId="5A531484" w14:textId="77777777" w:rsidTr="00F83A8D">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FBA2EF5" w14:textId="77777777" w:rsidR="00F83A8D" w:rsidRPr="00730B1E" w:rsidRDefault="00F83A8D" w:rsidP="00F83A8D">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54A85F0B" w14:textId="77777777" w:rsidR="00F83A8D" w:rsidRPr="00730B1E" w:rsidRDefault="00F83A8D" w:rsidP="00F83A8D">
            <w:pPr>
              <w:spacing w:line="240" w:lineRule="auto"/>
              <w:jc w:val="center"/>
              <w:rPr>
                <w:rFonts w:eastAsia="Times New Roman"/>
                <w:b/>
                <w:bCs/>
                <w:szCs w:val="24"/>
                <w:lang w:eastAsia="cs-CZ"/>
              </w:rPr>
            </w:pPr>
            <w:r w:rsidRPr="00730B1E">
              <w:rPr>
                <w:rFonts w:eastAsia="Times New Roman"/>
                <w:b/>
                <w:bCs/>
                <w:szCs w:val="24"/>
                <w:lang w:eastAsia="cs-CZ"/>
              </w:rPr>
              <w:t xml:space="preserve">Míra změny rozsudku (v %) </w:t>
            </w:r>
          </w:p>
        </w:tc>
      </w:tr>
      <w:tr w:rsidR="00B64E96" w:rsidRPr="00730B1E" w14:paraId="3644447E" w14:textId="77777777" w:rsidTr="00F83A8D">
        <w:trPr>
          <w:trHeight w:val="330"/>
        </w:trPr>
        <w:tc>
          <w:tcPr>
            <w:tcW w:w="2780" w:type="dxa"/>
            <w:tcBorders>
              <w:top w:val="nil"/>
              <w:left w:val="nil"/>
              <w:bottom w:val="single" w:sz="4" w:space="0" w:color="auto"/>
              <w:right w:val="nil"/>
            </w:tcBorders>
            <w:shd w:val="clear" w:color="auto" w:fill="auto"/>
            <w:noWrap/>
            <w:vAlign w:val="bottom"/>
            <w:hideMark/>
          </w:tcPr>
          <w:p w14:paraId="4046FEE5"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MS Praha</w:t>
            </w:r>
          </w:p>
        </w:tc>
        <w:tc>
          <w:tcPr>
            <w:tcW w:w="1726" w:type="dxa"/>
            <w:tcBorders>
              <w:top w:val="nil"/>
              <w:left w:val="nil"/>
              <w:bottom w:val="single" w:sz="4" w:space="0" w:color="auto"/>
              <w:right w:val="nil"/>
            </w:tcBorders>
            <w:shd w:val="clear" w:color="auto" w:fill="auto"/>
            <w:noWrap/>
            <w:vAlign w:val="bottom"/>
            <w:hideMark/>
          </w:tcPr>
          <w:p w14:paraId="7EAD6317" w14:textId="13334BE0"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37,86</w:t>
            </w:r>
          </w:p>
        </w:tc>
        <w:tc>
          <w:tcPr>
            <w:tcW w:w="2474" w:type="dxa"/>
            <w:tcBorders>
              <w:top w:val="nil"/>
              <w:left w:val="nil"/>
              <w:bottom w:val="single" w:sz="4" w:space="0" w:color="auto"/>
              <w:right w:val="nil"/>
            </w:tcBorders>
            <w:shd w:val="clear" w:color="auto" w:fill="auto"/>
            <w:noWrap/>
            <w:vAlign w:val="center"/>
            <w:hideMark/>
          </w:tcPr>
          <w:p w14:paraId="5CBF69A2" w14:textId="5E4270B4"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-6,7 p.b.</w:t>
            </w:r>
          </w:p>
        </w:tc>
      </w:tr>
      <w:tr w:rsidR="00B64E96" w:rsidRPr="00730B1E" w14:paraId="22B0D52C"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74046B0A"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Praha</w:t>
            </w:r>
          </w:p>
        </w:tc>
        <w:tc>
          <w:tcPr>
            <w:tcW w:w="1726" w:type="dxa"/>
            <w:tcBorders>
              <w:top w:val="nil"/>
              <w:left w:val="nil"/>
              <w:bottom w:val="single" w:sz="4" w:space="0" w:color="auto"/>
              <w:right w:val="nil"/>
            </w:tcBorders>
            <w:shd w:val="clear" w:color="auto" w:fill="auto"/>
            <w:noWrap/>
            <w:vAlign w:val="bottom"/>
            <w:hideMark/>
          </w:tcPr>
          <w:p w14:paraId="688B5398" w14:textId="3ED31E37"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36,80</w:t>
            </w:r>
          </w:p>
        </w:tc>
        <w:tc>
          <w:tcPr>
            <w:tcW w:w="2474" w:type="dxa"/>
            <w:tcBorders>
              <w:top w:val="nil"/>
              <w:left w:val="nil"/>
              <w:bottom w:val="single" w:sz="4" w:space="0" w:color="auto"/>
              <w:right w:val="nil"/>
            </w:tcBorders>
            <w:shd w:val="clear" w:color="auto" w:fill="auto"/>
            <w:noWrap/>
            <w:vAlign w:val="center"/>
            <w:hideMark/>
          </w:tcPr>
          <w:p w14:paraId="4412DCE3" w14:textId="04E3B021"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+0,1 p.b.</w:t>
            </w:r>
          </w:p>
        </w:tc>
      </w:tr>
      <w:tr w:rsidR="00B64E96" w:rsidRPr="00730B1E" w14:paraId="15EE96A0"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74EEB141"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Č. Budějovice</w:t>
            </w:r>
          </w:p>
        </w:tc>
        <w:tc>
          <w:tcPr>
            <w:tcW w:w="1726" w:type="dxa"/>
            <w:tcBorders>
              <w:top w:val="nil"/>
              <w:left w:val="nil"/>
              <w:bottom w:val="single" w:sz="4" w:space="0" w:color="auto"/>
              <w:right w:val="nil"/>
            </w:tcBorders>
            <w:shd w:val="clear" w:color="auto" w:fill="auto"/>
            <w:noWrap/>
            <w:vAlign w:val="bottom"/>
            <w:hideMark/>
          </w:tcPr>
          <w:p w14:paraId="0412F444" w14:textId="23C10EA4"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33,79</w:t>
            </w:r>
          </w:p>
        </w:tc>
        <w:tc>
          <w:tcPr>
            <w:tcW w:w="2474" w:type="dxa"/>
            <w:tcBorders>
              <w:top w:val="nil"/>
              <w:left w:val="nil"/>
              <w:bottom w:val="single" w:sz="4" w:space="0" w:color="auto"/>
              <w:right w:val="nil"/>
            </w:tcBorders>
            <w:shd w:val="clear" w:color="auto" w:fill="auto"/>
            <w:noWrap/>
            <w:vAlign w:val="center"/>
            <w:hideMark/>
          </w:tcPr>
          <w:p w14:paraId="66318CAC" w14:textId="4F811EFA"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+1,6 p.b.</w:t>
            </w:r>
          </w:p>
        </w:tc>
      </w:tr>
      <w:tr w:rsidR="00B64E96" w:rsidRPr="00730B1E" w14:paraId="0E747DFB"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7D15406D"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Plzeň</w:t>
            </w:r>
          </w:p>
        </w:tc>
        <w:tc>
          <w:tcPr>
            <w:tcW w:w="1726" w:type="dxa"/>
            <w:tcBorders>
              <w:top w:val="nil"/>
              <w:left w:val="nil"/>
              <w:bottom w:val="single" w:sz="4" w:space="0" w:color="auto"/>
              <w:right w:val="nil"/>
            </w:tcBorders>
            <w:shd w:val="clear" w:color="auto" w:fill="auto"/>
            <w:noWrap/>
            <w:vAlign w:val="bottom"/>
            <w:hideMark/>
          </w:tcPr>
          <w:p w14:paraId="3355A0AA" w14:textId="0BEB3550"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52,00</w:t>
            </w:r>
          </w:p>
        </w:tc>
        <w:tc>
          <w:tcPr>
            <w:tcW w:w="2474" w:type="dxa"/>
            <w:tcBorders>
              <w:top w:val="nil"/>
              <w:left w:val="nil"/>
              <w:bottom w:val="single" w:sz="4" w:space="0" w:color="auto"/>
              <w:right w:val="nil"/>
            </w:tcBorders>
            <w:shd w:val="clear" w:color="auto" w:fill="auto"/>
            <w:noWrap/>
            <w:vAlign w:val="center"/>
            <w:hideMark/>
          </w:tcPr>
          <w:p w14:paraId="77017864" w14:textId="1923BCEB"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+4,1 p.b.</w:t>
            </w:r>
          </w:p>
        </w:tc>
      </w:tr>
      <w:tr w:rsidR="00B64E96" w:rsidRPr="00730B1E" w14:paraId="25BFB012"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2611BE28"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Ústí n. Labem</w:t>
            </w:r>
          </w:p>
        </w:tc>
        <w:tc>
          <w:tcPr>
            <w:tcW w:w="1726" w:type="dxa"/>
            <w:tcBorders>
              <w:top w:val="nil"/>
              <w:left w:val="nil"/>
              <w:bottom w:val="single" w:sz="4" w:space="0" w:color="auto"/>
              <w:right w:val="nil"/>
            </w:tcBorders>
            <w:shd w:val="clear" w:color="auto" w:fill="auto"/>
            <w:noWrap/>
            <w:vAlign w:val="bottom"/>
            <w:hideMark/>
          </w:tcPr>
          <w:p w14:paraId="11B8D24F" w14:textId="2B9F3A71"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49,63</w:t>
            </w:r>
          </w:p>
        </w:tc>
        <w:tc>
          <w:tcPr>
            <w:tcW w:w="2474" w:type="dxa"/>
            <w:tcBorders>
              <w:top w:val="nil"/>
              <w:left w:val="nil"/>
              <w:bottom w:val="single" w:sz="4" w:space="0" w:color="auto"/>
              <w:right w:val="nil"/>
            </w:tcBorders>
            <w:shd w:val="clear" w:color="auto" w:fill="auto"/>
            <w:noWrap/>
            <w:vAlign w:val="center"/>
            <w:hideMark/>
          </w:tcPr>
          <w:p w14:paraId="7A68E900" w14:textId="7CE3C0B7"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-3,3 p.b.</w:t>
            </w:r>
          </w:p>
        </w:tc>
      </w:tr>
      <w:tr w:rsidR="00B64E96" w:rsidRPr="00730B1E" w14:paraId="6EDC16A7"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45D25ACF"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Hr. Králové</w:t>
            </w:r>
          </w:p>
        </w:tc>
        <w:tc>
          <w:tcPr>
            <w:tcW w:w="1726" w:type="dxa"/>
            <w:tcBorders>
              <w:top w:val="nil"/>
              <w:left w:val="nil"/>
              <w:bottom w:val="single" w:sz="4" w:space="0" w:color="auto"/>
              <w:right w:val="nil"/>
            </w:tcBorders>
            <w:shd w:val="clear" w:color="auto" w:fill="auto"/>
            <w:noWrap/>
            <w:vAlign w:val="bottom"/>
            <w:hideMark/>
          </w:tcPr>
          <w:p w14:paraId="31F2A0D9" w14:textId="73004016"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33,85</w:t>
            </w:r>
          </w:p>
        </w:tc>
        <w:tc>
          <w:tcPr>
            <w:tcW w:w="2474" w:type="dxa"/>
            <w:tcBorders>
              <w:top w:val="nil"/>
              <w:left w:val="nil"/>
              <w:bottom w:val="single" w:sz="4" w:space="0" w:color="auto"/>
              <w:right w:val="nil"/>
            </w:tcBorders>
            <w:shd w:val="clear" w:color="auto" w:fill="auto"/>
            <w:noWrap/>
            <w:vAlign w:val="center"/>
            <w:hideMark/>
          </w:tcPr>
          <w:p w14:paraId="44118304" w14:textId="69DDC502"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+8,1 p.b.</w:t>
            </w:r>
          </w:p>
        </w:tc>
      </w:tr>
      <w:tr w:rsidR="00B64E96" w:rsidRPr="00730B1E" w14:paraId="54EE1CB4" w14:textId="77777777" w:rsidTr="00F83A8D">
        <w:trPr>
          <w:trHeight w:val="315"/>
        </w:trPr>
        <w:tc>
          <w:tcPr>
            <w:tcW w:w="2780" w:type="dxa"/>
            <w:tcBorders>
              <w:top w:val="nil"/>
              <w:left w:val="nil"/>
              <w:bottom w:val="single" w:sz="4" w:space="0" w:color="auto"/>
              <w:right w:val="nil"/>
            </w:tcBorders>
            <w:shd w:val="clear" w:color="auto" w:fill="auto"/>
            <w:noWrap/>
            <w:vAlign w:val="bottom"/>
            <w:hideMark/>
          </w:tcPr>
          <w:p w14:paraId="0C5DFB95"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Brno</w:t>
            </w:r>
          </w:p>
        </w:tc>
        <w:tc>
          <w:tcPr>
            <w:tcW w:w="1726" w:type="dxa"/>
            <w:tcBorders>
              <w:top w:val="nil"/>
              <w:left w:val="nil"/>
              <w:bottom w:val="single" w:sz="4" w:space="0" w:color="auto"/>
              <w:right w:val="nil"/>
            </w:tcBorders>
            <w:shd w:val="clear" w:color="auto" w:fill="auto"/>
            <w:noWrap/>
            <w:vAlign w:val="bottom"/>
            <w:hideMark/>
          </w:tcPr>
          <w:p w14:paraId="0C8940CC" w14:textId="136A068E"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29,28</w:t>
            </w:r>
          </w:p>
        </w:tc>
        <w:tc>
          <w:tcPr>
            <w:tcW w:w="2474" w:type="dxa"/>
            <w:tcBorders>
              <w:top w:val="nil"/>
              <w:left w:val="nil"/>
              <w:bottom w:val="single" w:sz="4" w:space="0" w:color="auto"/>
              <w:right w:val="nil"/>
            </w:tcBorders>
            <w:shd w:val="clear" w:color="auto" w:fill="auto"/>
            <w:noWrap/>
            <w:vAlign w:val="center"/>
            <w:hideMark/>
          </w:tcPr>
          <w:p w14:paraId="08879865" w14:textId="3C95E85E"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+1,4 p.b.</w:t>
            </w:r>
          </w:p>
        </w:tc>
      </w:tr>
      <w:tr w:rsidR="00B64E96" w:rsidRPr="00730B1E" w14:paraId="27246264" w14:textId="77777777" w:rsidTr="00F83A8D">
        <w:trPr>
          <w:trHeight w:val="330"/>
        </w:trPr>
        <w:tc>
          <w:tcPr>
            <w:tcW w:w="2780" w:type="dxa"/>
            <w:tcBorders>
              <w:top w:val="nil"/>
              <w:left w:val="nil"/>
              <w:bottom w:val="double" w:sz="6" w:space="0" w:color="auto"/>
              <w:right w:val="nil"/>
            </w:tcBorders>
            <w:shd w:val="clear" w:color="auto" w:fill="auto"/>
            <w:noWrap/>
            <w:vAlign w:val="bottom"/>
            <w:hideMark/>
          </w:tcPr>
          <w:p w14:paraId="4DD00034" w14:textId="77777777" w:rsidR="00F83A8D" w:rsidRPr="00730B1E" w:rsidRDefault="00F83A8D" w:rsidP="00F83A8D">
            <w:pPr>
              <w:spacing w:line="240" w:lineRule="auto"/>
              <w:jc w:val="left"/>
              <w:rPr>
                <w:rFonts w:eastAsia="Times New Roman"/>
                <w:szCs w:val="24"/>
                <w:lang w:eastAsia="cs-CZ"/>
              </w:rPr>
            </w:pPr>
            <w:r w:rsidRPr="00730B1E">
              <w:rPr>
                <w:rFonts w:eastAsia="Times New Roman"/>
                <w:szCs w:val="24"/>
                <w:lang w:eastAsia="cs-CZ"/>
              </w:rPr>
              <w:t>KS Ostrava</w:t>
            </w:r>
          </w:p>
        </w:tc>
        <w:tc>
          <w:tcPr>
            <w:tcW w:w="1726" w:type="dxa"/>
            <w:tcBorders>
              <w:top w:val="nil"/>
              <w:left w:val="nil"/>
              <w:bottom w:val="double" w:sz="6" w:space="0" w:color="auto"/>
              <w:right w:val="nil"/>
            </w:tcBorders>
            <w:shd w:val="clear" w:color="auto" w:fill="auto"/>
            <w:noWrap/>
            <w:vAlign w:val="bottom"/>
            <w:hideMark/>
          </w:tcPr>
          <w:p w14:paraId="3FA4AA6D" w14:textId="0210C892" w:rsidR="00F83A8D" w:rsidRPr="00730B1E" w:rsidRDefault="00F83A8D" w:rsidP="00F83A8D">
            <w:pPr>
              <w:spacing w:line="240" w:lineRule="auto"/>
              <w:jc w:val="center"/>
              <w:rPr>
                <w:rFonts w:eastAsia="Times New Roman"/>
                <w:szCs w:val="24"/>
                <w:lang w:eastAsia="cs-CZ"/>
              </w:rPr>
            </w:pPr>
            <w:r w:rsidRPr="00730B1E">
              <w:rPr>
                <w:rFonts w:eastAsia="Times New Roman"/>
                <w:szCs w:val="24"/>
                <w:lang w:eastAsia="cs-CZ"/>
              </w:rPr>
              <w:t>46,31</w:t>
            </w:r>
          </w:p>
        </w:tc>
        <w:tc>
          <w:tcPr>
            <w:tcW w:w="2474" w:type="dxa"/>
            <w:tcBorders>
              <w:top w:val="nil"/>
              <w:left w:val="nil"/>
              <w:bottom w:val="double" w:sz="6" w:space="0" w:color="auto"/>
              <w:right w:val="nil"/>
            </w:tcBorders>
            <w:shd w:val="clear" w:color="auto" w:fill="auto"/>
            <w:noWrap/>
            <w:vAlign w:val="center"/>
            <w:hideMark/>
          </w:tcPr>
          <w:p w14:paraId="2B2AE1C7" w14:textId="47938C0D" w:rsidR="00F83A8D" w:rsidRPr="00730B1E" w:rsidRDefault="00F83A8D" w:rsidP="00F83A8D">
            <w:pPr>
              <w:spacing w:line="240" w:lineRule="auto"/>
              <w:jc w:val="center"/>
              <w:rPr>
                <w:rFonts w:eastAsia="Times New Roman"/>
                <w:sz w:val="20"/>
                <w:szCs w:val="20"/>
                <w:lang w:eastAsia="cs-CZ"/>
              </w:rPr>
            </w:pPr>
            <w:r w:rsidRPr="00730B1E">
              <w:rPr>
                <w:rFonts w:eastAsia="Times New Roman"/>
                <w:sz w:val="20"/>
                <w:szCs w:val="20"/>
                <w:lang w:eastAsia="cs-CZ"/>
              </w:rPr>
              <w:t>+2,2 p.b.</w:t>
            </w:r>
          </w:p>
        </w:tc>
      </w:tr>
      <w:tr w:rsidR="00B64E96" w:rsidRPr="00730B1E" w14:paraId="4C0F1A3F" w14:textId="77777777" w:rsidTr="00F83A8D">
        <w:trPr>
          <w:trHeight w:val="345"/>
        </w:trPr>
        <w:tc>
          <w:tcPr>
            <w:tcW w:w="2780" w:type="dxa"/>
            <w:tcBorders>
              <w:top w:val="nil"/>
              <w:left w:val="nil"/>
              <w:bottom w:val="double" w:sz="6" w:space="0" w:color="auto"/>
              <w:right w:val="nil"/>
            </w:tcBorders>
            <w:shd w:val="clear" w:color="auto" w:fill="auto"/>
            <w:noWrap/>
            <w:vAlign w:val="bottom"/>
            <w:hideMark/>
          </w:tcPr>
          <w:p w14:paraId="39DF5AAA" w14:textId="77777777" w:rsidR="00F83A8D" w:rsidRPr="00730B1E" w:rsidRDefault="00F83A8D" w:rsidP="00F83A8D">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26" w:type="dxa"/>
            <w:tcBorders>
              <w:top w:val="nil"/>
              <w:left w:val="nil"/>
              <w:bottom w:val="double" w:sz="6" w:space="0" w:color="auto"/>
              <w:right w:val="nil"/>
            </w:tcBorders>
            <w:shd w:val="clear" w:color="auto" w:fill="auto"/>
            <w:noWrap/>
            <w:vAlign w:val="bottom"/>
            <w:hideMark/>
          </w:tcPr>
          <w:p w14:paraId="48A5F869" w14:textId="560CC824" w:rsidR="00F83A8D" w:rsidRPr="00730B1E" w:rsidRDefault="00F83A8D" w:rsidP="00F83A8D">
            <w:pPr>
              <w:spacing w:line="240" w:lineRule="auto"/>
              <w:jc w:val="center"/>
              <w:rPr>
                <w:rFonts w:eastAsia="Times New Roman"/>
                <w:b/>
                <w:bCs/>
                <w:szCs w:val="24"/>
                <w:lang w:eastAsia="cs-CZ"/>
              </w:rPr>
            </w:pPr>
            <w:r w:rsidRPr="00730B1E">
              <w:rPr>
                <w:rFonts w:eastAsia="Times New Roman"/>
                <w:b/>
                <w:bCs/>
                <w:szCs w:val="24"/>
                <w:lang w:eastAsia="cs-CZ"/>
              </w:rPr>
              <w:t>40,45</w:t>
            </w:r>
          </w:p>
        </w:tc>
        <w:tc>
          <w:tcPr>
            <w:tcW w:w="2474" w:type="dxa"/>
            <w:tcBorders>
              <w:top w:val="nil"/>
              <w:left w:val="nil"/>
              <w:bottom w:val="double" w:sz="6" w:space="0" w:color="auto"/>
              <w:right w:val="nil"/>
            </w:tcBorders>
            <w:shd w:val="clear" w:color="auto" w:fill="auto"/>
            <w:noWrap/>
            <w:vAlign w:val="center"/>
            <w:hideMark/>
          </w:tcPr>
          <w:p w14:paraId="2237A704" w14:textId="35F6F9E2" w:rsidR="00F83A8D" w:rsidRPr="00730B1E" w:rsidRDefault="00F83A8D" w:rsidP="00F83A8D">
            <w:pPr>
              <w:spacing w:line="240" w:lineRule="auto"/>
              <w:jc w:val="center"/>
              <w:rPr>
                <w:rFonts w:eastAsia="Times New Roman"/>
                <w:b/>
                <w:bCs/>
                <w:sz w:val="20"/>
                <w:szCs w:val="20"/>
                <w:lang w:eastAsia="cs-CZ"/>
              </w:rPr>
            </w:pPr>
            <w:r w:rsidRPr="00730B1E">
              <w:rPr>
                <w:rFonts w:eastAsia="Times New Roman"/>
                <w:b/>
                <w:bCs/>
                <w:sz w:val="20"/>
                <w:szCs w:val="20"/>
                <w:lang w:eastAsia="cs-CZ"/>
              </w:rPr>
              <w:t>+0,6 p.b.</w:t>
            </w:r>
          </w:p>
        </w:tc>
      </w:tr>
      <w:tr w:rsidR="00B64E96" w:rsidRPr="00730B1E" w14:paraId="5ED1A8DF" w14:textId="77777777" w:rsidTr="00F83A8D">
        <w:trPr>
          <w:trHeight w:val="330"/>
        </w:trPr>
        <w:tc>
          <w:tcPr>
            <w:tcW w:w="2780" w:type="dxa"/>
            <w:tcBorders>
              <w:top w:val="nil"/>
              <w:left w:val="nil"/>
              <w:bottom w:val="nil"/>
              <w:right w:val="nil"/>
            </w:tcBorders>
            <w:shd w:val="clear" w:color="auto" w:fill="auto"/>
            <w:noWrap/>
            <w:vAlign w:val="bottom"/>
            <w:hideMark/>
          </w:tcPr>
          <w:p w14:paraId="7A6EBBE6" w14:textId="77777777" w:rsidR="00F83A8D" w:rsidRPr="00730B1E" w:rsidRDefault="00F83A8D" w:rsidP="00F83A8D">
            <w:pPr>
              <w:spacing w:line="240" w:lineRule="auto"/>
              <w:jc w:val="right"/>
              <w:rPr>
                <w:rFonts w:eastAsia="Times New Roman"/>
                <w:b/>
                <w:bCs/>
                <w:sz w:val="20"/>
                <w:szCs w:val="20"/>
                <w:lang w:eastAsia="cs-CZ"/>
              </w:rPr>
            </w:pPr>
          </w:p>
        </w:tc>
        <w:tc>
          <w:tcPr>
            <w:tcW w:w="1726" w:type="dxa"/>
            <w:tcBorders>
              <w:top w:val="nil"/>
              <w:left w:val="nil"/>
              <w:bottom w:val="nil"/>
              <w:right w:val="nil"/>
            </w:tcBorders>
            <w:shd w:val="clear" w:color="auto" w:fill="auto"/>
            <w:noWrap/>
            <w:vAlign w:val="bottom"/>
            <w:hideMark/>
          </w:tcPr>
          <w:p w14:paraId="052B5EAB" w14:textId="77777777" w:rsidR="00F83A8D" w:rsidRPr="00DF07F3" w:rsidRDefault="00F83A8D" w:rsidP="00F83A8D">
            <w:pPr>
              <w:spacing w:line="240" w:lineRule="auto"/>
              <w:jc w:val="left"/>
              <w:rPr>
                <w:sz w:val="20"/>
              </w:rPr>
            </w:pPr>
          </w:p>
        </w:tc>
        <w:tc>
          <w:tcPr>
            <w:tcW w:w="2474" w:type="dxa"/>
            <w:tcBorders>
              <w:top w:val="nil"/>
              <w:left w:val="nil"/>
              <w:bottom w:val="nil"/>
              <w:right w:val="nil"/>
            </w:tcBorders>
            <w:shd w:val="clear" w:color="auto" w:fill="auto"/>
            <w:noWrap/>
            <w:vAlign w:val="bottom"/>
            <w:hideMark/>
          </w:tcPr>
          <w:p w14:paraId="6BDB8030" w14:textId="77777777" w:rsidR="00F83A8D" w:rsidRPr="00DF07F3" w:rsidRDefault="00F83A8D" w:rsidP="00F83A8D">
            <w:pPr>
              <w:spacing w:line="240" w:lineRule="auto"/>
              <w:jc w:val="left"/>
              <w:rPr>
                <w:sz w:val="20"/>
              </w:rPr>
            </w:pPr>
          </w:p>
        </w:tc>
      </w:tr>
    </w:tbl>
    <w:p w14:paraId="0313FC49" w14:textId="6C9DBBCD" w:rsidR="00D03474" w:rsidRPr="00730B1E" w:rsidRDefault="00D03474" w:rsidP="00D03474">
      <w:pPr>
        <w:pStyle w:val="OdstavecASR"/>
      </w:pPr>
      <w:r w:rsidRPr="00730B1E">
        <w:t>Jak vidíme, celkem za ČR se míra změny rozsudku oproti roku 202</w:t>
      </w:r>
      <w:r w:rsidR="00E96C67" w:rsidRPr="00730B1E">
        <w:t>2</w:t>
      </w:r>
      <w:r w:rsidRPr="00730B1E">
        <w:t xml:space="preserve"> </w:t>
      </w:r>
      <w:r w:rsidR="004203DF" w:rsidRPr="00730B1E">
        <w:t>zvýšila</w:t>
      </w:r>
      <w:r w:rsidRPr="00730B1E">
        <w:t xml:space="preserve">. Nejnižší byla </w:t>
      </w:r>
      <w:r w:rsidR="00206DE1" w:rsidRPr="00730B1E">
        <w:t>v </w:t>
      </w:r>
      <w:r w:rsidR="00E96C67" w:rsidRPr="00730B1E">
        <w:t>Jihomoravském</w:t>
      </w:r>
      <w:r w:rsidRPr="00730B1E">
        <w:t xml:space="preserve"> kraji, nejvyšší zůstává v Severočeském a Západočeském kraji.</w:t>
      </w:r>
    </w:p>
    <w:p w14:paraId="7714D016" w14:textId="712EF467" w:rsidR="00D03474" w:rsidRPr="00730B1E" w:rsidRDefault="00D03474" w:rsidP="00D03474">
      <w:pPr>
        <w:pStyle w:val="OdstavecASR"/>
      </w:pPr>
      <w:r w:rsidRPr="00730B1E">
        <w:t>Z okresních soudů má</w:t>
      </w:r>
      <w:r w:rsidR="00084651" w:rsidRPr="00730B1E">
        <w:t xml:space="preserve"> dle dat</w:t>
      </w:r>
      <w:r w:rsidRPr="00730B1E">
        <w:t xml:space="preserve"> nejnižší míru změny rozsudku OS Jičín (0 %, tedy žádné jeho rozhodnutí nebylo změněno). Následují OS Žďár nad Sázavou (12,36 %) a OS Břeclav (22,18 %). </w:t>
      </w:r>
      <w:r w:rsidRPr="00730B1E">
        <w:lastRenderedPageBreak/>
        <w:t>Na druhém konci se nacházejí OS Plzeň-jih (64,44 %), OS Bruntál (66,06 %) a OS Havlíčkův Brod (68,97 %).</w:t>
      </w:r>
    </w:p>
    <w:p w14:paraId="1AF0FFD1" w14:textId="028C4121" w:rsidR="00C5551C" w:rsidRPr="00730B1E" w:rsidRDefault="00C5551C" w:rsidP="00C5551C">
      <w:pPr>
        <w:pStyle w:val="Podnadpis"/>
        <w:rPr>
          <w:color w:val="auto"/>
        </w:rPr>
      </w:pPr>
      <w:bookmarkStart w:id="463" w:name="_Toc515871362"/>
      <w:bookmarkStart w:id="464" w:name="_Toc11135096"/>
      <w:bookmarkStart w:id="465" w:name="_Toc43841410"/>
      <w:bookmarkStart w:id="466" w:name="_Toc75952213"/>
      <w:bookmarkStart w:id="467" w:name="_Toc106106665"/>
      <w:bookmarkStart w:id="468" w:name="_Toc109801989"/>
      <w:bookmarkStart w:id="469" w:name="_Toc144104142"/>
      <w:bookmarkStart w:id="470" w:name="_Toc169250950"/>
      <w:bookmarkStart w:id="471" w:name="_Toc17408063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31</w:t>
      </w:r>
      <w:r w:rsidRPr="00730B1E">
        <w:rPr>
          <w:color w:val="auto"/>
        </w:rPr>
        <w:fldChar w:fldCharType="end"/>
      </w:r>
      <w:r w:rsidRPr="00730B1E">
        <w:rPr>
          <w:color w:val="auto"/>
        </w:rPr>
        <w:t>: OS – míra zm</w:t>
      </w:r>
      <w:r w:rsidR="002263C3" w:rsidRPr="00730B1E">
        <w:rPr>
          <w:color w:val="auto"/>
        </w:rPr>
        <w:t>.</w:t>
      </w:r>
      <w:r w:rsidRPr="00730B1E">
        <w:rPr>
          <w:color w:val="auto"/>
        </w:rPr>
        <w:t xml:space="preserve"> rozsudku u jednotlivých soudů v trestním řízení</w:t>
      </w:r>
      <w:bookmarkEnd w:id="463"/>
      <w:bookmarkEnd w:id="464"/>
      <w:bookmarkEnd w:id="465"/>
      <w:bookmarkEnd w:id="466"/>
      <w:bookmarkEnd w:id="467"/>
      <w:bookmarkEnd w:id="468"/>
      <w:bookmarkEnd w:id="469"/>
      <w:r w:rsidR="002263C3" w:rsidRPr="00730B1E">
        <w:rPr>
          <w:color w:val="auto"/>
        </w:rPr>
        <w:t>, 2023</w:t>
      </w:r>
      <w:bookmarkEnd w:id="470"/>
      <w:bookmarkEnd w:id="471"/>
    </w:p>
    <w:p w14:paraId="45D5A174" w14:textId="64706994" w:rsidR="00D03474" w:rsidRPr="00730B1E" w:rsidRDefault="00577265" w:rsidP="00D03474">
      <w:pPr>
        <w:pStyle w:val="OdstavecASR"/>
      </w:pPr>
      <w:r w:rsidRPr="00730B1E">
        <w:rPr>
          <w:noProof/>
          <w:lang w:eastAsia="cs-CZ"/>
        </w:rPr>
        <w:drawing>
          <wp:anchor distT="0" distB="0" distL="114300" distR="114300" simplePos="0" relativeHeight="251672576" behindDoc="0" locked="0" layoutInCell="1" allowOverlap="1" wp14:anchorId="0AC2F1E7" wp14:editId="3A77F1D9">
            <wp:simplePos x="0" y="0"/>
            <wp:positionH relativeFrom="margin">
              <wp:posOffset>4474845</wp:posOffset>
            </wp:positionH>
            <wp:positionV relativeFrom="paragraph">
              <wp:posOffset>50165</wp:posOffset>
            </wp:positionV>
            <wp:extent cx="1256400" cy="914400"/>
            <wp:effectExtent l="0" t="0" r="1270" b="0"/>
            <wp:wrapNone/>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56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551C" w:rsidRPr="00730B1E">
        <w:rPr>
          <w:noProof/>
          <w:lang w:eastAsia="cs-CZ"/>
        </w:rPr>
        <w:drawing>
          <wp:inline distT="0" distB="0" distL="0" distR="0" wp14:anchorId="7DCC9425" wp14:editId="370E942D">
            <wp:extent cx="5760720" cy="329692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611AC03" w14:textId="000BF12E" w:rsidR="007A1B93" w:rsidRPr="00730B1E" w:rsidRDefault="007A1B93" w:rsidP="007A1B93">
      <w:pPr>
        <w:pStyle w:val="OdstavecASR"/>
      </w:pPr>
      <w:r w:rsidRPr="00730B1E">
        <w:t>Nakonec ještě krátce porovnáme rok 2023 s roky předešlými pomocí ukazatele Mír</w:t>
      </w:r>
      <w:r w:rsidR="004203DF" w:rsidRPr="00730B1E">
        <w:t>y</w:t>
      </w:r>
      <w:r w:rsidRPr="00730B1E">
        <w:t xml:space="preserve"> celkové změny rozsudku za ČR.</w:t>
      </w:r>
    </w:p>
    <w:p w14:paraId="3A5F123C" w14:textId="77777777" w:rsidR="002373C2" w:rsidRPr="00730B1E" w:rsidRDefault="002373C2" w:rsidP="007A1B93">
      <w:pPr>
        <w:pStyle w:val="OdstavecASR"/>
        <w:spacing w:after="0"/>
        <w:sectPr w:rsidR="002373C2" w:rsidRPr="00730B1E" w:rsidSect="005D7674">
          <w:footerReference w:type="default" r:id="rId53"/>
          <w:type w:val="continuous"/>
          <w:pgSz w:w="11906" w:h="16838" w:code="9"/>
          <w:pgMar w:top="1418" w:right="1416" w:bottom="1418" w:left="1418" w:header="709" w:footer="709" w:gutter="0"/>
          <w:cols w:space="708"/>
          <w:titlePg/>
          <w:docGrid w:linePitch="360"/>
        </w:sectPr>
      </w:pPr>
    </w:p>
    <w:p w14:paraId="3F00B2FA" w14:textId="77777777" w:rsidR="007A1B93" w:rsidRPr="00730B1E" w:rsidRDefault="007A1B93" w:rsidP="007A1B93">
      <w:pPr>
        <w:pStyle w:val="OdstavecASR"/>
        <w:spacing w:after="0"/>
        <w:rPr>
          <w:sz w:val="22"/>
        </w:rPr>
      </w:pPr>
      <w:r w:rsidRPr="00730B1E">
        <w:rPr>
          <w:sz w:val="22"/>
        </w:rPr>
        <w:t>2016 = 10,15 %</w:t>
      </w:r>
      <w:r w:rsidRPr="00730B1E">
        <w:rPr>
          <w:sz w:val="22"/>
        </w:rPr>
        <w:tab/>
      </w:r>
      <w:r w:rsidRPr="00730B1E">
        <w:rPr>
          <w:sz w:val="22"/>
        </w:rPr>
        <w:tab/>
        <w:t>(25,76 % × 39,40 %)</w:t>
      </w:r>
    </w:p>
    <w:p w14:paraId="18DEEA07" w14:textId="77777777" w:rsidR="007A1B93" w:rsidRPr="00730B1E" w:rsidRDefault="007A1B93" w:rsidP="007A1B93">
      <w:pPr>
        <w:pStyle w:val="OdstavecASR"/>
        <w:spacing w:after="0"/>
        <w:rPr>
          <w:sz w:val="22"/>
        </w:rPr>
      </w:pPr>
      <w:r w:rsidRPr="00730B1E">
        <w:rPr>
          <w:sz w:val="22"/>
        </w:rPr>
        <w:t>2017 = 10,29 %</w:t>
      </w:r>
      <w:r w:rsidRPr="00730B1E">
        <w:rPr>
          <w:sz w:val="22"/>
        </w:rPr>
        <w:tab/>
      </w:r>
      <w:r w:rsidRPr="00730B1E">
        <w:rPr>
          <w:sz w:val="22"/>
        </w:rPr>
        <w:tab/>
        <w:t>(24,39 % × 42,18 %)</w:t>
      </w:r>
    </w:p>
    <w:p w14:paraId="3AC4D3C7" w14:textId="77777777" w:rsidR="007A1B93" w:rsidRPr="00730B1E" w:rsidRDefault="007A1B93" w:rsidP="007A1B93">
      <w:pPr>
        <w:pStyle w:val="OdstavecASR"/>
        <w:spacing w:after="0"/>
        <w:rPr>
          <w:sz w:val="22"/>
        </w:rPr>
      </w:pPr>
      <w:r w:rsidRPr="00730B1E">
        <w:rPr>
          <w:sz w:val="22"/>
        </w:rPr>
        <w:t>2018 = 10,61 %</w:t>
      </w:r>
      <w:r w:rsidRPr="00730B1E">
        <w:rPr>
          <w:sz w:val="22"/>
        </w:rPr>
        <w:tab/>
      </w:r>
      <w:r w:rsidRPr="00730B1E">
        <w:rPr>
          <w:sz w:val="22"/>
        </w:rPr>
        <w:tab/>
        <w:t>(25,13 % × 42,22 %)</w:t>
      </w:r>
    </w:p>
    <w:p w14:paraId="2BFD4CD7" w14:textId="5401E867" w:rsidR="007A1B93" w:rsidRPr="00730B1E" w:rsidRDefault="007A1B93" w:rsidP="007A1B93">
      <w:pPr>
        <w:pStyle w:val="OdstavecASR"/>
        <w:spacing w:after="0"/>
        <w:rPr>
          <w:sz w:val="22"/>
        </w:rPr>
      </w:pPr>
      <w:r w:rsidRPr="00730B1E">
        <w:rPr>
          <w:sz w:val="22"/>
        </w:rPr>
        <w:t>2019 = 9,97 %</w:t>
      </w:r>
      <w:r w:rsidRPr="00730B1E">
        <w:rPr>
          <w:sz w:val="22"/>
        </w:rPr>
        <w:tab/>
      </w:r>
      <w:r w:rsidRPr="00730B1E">
        <w:rPr>
          <w:sz w:val="22"/>
        </w:rPr>
        <w:tab/>
        <w:t>(24,62 % × 40,48 %)</w:t>
      </w:r>
    </w:p>
    <w:p w14:paraId="2F799BE3" w14:textId="77777777" w:rsidR="007A1B93" w:rsidRPr="00730B1E" w:rsidRDefault="007A1B93" w:rsidP="007A1B93">
      <w:pPr>
        <w:pStyle w:val="OdstavecASR"/>
        <w:spacing w:after="0"/>
        <w:rPr>
          <w:sz w:val="22"/>
        </w:rPr>
      </w:pPr>
      <w:r w:rsidRPr="00730B1E">
        <w:rPr>
          <w:sz w:val="22"/>
        </w:rPr>
        <w:t>2020 = 10,02 %</w:t>
      </w:r>
      <w:r w:rsidRPr="00730B1E">
        <w:rPr>
          <w:sz w:val="22"/>
        </w:rPr>
        <w:tab/>
      </w:r>
      <w:r w:rsidRPr="00730B1E">
        <w:rPr>
          <w:sz w:val="22"/>
        </w:rPr>
        <w:tab/>
        <w:t>(24,64 % × 40,67 %)</w:t>
      </w:r>
    </w:p>
    <w:p w14:paraId="675E2DC0" w14:textId="77777777" w:rsidR="007A1B93" w:rsidRPr="00730B1E" w:rsidRDefault="007A1B93" w:rsidP="007A1B93">
      <w:pPr>
        <w:pStyle w:val="OdstavecASR"/>
        <w:spacing w:after="0"/>
        <w:rPr>
          <w:sz w:val="22"/>
        </w:rPr>
      </w:pPr>
      <w:r w:rsidRPr="00730B1E">
        <w:rPr>
          <w:sz w:val="22"/>
        </w:rPr>
        <w:t>2021 = 10,22 %</w:t>
      </w:r>
      <w:r w:rsidRPr="00730B1E">
        <w:rPr>
          <w:sz w:val="22"/>
        </w:rPr>
        <w:tab/>
      </w:r>
      <w:r w:rsidRPr="00730B1E">
        <w:rPr>
          <w:sz w:val="22"/>
        </w:rPr>
        <w:tab/>
        <w:t>(23,18 % × 44,07 %)</w:t>
      </w:r>
    </w:p>
    <w:p w14:paraId="230E1A3C" w14:textId="72800E52" w:rsidR="007A1B93" w:rsidRPr="00730B1E" w:rsidRDefault="007A1B93" w:rsidP="007A1B93">
      <w:pPr>
        <w:pStyle w:val="OdstavecASR"/>
        <w:spacing w:after="0"/>
        <w:rPr>
          <w:sz w:val="22"/>
        </w:rPr>
      </w:pPr>
      <w:r w:rsidRPr="00730B1E">
        <w:rPr>
          <w:sz w:val="22"/>
        </w:rPr>
        <w:t>2022 =</w:t>
      </w:r>
      <w:r w:rsidRPr="00730B1E">
        <w:rPr>
          <w:sz w:val="22"/>
        </w:rPr>
        <w:tab/>
        <w:t>8,75 %</w:t>
      </w:r>
      <w:r w:rsidRPr="00730B1E">
        <w:rPr>
          <w:sz w:val="22"/>
        </w:rPr>
        <w:tab/>
      </w:r>
      <w:r w:rsidRPr="00730B1E">
        <w:rPr>
          <w:sz w:val="22"/>
        </w:rPr>
        <w:tab/>
        <w:t>(21,94 % × 39,89 %)</w:t>
      </w:r>
    </w:p>
    <w:p w14:paraId="78AE2D8C" w14:textId="7F2814BE" w:rsidR="007A1B93" w:rsidRPr="00730B1E" w:rsidRDefault="007A1B93" w:rsidP="007A1B93">
      <w:pPr>
        <w:pStyle w:val="OdstavecASR"/>
        <w:spacing w:after="0"/>
        <w:rPr>
          <w:sz w:val="22"/>
        </w:rPr>
      </w:pPr>
      <w:r w:rsidRPr="00730B1E">
        <w:rPr>
          <w:sz w:val="22"/>
        </w:rPr>
        <w:t>202</w:t>
      </w:r>
      <w:r w:rsidR="004203DF" w:rsidRPr="00730B1E">
        <w:t>3</w:t>
      </w:r>
      <w:r w:rsidRPr="00730B1E">
        <w:rPr>
          <w:sz w:val="22"/>
        </w:rPr>
        <w:t xml:space="preserve"> =</w:t>
      </w:r>
      <w:r w:rsidRPr="00730B1E">
        <w:rPr>
          <w:sz w:val="22"/>
        </w:rPr>
        <w:tab/>
        <w:t>8,69 %</w:t>
      </w:r>
      <w:r w:rsidRPr="00730B1E">
        <w:rPr>
          <w:sz w:val="22"/>
        </w:rPr>
        <w:tab/>
      </w:r>
      <w:r w:rsidRPr="00730B1E">
        <w:rPr>
          <w:sz w:val="22"/>
        </w:rPr>
        <w:tab/>
        <w:t>(21,48 % × 40,45 %)</w:t>
      </w:r>
    </w:p>
    <w:p w14:paraId="6C4B5F89" w14:textId="77777777" w:rsidR="002373C2" w:rsidRPr="00730B1E" w:rsidRDefault="002373C2" w:rsidP="007A1B93">
      <w:pPr>
        <w:pStyle w:val="OdstavecASR"/>
        <w:sectPr w:rsidR="002373C2" w:rsidRPr="00730B1E" w:rsidSect="00084651">
          <w:type w:val="continuous"/>
          <w:pgSz w:w="11906" w:h="16838" w:code="9"/>
          <w:pgMar w:top="1418" w:right="1416" w:bottom="1418" w:left="1418" w:header="709" w:footer="709" w:gutter="0"/>
          <w:cols w:num="2" w:space="708"/>
          <w:titlePg/>
          <w:docGrid w:linePitch="360"/>
        </w:sectPr>
      </w:pPr>
    </w:p>
    <w:p w14:paraId="112EE21C" w14:textId="77777777" w:rsidR="002373C2" w:rsidRPr="00730B1E" w:rsidRDefault="002373C2" w:rsidP="007A1B93">
      <w:pPr>
        <w:pStyle w:val="OdstavecASR"/>
      </w:pPr>
    </w:p>
    <w:p w14:paraId="6F113075" w14:textId="25598447" w:rsidR="007A1B93" w:rsidRPr="00730B1E" w:rsidRDefault="007A1B93" w:rsidP="007A1B93">
      <w:pPr>
        <w:pStyle w:val="OdstavecASR"/>
      </w:pPr>
      <w:r w:rsidRPr="00730B1E">
        <w:t xml:space="preserve">Vidíme, že míra celkové změny rozsudku dlouhodobě kolísala kolem hodnoty 10 %, zatímco míra změny rozsudku okolo hodnoty 40 %. </w:t>
      </w:r>
      <w:r w:rsidR="004203DF" w:rsidRPr="00730B1E">
        <w:t xml:space="preserve">V roce 2022 došlo k výraznějšímu poklesu míry celkové změny rozsudku o přibližně 1,5 procentního bodu, a to v důsledku poklesu míry odvolání. </w:t>
      </w:r>
      <w:r w:rsidRPr="00730B1E">
        <w:t xml:space="preserve">V roce 2023 </w:t>
      </w:r>
      <w:r w:rsidR="004203DF" w:rsidRPr="00730B1E">
        <w:t>nedošlo k výraznější změně parametrů a</w:t>
      </w:r>
      <w:r w:rsidRPr="00730B1E">
        <w:t xml:space="preserve"> celková míra změny rozsudku </w:t>
      </w:r>
      <w:r w:rsidR="004203DF" w:rsidRPr="00730B1E">
        <w:t xml:space="preserve">tak zůstala </w:t>
      </w:r>
      <w:r w:rsidRPr="00730B1E">
        <w:t>prakticky stejná.</w:t>
      </w:r>
    </w:p>
    <w:p w14:paraId="017CEF58" w14:textId="77777777" w:rsidR="007A1B93" w:rsidRPr="00730B1E" w:rsidRDefault="007A1B93" w:rsidP="007A1B93">
      <w:pPr>
        <w:pStyle w:val="OdstavecASR"/>
        <w:keepNext/>
        <w:outlineLvl w:val="3"/>
        <w:rPr>
          <w:b/>
          <w:bCs/>
        </w:rPr>
      </w:pPr>
      <w:r w:rsidRPr="00730B1E">
        <w:rPr>
          <w:b/>
          <w:bCs/>
        </w:rPr>
        <w:t>Peněžité tresty</w:t>
      </w:r>
    </w:p>
    <w:p w14:paraId="51F39708" w14:textId="07C37576" w:rsidR="007A1B93" w:rsidRPr="00730B1E" w:rsidRDefault="007A1B93" w:rsidP="007A1B93">
      <w:pPr>
        <w:pStyle w:val="OdstavecASR"/>
      </w:pPr>
      <w:r w:rsidRPr="00730B1E">
        <w:t xml:space="preserve">Stejně jako v předchozích zprávách se zaměříme na ukládání peněžitých trestů. Níže uvedená data jsou získána ze statistických listů a týkají se odsouzených osob. </w:t>
      </w:r>
      <w:r w:rsidR="004203DF" w:rsidRPr="00730B1E">
        <w:t>Nejsou proto zahrnuty s</w:t>
      </w:r>
      <w:r w:rsidRPr="00730B1E">
        <w:t>ouhrnné a </w:t>
      </w:r>
      <w:r w:rsidR="00A3685C" w:rsidRPr="00730B1E">
        <w:t xml:space="preserve">společné </w:t>
      </w:r>
      <w:r w:rsidRPr="00730B1E">
        <w:t>tresty. Data se vztahují ke všem případům, kdy byl uložen peněžitý trest, tedy jak k těm, kdy byl trest uložen jako hlavní sankce, tak k případům, kdy byl trest uložen jako další sankce, například vedle trestu odnětí svobody.</w:t>
      </w:r>
    </w:p>
    <w:p w14:paraId="08F5ECC5" w14:textId="484996D3" w:rsidR="007A1B93" w:rsidRPr="00730B1E" w:rsidRDefault="007A1B93" w:rsidP="007A1B93">
      <w:pPr>
        <w:pStyle w:val="OdstavecASR"/>
      </w:pPr>
      <w:r w:rsidRPr="00730B1E">
        <w:t xml:space="preserve">Tento statistický údaj je sledován s ohledem na </w:t>
      </w:r>
      <w:r w:rsidR="004203DF" w:rsidRPr="00730B1E">
        <w:t xml:space="preserve">dlouhodobou </w:t>
      </w:r>
      <w:r w:rsidRPr="00730B1E">
        <w:t>snahu o zvýšení počtu ukládaných peněžitých trestů</w:t>
      </w:r>
      <w:r w:rsidR="004203DF" w:rsidRPr="00730B1E">
        <w:t>, která se projevila řadou legislativních i nelegislativních opatření</w:t>
      </w:r>
      <w:r w:rsidRPr="00730B1E">
        <w:t xml:space="preserve">. V počtu (a podílu na celkovém počtu odsouzených osob) uložených peněžitých trestů totiž ČR </w:t>
      </w:r>
      <w:r w:rsidR="004203DF" w:rsidRPr="00730B1E">
        <w:t xml:space="preserve">dlouhodobě </w:t>
      </w:r>
      <w:r w:rsidRPr="00730B1E">
        <w:t>výrazně zaostáv</w:t>
      </w:r>
      <w:r w:rsidR="004203DF" w:rsidRPr="00730B1E">
        <w:t>ala</w:t>
      </w:r>
      <w:r w:rsidRPr="00730B1E">
        <w:t xml:space="preserve"> za okolními státy. Zdá se tedy vhodné sledovat, zda přijatá opatření opravdu </w:t>
      </w:r>
      <w:r w:rsidRPr="00730B1E">
        <w:lastRenderedPageBreak/>
        <w:t>vedou ke zvýšení počtu uložených peněžitých trestů. Nejedná se nicméně o podrobnou analýzu, která by přesahovala plánovaný rozsah zprávy.</w:t>
      </w:r>
    </w:p>
    <w:p w14:paraId="40BF2F6A" w14:textId="62D1FE71" w:rsidR="00E62F19" w:rsidRPr="00730B1E" w:rsidRDefault="00E62F19" w:rsidP="00E62F19">
      <w:pPr>
        <w:pStyle w:val="OdstavecASR"/>
      </w:pPr>
      <w:r w:rsidRPr="00730B1E">
        <w:t xml:space="preserve">V prvním grafu je </w:t>
      </w:r>
      <w:r w:rsidR="004203DF" w:rsidRPr="00730B1E">
        <w:t>zachycena</w:t>
      </w:r>
      <w:r w:rsidRPr="00730B1E">
        <w:t xml:space="preserve"> celková částka peněžitých trestů uložených odsouzeným osobám u okresních soudů. </w:t>
      </w:r>
      <w:r w:rsidR="00424231" w:rsidRPr="00730B1E">
        <w:t>Kolem roku 2015</w:t>
      </w:r>
      <w:r w:rsidRPr="00730B1E">
        <w:t xml:space="preserve"> došlo k přijetí výše uvedených opatření a částka začala velmi rychle růst. Skokově vzrostla především mezi lety 2017 a 2018. V roce 2019 byla celková suma uložených peněžitých trestů 252 592 000 Kč, tedy téměř trojnásobek částky v roce 2015.</w:t>
      </w:r>
    </w:p>
    <w:p w14:paraId="018ABE44" w14:textId="502A0A98" w:rsidR="00E62F19" w:rsidRPr="00730B1E" w:rsidRDefault="00424231" w:rsidP="00E62F19">
      <w:pPr>
        <w:pStyle w:val="OdstavecASR"/>
      </w:pPr>
      <w:r w:rsidRPr="00730B1E">
        <w:t>Výrazný růst nadále pokračoval</w:t>
      </w:r>
      <w:r w:rsidR="004203DF" w:rsidRPr="00730B1E">
        <w:t>,</w:t>
      </w:r>
      <w:r w:rsidRPr="00730B1E">
        <w:t xml:space="preserve"> až v roce 2023 dosáhla suma peněžitých trestů částky 463 955 </w:t>
      </w:r>
      <w:r w:rsidR="00206DE1" w:rsidRPr="00730B1E">
        <w:t>000 </w:t>
      </w:r>
      <w:r w:rsidRPr="00730B1E">
        <w:t>Kč</w:t>
      </w:r>
      <w:r w:rsidR="00E62F19" w:rsidRPr="00730B1E">
        <w:t xml:space="preserve">. </w:t>
      </w:r>
      <w:bookmarkStart w:id="472" w:name="_Hlk104291512"/>
      <w:r w:rsidR="00E62F19" w:rsidRPr="00730B1E">
        <w:t xml:space="preserve">Částka peněžitých trestů uložená okresními soudy </w:t>
      </w:r>
      <w:r w:rsidR="004203DF" w:rsidRPr="00730B1E">
        <w:t xml:space="preserve">tak </w:t>
      </w:r>
      <w:r w:rsidR="00E62F19" w:rsidRPr="00730B1E">
        <w:t>oproti roku 2015 narostla téměř o </w:t>
      </w:r>
      <w:r w:rsidR="00F75BD0" w:rsidRPr="00730B1E">
        <w:t>450</w:t>
      </w:r>
      <w:r w:rsidR="00E62F19" w:rsidRPr="00730B1E">
        <w:t> %.</w:t>
      </w:r>
    </w:p>
    <w:p w14:paraId="42B1F87E" w14:textId="17BA1D7F" w:rsidR="00E62F19" w:rsidRPr="00730B1E" w:rsidRDefault="00E62F19" w:rsidP="00E62F19">
      <w:pPr>
        <w:pStyle w:val="Podnadpis"/>
        <w:rPr>
          <w:color w:val="auto"/>
        </w:rPr>
      </w:pPr>
      <w:bookmarkStart w:id="473" w:name="_Toc43841413"/>
      <w:bookmarkStart w:id="474" w:name="_Toc75952215"/>
      <w:bookmarkStart w:id="475" w:name="_Toc106106667"/>
      <w:bookmarkStart w:id="476" w:name="_Toc144104143"/>
      <w:bookmarkStart w:id="477" w:name="_Toc169250951"/>
      <w:bookmarkStart w:id="478" w:name="_Toc174080637"/>
      <w:bookmarkStart w:id="479" w:name="_Hlk129594512"/>
      <w:bookmarkEnd w:id="47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32</w:t>
      </w:r>
      <w:r w:rsidRPr="00730B1E">
        <w:rPr>
          <w:color w:val="auto"/>
        </w:rPr>
        <w:fldChar w:fldCharType="end"/>
      </w:r>
      <w:r w:rsidRPr="00730B1E">
        <w:rPr>
          <w:color w:val="auto"/>
        </w:rPr>
        <w:t>: OS – suma uložených peněžitých trestů</w:t>
      </w:r>
      <w:bookmarkEnd w:id="473"/>
      <w:bookmarkEnd w:id="474"/>
      <w:bookmarkEnd w:id="475"/>
      <w:bookmarkEnd w:id="476"/>
      <w:bookmarkEnd w:id="477"/>
      <w:bookmarkEnd w:id="478"/>
    </w:p>
    <w:bookmarkEnd w:id="479"/>
    <w:p w14:paraId="5A531E8F" w14:textId="3F3D7DBD" w:rsidR="00EE26E0" w:rsidRPr="00730B1E" w:rsidRDefault="00EE26E0" w:rsidP="00084651">
      <w:pPr>
        <w:pStyle w:val="OdstavecASR"/>
        <w:keepNext/>
        <w:rPr>
          <w:b/>
        </w:rPr>
      </w:pPr>
      <w:r w:rsidRPr="00730B1E">
        <w:rPr>
          <w:b/>
          <w:bCs/>
          <w:noProof/>
          <w:lang w:eastAsia="cs-CZ"/>
        </w:rPr>
        <w:drawing>
          <wp:inline distT="0" distB="0" distL="0" distR="0" wp14:anchorId="71F9D6B5" wp14:editId="542CA282">
            <wp:extent cx="5029200" cy="3657600"/>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A730278" w14:textId="6DD8B790" w:rsidR="00F75BD0" w:rsidRPr="00730B1E" w:rsidRDefault="00F75BD0" w:rsidP="00F75BD0">
      <w:pPr>
        <w:pStyle w:val="OdstavecASR"/>
      </w:pPr>
      <w:r w:rsidRPr="00730B1E">
        <w:t>Při pohledu na další časovou řadu lze nejprve konstatovat, že v letech 2012 až 2019 byla průměrná výše peněžitých trestů v nominálních hodnotách stále přibližně stejná a výrazně se neměnila. Téměř celý růst v celkové částce uložených trestů byl způsoben nárůstem počtu uložených peněžitých trestů. V roce 2020 ale narostla průměrná výše uložených trestů na 31 000 Kč, tedy o více než 5 000 Kč (o 20 %).</w:t>
      </w:r>
      <w:r w:rsidR="004203DF" w:rsidRPr="00730B1E">
        <w:t xml:space="preserve"> </w:t>
      </w:r>
      <w:r w:rsidRPr="00730B1E">
        <w:t>V roce 2021 došlo k dalšímu nárůstu průměrné výše uložených peněžitých trestů i jejich počtu</w:t>
      </w:r>
      <w:r w:rsidR="00D62418" w:rsidRPr="00730B1E">
        <w:t>; v roce 2022 došlo k dalšímu výraznému nárůstu počtu uložených trestů, ale jejich průměrná částka se mírně snížila</w:t>
      </w:r>
      <w:r w:rsidRPr="00730B1E">
        <w:t xml:space="preserve">. V roce 2023 </w:t>
      </w:r>
      <w:r w:rsidR="00D62418" w:rsidRPr="00730B1E">
        <w:t>pak opět došlo k citelnému</w:t>
      </w:r>
      <w:r w:rsidRPr="00730B1E">
        <w:t xml:space="preserve"> nárůst</w:t>
      </w:r>
      <w:r w:rsidR="00D62418" w:rsidRPr="00730B1E">
        <w:t>u</w:t>
      </w:r>
      <w:r w:rsidRPr="00730B1E">
        <w:t xml:space="preserve"> průměrné část</w:t>
      </w:r>
      <w:r w:rsidR="00D62418" w:rsidRPr="00730B1E">
        <w:t>ky</w:t>
      </w:r>
      <w:r w:rsidRPr="00730B1E">
        <w:t xml:space="preserve"> uložených trestů i </w:t>
      </w:r>
      <w:r w:rsidR="00D62418" w:rsidRPr="00730B1E">
        <w:t xml:space="preserve">mírnějšímu růstu jejich </w:t>
      </w:r>
      <w:r w:rsidRPr="00730B1E">
        <w:t xml:space="preserve">počtu. </w:t>
      </w:r>
      <w:r w:rsidR="00D62418" w:rsidRPr="00730B1E">
        <w:t>Zajímavou otázkou v této souvislosti je</w:t>
      </w:r>
      <w:r w:rsidRPr="00730B1E">
        <w:t xml:space="preserve">, zda soudy v roce 2023 </w:t>
      </w:r>
      <w:r w:rsidR="00D62418" w:rsidRPr="00730B1E">
        <w:t xml:space="preserve">při ukládání trestů </w:t>
      </w:r>
      <w:r w:rsidRPr="00730B1E">
        <w:t>zohlednily výraznou inflaci.</w:t>
      </w:r>
      <w:r w:rsidR="00A3685C" w:rsidRPr="00730B1E">
        <w:t xml:space="preserve"> Vývoj průměrné výše peněžitého trestu v roce 2023 tomu spíše nenasvědčuje.</w:t>
      </w:r>
    </w:p>
    <w:p w14:paraId="79327BB9" w14:textId="0DC16179" w:rsidR="00F75BD0" w:rsidRPr="00730B1E" w:rsidRDefault="00F75BD0" w:rsidP="00F75BD0">
      <w:pPr>
        <w:pStyle w:val="OdstavecASR"/>
      </w:pPr>
      <w:r w:rsidRPr="00730B1E">
        <w:t xml:space="preserve">Zajímavé jsou rovněž nejčastěji ukládané částky peněžitých trestů. Soudy celkem pochopitelně ukládají velmi často „kulaté“ částky. Tresty ve výši </w:t>
      </w:r>
      <w:r w:rsidR="00095B0F" w:rsidRPr="00730B1E">
        <w:t xml:space="preserve">40 000 Kč, </w:t>
      </w:r>
      <w:r w:rsidRPr="00730B1E">
        <w:t>30 000 Kč, 20 000 Kč, 25 000 Kč, 15 000 Kč a 10 000 Kč tvořily dohromady více než polovinu uložených trestů.</w:t>
      </w:r>
    </w:p>
    <w:p w14:paraId="20C16903" w14:textId="4B392672" w:rsidR="00F75BD0" w:rsidRPr="00730B1E" w:rsidRDefault="00F75BD0" w:rsidP="00F75BD0">
      <w:pPr>
        <w:pStyle w:val="Podnadpis"/>
        <w:rPr>
          <w:color w:val="auto"/>
        </w:rPr>
      </w:pPr>
      <w:bookmarkStart w:id="480" w:name="_Toc106106668"/>
      <w:bookmarkStart w:id="481" w:name="_Toc144104144"/>
      <w:bookmarkStart w:id="482" w:name="_Toc169250952"/>
      <w:bookmarkStart w:id="483" w:name="_Toc174080638"/>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33</w:t>
      </w:r>
      <w:r w:rsidRPr="00730B1E">
        <w:rPr>
          <w:color w:val="auto"/>
        </w:rPr>
        <w:fldChar w:fldCharType="end"/>
      </w:r>
      <w:r w:rsidRPr="00730B1E">
        <w:rPr>
          <w:color w:val="auto"/>
        </w:rPr>
        <w:t xml:space="preserve">: OS </w:t>
      </w:r>
      <w:bookmarkStart w:id="484" w:name="_Hlk129594852"/>
      <w:r w:rsidRPr="00730B1E">
        <w:rPr>
          <w:color w:val="auto"/>
        </w:rPr>
        <w:t>– počet a průměrná výše uložených peněžitých trestů</w:t>
      </w:r>
      <w:bookmarkEnd w:id="480"/>
      <w:bookmarkEnd w:id="481"/>
      <w:bookmarkEnd w:id="482"/>
      <w:bookmarkEnd w:id="484"/>
      <w:bookmarkEnd w:id="483"/>
    </w:p>
    <w:p w14:paraId="438A635B" w14:textId="77777777" w:rsidR="00095B0F" w:rsidRPr="00730B1E" w:rsidRDefault="00F75BD0">
      <w:pPr>
        <w:spacing w:after="160" w:line="259" w:lineRule="auto"/>
        <w:jc w:val="left"/>
        <w:rPr>
          <w:b/>
          <w:bCs/>
        </w:rPr>
      </w:pPr>
      <w:r w:rsidRPr="00730B1E">
        <w:rPr>
          <w:b/>
          <w:bCs/>
          <w:noProof/>
          <w:lang w:eastAsia="cs-CZ"/>
        </w:rPr>
        <w:drawing>
          <wp:inline distT="0" distB="0" distL="0" distR="0" wp14:anchorId="282A49DE" wp14:editId="6DD2BC37">
            <wp:extent cx="5029200" cy="3657600"/>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79A14B" w14:textId="77777777" w:rsidR="00095B0F" w:rsidRPr="00730B1E" w:rsidRDefault="00095B0F">
      <w:pPr>
        <w:spacing w:after="160" w:line="259" w:lineRule="auto"/>
        <w:jc w:val="left"/>
        <w:rPr>
          <w:b/>
          <w:bCs/>
        </w:rPr>
      </w:pPr>
    </w:p>
    <w:p w14:paraId="052DC0E5" w14:textId="5B75EADD" w:rsidR="00095B0F" w:rsidRPr="00730B1E" w:rsidRDefault="00095B0F" w:rsidP="00095B0F">
      <w:pPr>
        <w:pStyle w:val="OdstavecASR"/>
      </w:pPr>
      <w:r w:rsidRPr="00730B1E">
        <w:t xml:space="preserve">Výše uvedené údaje se týkají pouze ukládání peněžitých trestů. Druhou stranou mince je otázka, zda je peněžitý trest splněn, nebo zda v důsledku jeho neplnění (tedy neplacení, byť jen zčásti) musí soud rozhodnout o tzv. přeměně na trest jiný. V následující tabulce se tedy ještě krátce </w:t>
      </w:r>
      <w:r w:rsidR="00B71D7F" w:rsidRPr="00730B1E">
        <w:t>zaměříme</w:t>
      </w:r>
      <w:r w:rsidRPr="00730B1E">
        <w:t xml:space="preserve"> na pravomocné přeměny peněžitých trestů v jiný trest.</w:t>
      </w:r>
    </w:p>
    <w:p w14:paraId="474DD467" w14:textId="77777777" w:rsidR="00095B0F" w:rsidRPr="00730B1E" w:rsidRDefault="00095B0F" w:rsidP="00095B0F">
      <w:pPr>
        <w:pStyle w:val="OdstavecASR"/>
      </w:pPr>
      <w:r w:rsidRPr="00730B1E">
        <w:t>V této souvislosti uvádíme, že od roku 2013 novelou provedenou zákonem č. 390/2012 Sb. přibyly k běžnému nařízení výkonu náhradního trestu odnětí svobody</w:t>
      </w:r>
      <w:r w:rsidRPr="00730B1E">
        <w:rPr>
          <w:rStyle w:val="Znakapoznpodarou"/>
        </w:rPr>
        <w:footnoteReference w:id="8"/>
      </w:r>
      <w:r w:rsidRPr="00730B1E">
        <w:t xml:space="preserve"> (NEPO) další dvě alternativní přeměny, a to v trest domácího vězení (DV) nebo v trest obecně prospěšných prací (OPP). V roce 2020 došlo v této oblasti opět k úpravě, a to novelou provedenou zákonem č. 333/2020 Sb., která zrušila při ukládání peněžitého trestu povinnost stanovit náhradní trest odnětí svobody a naproti tomu zavedla pevný přepočet nevykonaných peněžitých trestů nebo jejich zbytků v trest odnětí svobody. Tato novela nabyla účinnosti 1. října 2020.</w:t>
      </w:r>
    </w:p>
    <w:p w14:paraId="54712C21" w14:textId="77777777" w:rsidR="00AB42B2" w:rsidRPr="00730B1E" w:rsidRDefault="00AB42B2">
      <w:pPr>
        <w:spacing w:after="160" w:line="259" w:lineRule="auto"/>
        <w:jc w:val="left"/>
        <w:rPr>
          <w:b/>
          <w:bCs/>
        </w:rPr>
      </w:pPr>
      <w:r w:rsidRPr="00730B1E">
        <w:rPr>
          <w:b/>
          <w:bCs/>
        </w:rPr>
        <w:br w:type="page"/>
      </w:r>
    </w:p>
    <w:p w14:paraId="14B6DE62" w14:textId="06D7CBC2" w:rsidR="00AB42B2" w:rsidRPr="00730B1E" w:rsidRDefault="00AB42B2" w:rsidP="00AB42B2">
      <w:pPr>
        <w:pStyle w:val="Podnadpis"/>
        <w:rPr>
          <w:color w:val="auto"/>
        </w:rPr>
      </w:pPr>
      <w:bookmarkStart w:id="485" w:name="_Toc75952331"/>
      <w:bookmarkStart w:id="486" w:name="_Toc106106788"/>
      <w:bookmarkStart w:id="487" w:name="_Toc109802111"/>
      <w:bookmarkStart w:id="488" w:name="_Toc169251082"/>
      <w:bookmarkStart w:id="489" w:name="_Toc174080768"/>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25</w:t>
      </w:r>
      <w:r w:rsidRPr="00730B1E">
        <w:rPr>
          <w:color w:val="auto"/>
        </w:rPr>
        <w:fldChar w:fldCharType="end"/>
      </w:r>
      <w:r w:rsidRPr="00730B1E">
        <w:rPr>
          <w:color w:val="auto"/>
        </w:rPr>
        <w:t>: OS – pravomocné přeměny peněžitého trestu v jiný trest</w:t>
      </w:r>
      <w:bookmarkEnd w:id="485"/>
      <w:bookmarkEnd w:id="486"/>
      <w:bookmarkEnd w:id="487"/>
      <w:bookmarkEnd w:id="488"/>
      <w:bookmarkEnd w:id="489"/>
    </w:p>
    <w:tbl>
      <w:tblPr>
        <w:tblW w:w="5400" w:type="dxa"/>
        <w:tblCellMar>
          <w:left w:w="70" w:type="dxa"/>
          <w:right w:w="70" w:type="dxa"/>
        </w:tblCellMar>
        <w:tblLook w:val="04A0" w:firstRow="1" w:lastRow="0" w:firstColumn="1" w:lastColumn="0" w:noHBand="0" w:noVBand="1"/>
      </w:tblPr>
      <w:tblGrid>
        <w:gridCol w:w="1080"/>
        <w:gridCol w:w="1309"/>
        <w:gridCol w:w="668"/>
        <w:gridCol w:w="912"/>
        <w:gridCol w:w="1431"/>
      </w:tblGrid>
      <w:tr w:rsidR="00B64E96" w:rsidRPr="00730B1E" w14:paraId="600287BD" w14:textId="77777777" w:rsidTr="00AB42B2">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14:paraId="7C9BAA3F" w14:textId="77777777" w:rsidR="00AB42B2" w:rsidRPr="00730B1E" w:rsidRDefault="00AB42B2" w:rsidP="00AB42B2">
            <w:pPr>
              <w:spacing w:line="240" w:lineRule="auto"/>
              <w:jc w:val="center"/>
              <w:rPr>
                <w:rFonts w:eastAsia="Times New Roman"/>
                <w:b/>
                <w:bCs/>
                <w:szCs w:val="24"/>
                <w:lang w:eastAsia="cs-CZ"/>
              </w:rPr>
            </w:pPr>
            <w:r w:rsidRPr="00730B1E">
              <w:rPr>
                <w:rFonts w:eastAsia="Times New Roman"/>
                <w:b/>
                <w:bCs/>
                <w:szCs w:val="24"/>
                <w:lang w:eastAsia="cs-CZ"/>
              </w:rPr>
              <w:t>Rok</w:t>
            </w:r>
          </w:p>
        </w:tc>
        <w:tc>
          <w:tcPr>
            <w:tcW w:w="4320" w:type="dxa"/>
            <w:gridSpan w:val="4"/>
            <w:tcBorders>
              <w:top w:val="double" w:sz="6" w:space="0" w:color="auto"/>
              <w:left w:val="nil"/>
              <w:bottom w:val="nil"/>
              <w:right w:val="nil"/>
            </w:tcBorders>
            <w:shd w:val="clear" w:color="auto" w:fill="auto"/>
            <w:noWrap/>
            <w:vAlign w:val="center"/>
            <w:hideMark/>
          </w:tcPr>
          <w:p w14:paraId="7ADF3509" w14:textId="77777777" w:rsidR="00AB42B2" w:rsidRPr="00730B1E" w:rsidRDefault="00AB42B2" w:rsidP="00AB42B2">
            <w:pPr>
              <w:spacing w:line="240" w:lineRule="auto"/>
              <w:jc w:val="center"/>
              <w:rPr>
                <w:rFonts w:eastAsia="Times New Roman"/>
                <w:b/>
                <w:bCs/>
                <w:szCs w:val="24"/>
                <w:lang w:eastAsia="cs-CZ"/>
              </w:rPr>
            </w:pPr>
            <w:r w:rsidRPr="00730B1E">
              <w:rPr>
                <w:rFonts w:eastAsia="Times New Roman"/>
                <w:b/>
                <w:bCs/>
                <w:szCs w:val="24"/>
                <w:lang w:eastAsia="cs-CZ"/>
              </w:rPr>
              <w:t>Pravomocná přeměna v</w:t>
            </w:r>
          </w:p>
        </w:tc>
      </w:tr>
      <w:tr w:rsidR="00B64E96" w:rsidRPr="00730B1E" w14:paraId="6C9BCA2B" w14:textId="77777777" w:rsidTr="00AB42B2">
        <w:trPr>
          <w:trHeight w:val="330"/>
        </w:trPr>
        <w:tc>
          <w:tcPr>
            <w:tcW w:w="1080" w:type="dxa"/>
            <w:vMerge/>
            <w:tcBorders>
              <w:top w:val="double" w:sz="6" w:space="0" w:color="auto"/>
              <w:left w:val="nil"/>
              <w:bottom w:val="double" w:sz="6" w:space="0" w:color="000000"/>
              <w:right w:val="nil"/>
            </w:tcBorders>
            <w:vAlign w:val="center"/>
            <w:hideMark/>
          </w:tcPr>
          <w:p w14:paraId="5C1E4609" w14:textId="77777777" w:rsidR="00AB42B2" w:rsidRPr="00730B1E" w:rsidRDefault="00AB42B2" w:rsidP="00AB42B2">
            <w:pPr>
              <w:spacing w:line="240" w:lineRule="auto"/>
              <w:jc w:val="left"/>
              <w:rPr>
                <w:rFonts w:eastAsia="Times New Roman"/>
                <w:b/>
                <w:bCs/>
                <w:szCs w:val="24"/>
                <w:lang w:eastAsia="cs-CZ"/>
              </w:rPr>
            </w:pPr>
          </w:p>
        </w:tc>
        <w:tc>
          <w:tcPr>
            <w:tcW w:w="1309" w:type="dxa"/>
            <w:tcBorders>
              <w:top w:val="nil"/>
              <w:left w:val="nil"/>
              <w:bottom w:val="double" w:sz="6" w:space="0" w:color="auto"/>
              <w:right w:val="nil"/>
            </w:tcBorders>
            <w:shd w:val="clear" w:color="auto" w:fill="auto"/>
            <w:noWrap/>
            <w:vAlign w:val="center"/>
            <w:hideMark/>
          </w:tcPr>
          <w:p w14:paraId="1071A216" w14:textId="77777777" w:rsidR="00AB42B2" w:rsidRPr="00730B1E" w:rsidRDefault="00AB42B2" w:rsidP="00AB42B2">
            <w:pPr>
              <w:spacing w:line="240" w:lineRule="auto"/>
              <w:jc w:val="center"/>
              <w:rPr>
                <w:rFonts w:eastAsia="Times New Roman"/>
                <w:b/>
                <w:bCs/>
                <w:szCs w:val="24"/>
                <w:lang w:eastAsia="cs-CZ"/>
              </w:rPr>
            </w:pPr>
            <w:r w:rsidRPr="00730B1E">
              <w:rPr>
                <w:rFonts w:eastAsia="Times New Roman"/>
                <w:b/>
                <w:bCs/>
                <w:szCs w:val="24"/>
                <w:lang w:eastAsia="cs-CZ"/>
              </w:rPr>
              <w:t>NEPO</w:t>
            </w:r>
          </w:p>
        </w:tc>
        <w:tc>
          <w:tcPr>
            <w:tcW w:w="668" w:type="dxa"/>
            <w:tcBorders>
              <w:top w:val="nil"/>
              <w:left w:val="nil"/>
              <w:bottom w:val="double" w:sz="6" w:space="0" w:color="auto"/>
              <w:right w:val="nil"/>
            </w:tcBorders>
            <w:shd w:val="clear" w:color="auto" w:fill="auto"/>
            <w:noWrap/>
            <w:vAlign w:val="center"/>
            <w:hideMark/>
          </w:tcPr>
          <w:p w14:paraId="7263DF29" w14:textId="77777777" w:rsidR="00AB42B2" w:rsidRPr="00730B1E" w:rsidRDefault="00AB42B2" w:rsidP="00AB42B2">
            <w:pPr>
              <w:spacing w:line="240" w:lineRule="auto"/>
              <w:jc w:val="center"/>
              <w:rPr>
                <w:rFonts w:eastAsia="Times New Roman"/>
                <w:b/>
                <w:bCs/>
                <w:szCs w:val="24"/>
                <w:lang w:eastAsia="cs-CZ"/>
              </w:rPr>
            </w:pPr>
            <w:r w:rsidRPr="00730B1E">
              <w:rPr>
                <w:rFonts w:eastAsia="Times New Roman"/>
                <w:b/>
                <w:bCs/>
                <w:szCs w:val="24"/>
                <w:lang w:eastAsia="cs-CZ"/>
              </w:rPr>
              <w:t>DV</w:t>
            </w:r>
          </w:p>
        </w:tc>
        <w:tc>
          <w:tcPr>
            <w:tcW w:w="912" w:type="dxa"/>
            <w:tcBorders>
              <w:top w:val="nil"/>
              <w:left w:val="nil"/>
              <w:bottom w:val="double" w:sz="6" w:space="0" w:color="auto"/>
              <w:right w:val="nil"/>
            </w:tcBorders>
            <w:shd w:val="clear" w:color="auto" w:fill="auto"/>
            <w:noWrap/>
            <w:vAlign w:val="center"/>
            <w:hideMark/>
          </w:tcPr>
          <w:p w14:paraId="7C75186F" w14:textId="77777777" w:rsidR="00AB42B2" w:rsidRPr="00730B1E" w:rsidRDefault="00AB42B2" w:rsidP="00AB42B2">
            <w:pPr>
              <w:spacing w:line="240" w:lineRule="auto"/>
              <w:jc w:val="center"/>
              <w:rPr>
                <w:rFonts w:eastAsia="Times New Roman"/>
                <w:b/>
                <w:bCs/>
                <w:szCs w:val="24"/>
                <w:lang w:eastAsia="cs-CZ"/>
              </w:rPr>
            </w:pPr>
            <w:r w:rsidRPr="00730B1E">
              <w:rPr>
                <w:rFonts w:eastAsia="Times New Roman"/>
                <w:b/>
                <w:bCs/>
                <w:szCs w:val="24"/>
                <w:lang w:eastAsia="cs-CZ"/>
              </w:rPr>
              <w:t>OPP</w:t>
            </w:r>
          </w:p>
        </w:tc>
        <w:tc>
          <w:tcPr>
            <w:tcW w:w="1431" w:type="dxa"/>
            <w:tcBorders>
              <w:top w:val="nil"/>
              <w:left w:val="nil"/>
              <w:bottom w:val="double" w:sz="6" w:space="0" w:color="auto"/>
              <w:right w:val="nil"/>
            </w:tcBorders>
            <w:shd w:val="clear" w:color="auto" w:fill="auto"/>
            <w:noWrap/>
            <w:vAlign w:val="center"/>
            <w:hideMark/>
          </w:tcPr>
          <w:p w14:paraId="333753EF" w14:textId="77777777" w:rsidR="00AB42B2" w:rsidRPr="00730B1E" w:rsidRDefault="00AB42B2" w:rsidP="00AB42B2">
            <w:pPr>
              <w:spacing w:line="240" w:lineRule="auto"/>
              <w:jc w:val="center"/>
              <w:rPr>
                <w:rFonts w:eastAsia="Times New Roman"/>
                <w:b/>
                <w:bCs/>
                <w:szCs w:val="24"/>
                <w:lang w:eastAsia="cs-CZ"/>
              </w:rPr>
            </w:pPr>
            <w:r w:rsidRPr="00730B1E">
              <w:rPr>
                <w:rFonts w:eastAsia="Times New Roman"/>
                <w:b/>
                <w:bCs/>
                <w:szCs w:val="24"/>
                <w:lang w:eastAsia="cs-CZ"/>
              </w:rPr>
              <w:t>Celkem</w:t>
            </w:r>
          </w:p>
        </w:tc>
      </w:tr>
      <w:tr w:rsidR="00B64E96" w:rsidRPr="00730B1E" w14:paraId="3FDD4124" w14:textId="77777777" w:rsidTr="00AB42B2">
        <w:trPr>
          <w:trHeight w:val="330"/>
        </w:trPr>
        <w:tc>
          <w:tcPr>
            <w:tcW w:w="1080" w:type="dxa"/>
            <w:tcBorders>
              <w:top w:val="nil"/>
              <w:left w:val="nil"/>
              <w:bottom w:val="single" w:sz="4" w:space="0" w:color="auto"/>
              <w:right w:val="nil"/>
            </w:tcBorders>
            <w:shd w:val="clear" w:color="auto" w:fill="auto"/>
            <w:noWrap/>
            <w:vAlign w:val="center"/>
            <w:hideMark/>
          </w:tcPr>
          <w:p w14:paraId="2FA7C55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2008</w:t>
            </w:r>
          </w:p>
        </w:tc>
        <w:tc>
          <w:tcPr>
            <w:tcW w:w="1309" w:type="dxa"/>
            <w:tcBorders>
              <w:top w:val="nil"/>
              <w:left w:val="nil"/>
              <w:bottom w:val="single" w:sz="4" w:space="0" w:color="auto"/>
              <w:right w:val="nil"/>
            </w:tcBorders>
            <w:shd w:val="clear" w:color="auto" w:fill="auto"/>
            <w:noWrap/>
            <w:vAlign w:val="center"/>
            <w:hideMark/>
          </w:tcPr>
          <w:p w14:paraId="524B506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697</w:t>
            </w:r>
          </w:p>
        </w:tc>
        <w:tc>
          <w:tcPr>
            <w:tcW w:w="668" w:type="dxa"/>
            <w:tcBorders>
              <w:top w:val="nil"/>
              <w:left w:val="nil"/>
              <w:bottom w:val="single" w:sz="4" w:space="0" w:color="auto"/>
              <w:right w:val="nil"/>
            </w:tcBorders>
            <w:shd w:val="clear" w:color="auto" w:fill="auto"/>
            <w:noWrap/>
            <w:vAlign w:val="center"/>
            <w:hideMark/>
          </w:tcPr>
          <w:p w14:paraId="2E598F63"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3CDE935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41C86526"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697</w:t>
            </w:r>
          </w:p>
        </w:tc>
      </w:tr>
      <w:tr w:rsidR="00B64E96" w:rsidRPr="00730B1E" w14:paraId="004A0DA1"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2618CFDB"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2009</w:t>
            </w:r>
          </w:p>
        </w:tc>
        <w:tc>
          <w:tcPr>
            <w:tcW w:w="1309" w:type="dxa"/>
            <w:tcBorders>
              <w:top w:val="nil"/>
              <w:left w:val="nil"/>
              <w:bottom w:val="single" w:sz="4" w:space="0" w:color="auto"/>
              <w:right w:val="nil"/>
            </w:tcBorders>
            <w:shd w:val="clear" w:color="auto" w:fill="auto"/>
            <w:noWrap/>
            <w:vAlign w:val="center"/>
            <w:hideMark/>
          </w:tcPr>
          <w:p w14:paraId="20EACCDE"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903</w:t>
            </w:r>
          </w:p>
        </w:tc>
        <w:tc>
          <w:tcPr>
            <w:tcW w:w="668" w:type="dxa"/>
            <w:tcBorders>
              <w:top w:val="nil"/>
              <w:left w:val="nil"/>
              <w:bottom w:val="single" w:sz="4" w:space="0" w:color="auto"/>
              <w:right w:val="nil"/>
            </w:tcBorders>
            <w:shd w:val="clear" w:color="auto" w:fill="auto"/>
            <w:noWrap/>
            <w:vAlign w:val="center"/>
            <w:hideMark/>
          </w:tcPr>
          <w:p w14:paraId="6AC21EF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342BAE8C"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0AD3F426"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903</w:t>
            </w:r>
          </w:p>
        </w:tc>
      </w:tr>
      <w:tr w:rsidR="00B64E96" w:rsidRPr="00730B1E" w14:paraId="68F30009"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33F99954"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2010</w:t>
            </w:r>
          </w:p>
        </w:tc>
        <w:tc>
          <w:tcPr>
            <w:tcW w:w="1309" w:type="dxa"/>
            <w:tcBorders>
              <w:top w:val="nil"/>
              <w:left w:val="nil"/>
              <w:bottom w:val="single" w:sz="4" w:space="0" w:color="auto"/>
              <w:right w:val="nil"/>
            </w:tcBorders>
            <w:shd w:val="clear" w:color="auto" w:fill="auto"/>
            <w:noWrap/>
            <w:vAlign w:val="center"/>
            <w:hideMark/>
          </w:tcPr>
          <w:p w14:paraId="097BFC12"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317</w:t>
            </w:r>
          </w:p>
        </w:tc>
        <w:tc>
          <w:tcPr>
            <w:tcW w:w="668" w:type="dxa"/>
            <w:tcBorders>
              <w:top w:val="nil"/>
              <w:left w:val="nil"/>
              <w:bottom w:val="single" w:sz="4" w:space="0" w:color="auto"/>
              <w:right w:val="nil"/>
            </w:tcBorders>
            <w:shd w:val="clear" w:color="auto" w:fill="auto"/>
            <w:noWrap/>
            <w:vAlign w:val="center"/>
            <w:hideMark/>
          </w:tcPr>
          <w:p w14:paraId="7481E426"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361A8D0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33A20051"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317</w:t>
            </w:r>
          </w:p>
        </w:tc>
      </w:tr>
      <w:tr w:rsidR="00B64E96" w:rsidRPr="00730B1E" w14:paraId="67A8C999"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4D554697"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2011</w:t>
            </w:r>
          </w:p>
        </w:tc>
        <w:tc>
          <w:tcPr>
            <w:tcW w:w="1309" w:type="dxa"/>
            <w:tcBorders>
              <w:top w:val="nil"/>
              <w:left w:val="nil"/>
              <w:bottom w:val="single" w:sz="4" w:space="0" w:color="auto"/>
              <w:right w:val="nil"/>
            </w:tcBorders>
            <w:shd w:val="clear" w:color="auto" w:fill="auto"/>
            <w:noWrap/>
            <w:vAlign w:val="center"/>
            <w:hideMark/>
          </w:tcPr>
          <w:p w14:paraId="5B81E93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166</w:t>
            </w:r>
          </w:p>
        </w:tc>
        <w:tc>
          <w:tcPr>
            <w:tcW w:w="668" w:type="dxa"/>
            <w:tcBorders>
              <w:top w:val="nil"/>
              <w:left w:val="nil"/>
              <w:bottom w:val="single" w:sz="4" w:space="0" w:color="auto"/>
              <w:right w:val="nil"/>
            </w:tcBorders>
            <w:shd w:val="clear" w:color="auto" w:fill="auto"/>
            <w:noWrap/>
            <w:vAlign w:val="center"/>
            <w:hideMark/>
          </w:tcPr>
          <w:p w14:paraId="21DCE56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325A8FDE"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574E087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166</w:t>
            </w:r>
          </w:p>
        </w:tc>
      </w:tr>
      <w:tr w:rsidR="00B64E96" w:rsidRPr="00730B1E" w14:paraId="2EE420E4"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514AEE23"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2012</w:t>
            </w:r>
          </w:p>
        </w:tc>
        <w:tc>
          <w:tcPr>
            <w:tcW w:w="1309" w:type="dxa"/>
            <w:tcBorders>
              <w:top w:val="nil"/>
              <w:left w:val="nil"/>
              <w:bottom w:val="single" w:sz="4" w:space="0" w:color="auto"/>
              <w:right w:val="nil"/>
            </w:tcBorders>
            <w:shd w:val="clear" w:color="auto" w:fill="auto"/>
            <w:noWrap/>
            <w:vAlign w:val="center"/>
            <w:hideMark/>
          </w:tcPr>
          <w:p w14:paraId="429EA2B6"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111</w:t>
            </w:r>
          </w:p>
        </w:tc>
        <w:tc>
          <w:tcPr>
            <w:tcW w:w="668" w:type="dxa"/>
            <w:tcBorders>
              <w:top w:val="nil"/>
              <w:left w:val="nil"/>
              <w:bottom w:val="single" w:sz="4" w:space="0" w:color="auto"/>
              <w:right w:val="nil"/>
            </w:tcBorders>
            <w:shd w:val="clear" w:color="auto" w:fill="auto"/>
            <w:noWrap/>
            <w:vAlign w:val="center"/>
            <w:hideMark/>
          </w:tcPr>
          <w:p w14:paraId="5AD4EC7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912" w:type="dxa"/>
            <w:tcBorders>
              <w:top w:val="nil"/>
              <w:left w:val="nil"/>
              <w:bottom w:val="single" w:sz="4" w:space="0" w:color="auto"/>
              <w:right w:val="nil"/>
            </w:tcBorders>
            <w:shd w:val="clear" w:color="auto" w:fill="auto"/>
            <w:noWrap/>
            <w:vAlign w:val="center"/>
            <w:hideMark/>
          </w:tcPr>
          <w:p w14:paraId="358094F5"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w:t>
            </w:r>
          </w:p>
        </w:tc>
        <w:tc>
          <w:tcPr>
            <w:tcW w:w="1431" w:type="dxa"/>
            <w:tcBorders>
              <w:top w:val="nil"/>
              <w:left w:val="nil"/>
              <w:bottom w:val="single" w:sz="4" w:space="0" w:color="auto"/>
              <w:right w:val="nil"/>
            </w:tcBorders>
            <w:shd w:val="clear" w:color="auto" w:fill="auto"/>
            <w:noWrap/>
            <w:vAlign w:val="center"/>
            <w:hideMark/>
          </w:tcPr>
          <w:p w14:paraId="20DF3AEC"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111</w:t>
            </w:r>
          </w:p>
        </w:tc>
      </w:tr>
      <w:tr w:rsidR="00B64E96" w:rsidRPr="00730B1E" w14:paraId="27799210"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00CE844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2013</w:t>
            </w:r>
          </w:p>
        </w:tc>
        <w:tc>
          <w:tcPr>
            <w:tcW w:w="1309" w:type="dxa"/>
            <w:tcBorders>
              <w:top w:val="nil"/>
              <w:left w:val="nil"/>
              <w:bottom w:val="single" w:sz="4" w:space="0" w:color="auto"/>
              <w:right w:val="nil"/>
            </w:tcBorders>
            <w:shd w:val="clear" w:color="auto" w:fill="auto"/>
            <w:noWrap/>
            <w:vAlign w:val="center"/>
            <w:hideMark/>
          </w:tcPr>
          <w:p w14:paraId="0DB63DAA"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77</w:t>
            </w:r>
          </w:p>
        </w:tc>
        <w:tc>
          <w:tcPr>
            <w:tcW w:w="668" w:type="dxa"/>
            <w:tcBorders>
              <w:top w:val="nil"/>
              <w:left w:val="nil"/>
              <w:bottom w:val="single" w:sz="4" w:space="0" w:color="auto"/>
              <w:right w:val="nil"/>
            </w:tcBorders>
            <w:shd w:val="clear" w:color="auto" w:fill="auto"/>
            <w:noWrap/>
            <w:vAlign w:val="center"/>
            <w:hideMark/>
          </w:tcPr>
          <w:p w14:paraId="2368655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5</w:t>
            </w:r>
          </w:p>
        </w:tc>
        <w:tc>
          <w:tcPr>
            <w:tcW w:w="912" w:type="dxa"/>
            <w:tcBorders>
              <w:top w:val="nil"/>
              <w:left w:val="nil"/>
              <w:bottom w:val="single" w:sz="4" w:space="0" w:color="auto"/>
              <w:right w:val="nil"/>
            </w:tcBorders>
            <w:shd w:val="clear" w:color="auto" w:fill="auto"/>
            <w:noWrap/>
            <w:vAlign w:val="center"/>
            <w:hideMark/>
          </w:tcPr>
          <w:p w14:paraId="7705BED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83</w:t>
            </w:r>
          </w:p>
        </w:tc>
        <w:tc>
          <w:tcPr>
            <w:tcW w:w="1431" w:type="dxa"/>
            <w:tcBorders>
              <w:top w:val="nil"/>
              <w:left w:val="nil"/>
              <w:bottom w:val="single" w:sz="4" w:space="0" w:color="auto"/>
              <w:right w:val="nil"/>
            </w:tcBorders>
            <w:shd w:val="clear" w:color="auto" w:fill="auto"/>
            <w:noWrap/>
            <w:vAlign w:val="center"/>
            <w:hideMark/>
          </w:tcPr>
          <w:p w14:paraId="3277580C"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165</w:t>
            </w:r>
          </w:p>
        </w:tc>
      </w:tr>
      <w:tr w:rsidR="00B64E96" w:rsidRPr="00730B1E" w14:paraId="4BE6A268"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7DE53126"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2014</w:t>
            </w:r>
          </w:p>
        </w:tc>
        <w:tc>
          <w:tcPr>
            <w:tcW w:w="1309" w:type="dxa"/>
            <w:tcBorders>
              <w:top w:val="nil"/>
              <w:left w:val="nil"/>
              <w:bottom w:val="single" w:sz="4" w:space="0" w:color="auto"/>
              <w:right w:val="nil"/>
            </w:tcBorders>
            <w:shd w:val="clear" w:color="auto" w:fill="auto"/>
            <w:noWrap/>
            <w:vAlign w:val="center"/>
            <w:hideMark/>
          </w:tcPr>
          <w:p w14:paraId="5C9B67A1"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82</w:t>
            </w:r>
          </w:p>
        </w:tc>
        <w:tc>
          <w:tcPr>
            <w:tcW w:w="668" w:type="dxa"/>
            <w:tcBorders>
              <w:top w:val="nil"/>
              <w:left w:val="nil"/>
              <w:bottom w:val="single" w:sz="4" w:space="0" w:color="auto"/>
              <w:right w:val="nil"/>
            </w:tcBorders>
            <w:shd w:val="clear" w:color="auto" w:fill="auto"/>
            <w:noWrap/>
            <w:vAlign w:val="center"/>
            <w:hideMark/>
          </w:tcPr>
          <w:p w14:paraId="50E369D3"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3F5F916E"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88</w:t>
            </w:r>
          </w:p>
        </w:tc>
        <w:tc>
          <w:tcPr>
            <w:tcW w:w="1431" w:type="dxa"/>
            <w:tcBorders>
              <w:top w:val="nil"/>
              <w:left w:val="nil"/>
              <w:bottom w:val="single" w:sz="4" w:space="0" w:color="auto"/>
              <w:right w:val="nil"/>
            </w:tcBorders>
            <w:shd w:val="clear" w:color="auto" w:fill="auto"/>
            <w:noWrap/>
            <w:vAlign w:val="center"/>
            <w:hideMark/>
          </w:tcPr>
          <w:p w14:paraId="505AF144"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171</w:t>
            </w:r>
          </w:p>
        </w:tc>
      </w:tr>
      <w:tr w:rsidR="00B64E96" w:rsidRPr="00730B1E" w14:paraId="26709B38"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69F14E6A"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2015</w:t>
            </w:r>
          </w:p>
        </w:tc>
        <w:tc>
          <w:tcPr>
            <w:tcW w:w="1309" w:type="dxa"/>
            <w:tcBorders>
              <w:top w:val="nil"/>
              <w:left w:val="nil"/>
              <w:bottom w:val="single" w:sz="4" w:space="0" w:color="auto"/>
              <w:right w:val="nil"/>
            </w:tcBorders>
            <w:shd w:val="clear" w:color="auto" w:fill="auto"/>
            <w:noWrap/>
            <w:vAlign w:val="center"/>
            <w:hideMark/>
          </w:tcPr>
          <w:p w14:paraId="695A222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69</w:t>
            </w:r>
          </w:p>
        </w:tc>
        <w:tc>
          <w:tcPr>
            <w:tcW w:w="668" w:type="dxa"/>
            <w:tcBorders>
              <w:top w:val="nil"/>
              <w:left w:val="nil"/>
              <w:bottom w:val="single" w:sz="4" w:space="0" w:color="auto"/>
              <w:right w:val="nil"/>
            </w:tcBorders>
            <w:shd w:val="clear" w:color="auto" w:fill="auto"/>
            <w:noWrap/>
            <w:vAlign w:val="center"/>
            <w:hideMark/>
          </w:tcPr>
          <w:p w14:paraId="41DD36B7"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5E88F0AE"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49</w:t>
            </w:r>
          </w:p>
        </w:tc>
        <w:tc>
          <w:tcPr>
            <w:tcW w:w="1431" w:type="dxa"/>
            <w:tcBorders>
              <w:top w:val="nil"/>
              <w:left w:val="nil"/>
              <w:bottom w:val="single" w:sz="4" w:space="0" w:color="auto"/>
              <w:right w:val="nil"/>
            </w:tcBorders>
            <w:shd w:val="clear" w:color="auto" w:fill="auto"/>
            <w:noWrap/>
            <w:vAlign w:val="center"/>
            <w:hideMark/>
          </w:tcPr>
          <w:p w14:paraId="46863A1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119</w:t>
            </w:r>
          </w:p>
        </w:tc>
      </w:tr>
      <w:tr w:rsidR="00B64E96" w:rsidRPr="00730B1E" w14:paraId="6529A8B6"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48FF72A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2016</w:t>
            </w:r>
          </w:p>
        </w:tc>
        <w:tc>
          <w:tcPr>
            <w:tcW w:w="1309" w:type="dxa"/>
            <w:tcBorders>
              <w:top w:val="nil"/>
              <w:left w:val="nil"/>
              <w:bottom w:val="single" w:sz="4" w:space="0" w:color="auto"/>
              <w:right w:val="nil"/>
            </w:tcBorders>
            <w:shd w:val="clear" w:color="auto" w:fill="auto"/>
            <w:noWrap/>
            <w:vAlign w:val="center"/>
            <w:hideMark/>
          </w:tcPr>
          <w:p w14:paraId="0ADE838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75</w:t>
            </w:r>
          </w:p>
        </w:tc>
        <w:tc>
          <w:tcPr>
            <w:tcW w:w="668" w:type="dxa"/>
            <w:tcBorders>
              <w:top w:val="nil"/>
              <w:left w:val="nil"/>
              <w:bottom w:val="single" w:sz="4" w:space="0" w:color="auto"/>
              <w:right w:val="nil"/>
            </w:tcBorders>
            <w:shd w:val="clear" w:color="auto" w:fill="auto"/>
            <w:noWrap/>
            <w:vAlign w:val="center"/>
            <w:hideMark/>
          </w:tcPr>
          <w:p w14:paraId="1568AC7C"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w:t>
            </w:r>
          </w:p>
        </w:tc>
        <w:tc>
          <w:tcPr>
            <w:tcW w:w="912" w:type="dxa"/>
            <w:tcBorders>
              <w:top w:val="nil"/>
              <w:left w:val="nil"/>
              <w:bottom w:val="single" w:sz="4" w:space="0" w:color="auto"/>
              <w:right w:val="nil"/>
            </w:tcBorders>
            <w:shd w:val="clear" w:color="auto" w:fill="auto"/>
            <w:noWrap/>
            <w:vAlign w:val="center"/>
            <w:hideMark/>
          </w:tcPr>
          <w:p w14:paraId="6BADCDB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44</w:t>
            </w:r>
          </w:p>
        </w:tc>
        <w:tc>
          <w:tcPr>
            <w:tcW w:w="1431" w:type="dxa"/>
            <w:tcBorders>
              <w:top w:val="nil"/>
              <w:left w:val="nil"/>
              <w:bottom w:val="single" w:sz="4" w:space="0" w:color="auto"/>
              <w:right w:val="nil"/>
            </w:tcBorders>
            <w:shd w:val="clear" w:color="auto" w:fill="auto"/>
            <w:noWrap/>
            <w:vAlign w:val="center"/>
            <w:hideMark/>
          </w:tcPr>
          <w:p w14:paraId="05BAAA73"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121</w:t>
            </w:r>
          </w:p>
        </w:tc>
      </w:tr>
      <w:tr w:rsidR="00B64E96" w:rsidRPr="00730B1E" w14:paraId="5CFE69C4"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0A3A2B0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2017</w:t>
            </w:r>
          </w:p>
        </w:tc>
        <w:tc>
          <w:tcPr>
            <w:tcW w:w="1309" w:type="dxa"/>
            <w:tcBorders>
              <w:top w:val="nil"/>
              <w:left w:val="nil"/>
              <w:bottom w:val="single" w:sz="4" w:space="0" w:color="auto"/>
              <w:right w:val="nil"/>
            </w:tcBorders>
            <w:shd w:val="clear" w:color="auto" w:fill="auto"/>
            <w:noWrap/>
            <w:vAlign w:val="center"/>
            <w:hideMark/>
          </w:tcPr>
          <w:p w14:paraId="74918E5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70</w:t>
            </w:r>
          </w:p>
        </w:tc>
        <w:tc>
          <w:tcPr>
            <w:tcW w:w="668" w:type="dxa"/>
            <w:tcBorders>
              <w:top w:val="nil"/>
              <w:left w:val="nil"/>
              <w:bottom w:val="single" w:sz="4" w:space="0" w:color="auto"/>
              <w:right w:val="nil"/>
            </w:tcBorders>
            <w:shd w:val="clear" w:color="auto" w:fill="auto"/>
            <w:noWrap/>
            <w:vAlign w:val="center"/>
            <w:hideMark/>
          </w:tcPr>
          <w:p w14:paraId="0F0FC2C2"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0</w:t>
            </w:r>
          </w:p>
        </w:tc>
        <w:tc>
          <w:tcPr>
            <w:tcW w:w="912" w:type="dxa"/>
            <w:tcBorders>
              <w:top w:val="nil"/>
              <w:left w:val="nil"/>
              <w:bottom w:val="single" w:sz="4" w:space="0" w:color="auto"/>
              <w:right w:val="nil"/>
            </w:tcBorders>
            <w:shd w:val="clear" w:color="auto" w:fill="auto"/>
            <w:noWrap/>
            <w:vAlign w:val="center"/>
            <w:hideMark/>
          </w:tcPr>
          <w:p w14:paraId="6AAF43D9"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61</w:t>
            </w:r>
          </w:p>
        </w:tc>
        <w:tc>
          <w:tcPr>
            <w:tcW w:w="1431" w:type="dxa"/>
            <w:tcBorders>
              <w:top w:val="nil"/>
              <w:left w:val="nil"/>
              <w:bottom w:val="single" w:sz="4" w:space="0" w:color="auto"/>
              <w:right w:val="nil"/>
            </w:tcBorders>
            <w:shd w:val="clear" w:color="auto" w:fill="auto"/>
            <w:noWrap/>
            <w:vAlign w:val="center"/>
            <w:hideMark/>
          </w:tcPr>
          <w:p w14:paraId="60CABE96"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131</w:t>
            </w:r>
          </w:p>
        </w:tc>
      </w:tr>
      <w:tr w:rsidR="00B64E96" w:rsidRPr="00730B1E" w14:paraId="7B7A3E03"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272C65E9"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2018</w:t>
            </w:r>
          </w:p>
        </w:tc>
        <w:tc>
          <w:tcPr>
            <w:tcW w:w="1309" w:type="dxa"/>
            <w:tcBorders>
              <w:top w:val="nil"/>
              <w:left w:val="nil"/>
              <w:bottom w:val="single" w:sz="4" w:space="0" w:color="auto"/>
              <w:right w:val="nil"/>
            </w:tcBorders>
            <w:shd w:val="clear" w:color="auto" w:fill="auto"/>
            <w:noWrap/>
            <w:vAlign w:val="center"/>
            <w:hideMark/>
          </w:tcPr>
          <w:p w14:paraId="6D4E7016"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105</w:t>
            </w:r>
          </w:p>
        </w:tc>
        <w:tc>
          <w:tcPr>
            <w:tcW w:w="668" w:type="dxa"/>
            <w:tcBorders>
              <w:top w:val="nil"/>
              <w:left w:val="nil"/>
              <w:bottom w:val="single" w:sz="4" w:space="0" w:color="auto"/>
              <w:right w:val="nil"/>
            </w:tcBorders>
            <w:shd w:val="clear" w:color="auto" w:fill="auto"/>
            <w:noWrap/>
            <w:vAlign w:val="center"/>
            <w:hideMark/>
          </w:tcPr>
          <w:p w14:paraId="752EF107"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24E18F42"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76</w:t>
            </w:r>
          </w:p>
        </w:tc>
        <w:tc>
          <w:tcPr>
            <w:tcW w:w="1431" w:type="dxa"/>
            <w:tcBorders>
              <w:top w:val="nil"/>
              <w:left w:val="nil"/>
              <w:bottom w:val="single" w:sz="4" w:space="0" w:color="auto"/>
              <w:right w:val="nil"/>
            </w:tcBorders>
            <w:shd w:val="clear" w:color="auto" w:fill="auto"/>
            <w:noWrap/>
            <w:vAlign w:val="center"/>
            <w:hideMark/>
          </w:tcPr>
          <w:p w14:paraId="7C41983C"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182</w:t>
            </w:r>
          </w:p>
        </w:tc>
      </w:tr>
      <w:tr w:rsidR="00B64E96" w:rsidRPr="00730B1E" w14:paraId="1DBEDBD4"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1BAA01F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2019</w:t>
            </w:r>
          </w:p>
        </w:tc>
        <w:tc>
          <w:tcPr>
            <w:tcW w:w="1309" w:type="dxa"/>
            <w:tcBorders>
              <w:top w:val="nil"/>
              <w:left w:val="nil"/>
              <w:bottom w:val="single" w:sz="4" w:space="0" w:color="auto"/>
              <w:right w:val="nil"/>
            </w:tcBorders>
            <w:shd w:val="clear" w:color="auto" w:fill="auto"/>
            <w:noWrap/>
            <w:vAlign w:val="center"/>
            <w:hideMark/>
          </w:tcPr>
          <w:p w14:paraId="641AF4F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147</w:t>
            </w:r>
          </w:p>
        </w:tc>
        <w:tc>
          <w:tcPr>
            <w:tcW w:w="668" w:type="dxa"/>
            <w:tcBorders>
              <w:top w:val="nil"/>
              <w:left w:val="nil"/>
              <w:bottom w:val="single" w:sz="4" w:space="0" w:color="auto"/>
              <w:right w:val="nil"/>
            </w:tcBorders>
            <w:shd w:val="clear" w:color="auto" w:fill="auto"/>
            <w:noWrap/>
            <w:vAlign w:val="center"/>
            <w:hideMark/>
          </w:tcPr>
          <w:p w14:paraId="793582F2"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w:t>
            </w:r>
          </w:p>
        </w:tc>
        <w:tc>
          <w:tcPr>
            <w:tcW w:w="912" w:type="dxa"/>
            <w:tcBorders>
              <w:top w:val="nil"/>
              <w:left w:val="nil"/>
              <w:bottom w:val="single" w:sz="4" w:space="0" w:color="auto"/>
              <w:right w:val="nil"/>
            </w:tcBorders>
            <w:shd w:val="clear" w:color="auto" w:fill="auto"/>
            <w:noWrap/>
            <w:vAlign w:val="center"/>
            <w:hideMark/>
          </w:tcPr>
          <w:p w14:paraId="14ED737B"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88</w:t>
            </w:r>
          </w:p>
        </w:tc>
        <w:tc>
          <w:tcPr>
            <w:tcW w:w="1431" w:type="dxa"/>
            <w:tcBorders>
              <w:top w:val="nil"/>
              <w:left w:val="nil"/>
              <w:bottom w:val="single" w:sz="4" w:space="0" w:color="auto"/>
              <w:right w:val="nil"/>
            </w:tcBorders>
            <w:shd w:val="clear" w:color="auto" w:fill="auto"/>
            <w:noWrap/>
            <w:vAlign w:val="center"/>
            <w:hideMark/>
          </w:tcPr>
          <w:p w14:paraId="7473E902"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236</w:t>
            </w:r>
          </w:p>
        </w:tc>
      </w:tr>
      <w:tr w:rsidR="00B64E96" w:rsidRPr="00730B1E" w14:paraId="3BC69AEC" w14:textId="77777777" w:rsidTr="00AB42B2">
        <w:trPr>
          <w:trHeight w:val="315"/>
        </w:trPr>
        <w:tc>
          <w:tcPr>
            <w:tcW w:w="1080" w:type="dxa"/>
            <w:tcBorders>
              <w:top w:val="nil"/>
              <w:left w:val="nil"/>
              <w:bottom w:val="single" w:sz="4" w:space="0" w:color="auto"/>
              <w:right w:val="nil"/>
            </w:tcBorders>
            <w:shd w:val="clear" w:color="auto" w:fill="auto"/>
            <w:noWrap/>
            <w:vAlign w:val="center"/>
            <w:hideMark/>
          </w:tcPr>
          <w:p w14:paraId="3E040F49"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2020</w:t>
            </w:r>
          </w:p>
        </w:tc>
        <w:tc>
          <w:tcPr>
            <w:tcW w:w="1309" w:type="dxa"/>
            <w:tcBorders>
              <w:top w:val="nil"/>
              <w:left w:val="nil"/>
              <w:bottom w:val="single" w:sz="4" w:space="0" w:color="auto"/>
              <w:right w:val="nil"/>
            </w:tcBorders>
            <w:shd w:val="clear" w:color="auto" w:fill="auto"/>
            <w:noWrap/>
            <w:vAlign w:val="center"/>
            <w:hideMark/>
          </w:tcPr>
          <w:p w14:paraId="3CCB30F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139</w:t>
            </w:r>
          </w:p>
        </w:tc>
        <w:tc>
          <w:tcPr>
            <w:tcW w:w="668" w:type="dxa"/>
            <w:tcBorders>
              <w:top w:val="nil"/>
              <w:left w:val="nil"/>
              <w:bottom w:val="single" w:sz="4" w:space="0" w:color="auto"/>
              <w:right w:val="nil"/>
            </w:tcBorders>
            <w:shd w:val="clear" w:color="auto" w:fill="auto"/>
            <w:noWrap/>
            <w:vAlign w:val="center"/>
            <w:hideMark/>
          </w:tcPr>
          <w:p w14:paraId="5A23796E"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0</w:t>
            </w:r>
          </w:p>
        </w:tc>
        <w:tc>
          <w:tcPr>
            <w:tcW w:w="912" w:type="dxa"/>
            <w:tcBorders>
              <w:top w:val="nil"/>
              <w:left w:val="nil"/>
              <w:bottom w:val="single" w:sz="4" w:space="0" w:color="auto"/>
              <w:right w:val="nil"/>
            </w:tcBorders>
            <w:shd w:val="clear" w:color="auto" w:fill="auto"/>
            <w:noWrap/>
            <w:vAlign w:val="center"/>
            <w:hideMark/>
          </w:tcPr>
          <w:p w14:paraId="1DF66627"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94</w:t>
            </w:r>
          </w:p>
        </w:tc>
        <w:tc>
          <w:tcPr>
            <w:tcW w:w="1431" w:type="dxa"/>
            <w:tcBorders>
              <w:top w:val="nil"/>
              <w:left w:val="nil"/>
              <w:bottom w:val="single" w:sz="4" w:space="0" w:color="auto"/>
              <w:right w:val="nil"/>
            </w:tcBorders>
            <w:shd w:val="clear" w:color="auto" w:fill="auto"/>
            <w:noWrap/>
            <w:vAlign w:val="center"/>
            <w:hideMark/>
          </w:tcPr>
          <w:p w14:paraId="10B99CF2"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233</w:t>
            </w:r>
          </w:p>
        </w:tc>
      </w:tr>
      <w:tr w:rsidR="00B64E96" w:rsidRPr="00730B1E" w14:paraId="25C56B8F" w14:textId="77777777" w:rsidTr="00AB42B2">
        <w:trPr>
          <w:trHeight w:val="315"/>
        </w:trPr>
        <w:tc>
          <w:tcPr>
            <w:tcW w:w="1080" w:type="dxa"/>
            <w:tcBorders>
              <w:top w:val="nil"/>
              <w:left w:val="nil"/>
              <w:bottom w:val="nil"/>
              <w:right w:val="nil"/>
            </w:tcBorders>
            <w:shd w:val="clear" w:color="auto" w:fill="auto"/>
            <w:noWrap/>
            <w:vAlign w:val="center"/>
            <w:hideMark/>
          </w:tcPr>
          <w:p w14:paraId="4D32339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2021</w:t>
            </w:r>
          </w:p>
        </w:tc>
        <w:tc>
          <w:tcPr>
            <w:tcW w:w="1309" w:type="dxa"/>
            <w:tcBorders>
              <w:top w:val="nil"/>
              <w:left w:val="nil"/>
              <w:bottom w:val="nil"/>
              <w:right w:val="nil"/>
            </w:tcBorders>
            <w:shd w:val="clear" w:color="auto" w:fill="auto"/>
            <w:noWrap/>
            <w:vAlign w:val="center"/>
            <w:hideMark/>
          </w:tcPr>
          <w:p w14:paraId="19F2ECBF"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222</w:t>
            </w:r>
          </w:p>
        </w:tc>
        <w:tc>
          <w:tcPr>
            <w:tcW w:w="668" w:type="dxa"/>
            <w:tcBorders>
              <w:top w:val="nil"/>
              <w:left w:val="nil"/>
              <w:bottom w:val="nil"/>
              <w:right w:val="nil"/>
            </w:tcBorders>
            <w:shd w:val="clear" w:color="auto" w:fill="auto"/>
            <w:noWrap/>
            <w:vAlign w:val="center"/>
            <w:hideMark/>
          </w:tcPr>
          <w:p w14:paraId="177125A5"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0</w:t>
            </w:r>
          </w:p>
        </w:tc>
        <w:tc>
          <w:tcPr>
            <w:tcW w:w="912" w:type="dxa"/>
            <w:tcBorders>
              <w:top w:val="nil"/>
              <w:left w:val="nil"/>
              <w:bottom w:val="nil"/>
              <w:right w:val="nil"/>
            </w:tcBorders>
            <w:shd w:val="clear" w:color="auto" w:fill="auto"/>
            <w:noWrap/>
            <w:vAlign w:val="center"/>
            <w:hideMark/>
          </w:tcPr>
          <w:p w14:paraId="6ABDDEA4"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24</w:t>
            </w:r>
          </w:p>
        </w:tc>
        <w:tc>
          <w:tcPr>
            <w:tcW w:w="1431" w:type="dxa"/>
            <w:tcBorders>
              <w:top w:val="nil"/>
              <w:left w:val="nil"/>
              <w:bottom w:val="nil"/>
              <w:right w:val="nil"/>
            </w:tcBorders>
            <w:shd w:val="clear" w:color="auto" w:fill="auto"/>
            <w:noWrap/>
            <w:vAlign w:val="center"/>
            <w:hideMark/>
          </w:tcPr>
          <w:p w14:paraId="1113202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246</w:t>
            </w:r>
          </w:p>
        </w:tc>
      </w:tr>
      <w:tr w:rsidR="00B64E96" w:rsidRPr="00730B1E" w14:paraId="54679F1C" w14:textId="77777777" w:rsidTr="00AB42B2">
        <w:trPr>
          <w:trHeight w:val="315"/>
        </w:trPr>
        <w:tc>
          <w:tcPr>
            <w:tcW w:w="1080" w:type="dxa"/>
            <w:tcBorders>
              <w:top w:val="single" w:sz="4" w:space="0" w:color="auto"/>
              <w:left w:val="nil"/>
              <w:bottom w:val="nil"/>
              <w:right w:val="nil"/>
            </w:tcBorders>
            <w:shd w:val="clear" w:color="auto" w:fill="auto"/>
            <w:noWrap/>
            <w:vAlign w:val="bottom"/>
            <w:hideMark/>
          </w:tcPr>
          <w:p w14:paraId="21BC1C4D"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2022</w:t>
            </w:r>
          </w:p>
        </w:tc>
        <w:tc>
          <w:tcPr>
            <w:tcW w:w="1309" w:type="dxa"/>
            <w:tcBorders>
              <w:top w:val="single" w:sz="4" w:space="0" w:color="auto"/>
              <w:left w:val="nil"/>
              <w:bottom w:val="nil"/>
              <w:right w:val="nil"/>
            </w:tcBorders>
            <w:shd w:val="clear" w:color="auto" w:fill="auto"/>
            <w:noWrap/>
            <w:vAlign w:val="bottom"/>
            <w:hideMark/>
          </w:tcPr>
          <w:p w14:paraId="48967729"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251</w:t>
            </w:r>
          </w:p>
        </w:tc>
        <w:tc>
          <w:tcPr>
            <w:tcW w:w="668" w:type="dxa"/>
            <w:tcBorders>
              <w:top w:val="single" w:sz="4" w:space="0" w:color="auto"/>
              <w:left w:val="nil"/>
              <w:bottom w:val="nil"/>
              <w:right w:val="nil"/>
            </w:tcBorders>
            <w:shd w:val="clear" w:color="auto" w:fill="auto"/>
            <w:noWrap/>
            <w:vAlign w:val="bottom"/>
            <w:hideMark/>
          </w:tcPr>
          <w:p w14:paraId="4F663AC8"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0</w:t>
            </w:r>
          </w:p>
        </w:tc>
        <w:tc>
          <w:tcPr>
            <w:tcW w:w="912" w:type="dxa"/>
            <w:tcBorders>
              <w:top w:val="single" w:sz="4" w:space="0" w:color="auto"/>
              <w:left w:val="nil"/>
              <w:bottom w:val="nil"/>
              <w:right w:val="nil"/>
            </w:tcBorders>
            <w:shd w:val="clear" w:color="auto" w:fill="auto"/>
            <w:noWrap/>
            <w:vAlign w:val="bottom"/>
            <w:hideMark/>
          </w:tcPr>
          <w:p w14:paraId="1FE9F129"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7</w:t>
            </w:r>
          </w:p>
        </w:tc>
        <w:tc>
          <w:tcPr>
            <w:tcW w:w="1431" w:type="dxa"/>
            <w:tcBorders>
              <w:top w:val="single" w:sz="4" w:space="0" w:color="auto"/>
              <w:left w:val="nil"/>
              <w:bottom w:val="nil"/>
              <w:right w:val="nil"/>
            </w:tcBorders>
            <w:shd w:val="clear" w:color="auto" w:fill="auto"/>
            <w:noWrap/>
            <w:vAlign w:val="bottom"/>
            <w:hideMark/>
          </w:tcPr>
          <w:p w14:paraId="6CD577F3"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258</w:t>
            </w:r>
          </w:p>
        </w:tc>
      </w:tr>
      <w:tr w:rsidR="00B64E96" w:rsidRPr="00730B1E" w14:paraId="5035D9F1" w14:textId="77777777" w:rsidTr="00AB42B2">
        <w:trPr>
          <w:trHeight w:val="330"/>
        </w:trPr>
        <w:tc>
          <w:tcPr>
            <w:tcW w:w="1080" w:type="dxa"/>
            <w:tcBorders>
              <w:top w:val="single" w:sz="4" w:space="0" w:color="auto"/>
              <w:left w:val="nil"/>
              <w:bottom w:val="double" w:sz="6" w:space="0" w:color="auto"/>
              <w:right w:val="nil"/>
            </w:tcBorders>
            <w:shd w:val="clear" w:color="auto" w:fill="auto"/>
            <w:noWrap/>
            <w:vAlign w:val="bottom"/>
            <w:hideMark/>
          </w:tcPr>
          <w:p w14:paraId="264FDC80"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2023</w:t>
            </w:r>
          </w:p>
        </w:tc>
        <w:tc>
          <w:tcPr>
            <w:tcW w:w="1309" w:type="dxa"/>
            <w:tcBorders>
              <w:top w:val="single" w:sz="4" w:space="0" w:color="auto"/>
              <w:left w:val="nil"/>
              <w:bottom w:val="double" w:sz="6" w:space="0" w:color="auto"/>
              <w:right w:val="nil"/>
            </w:tcBorders>
            <w:shd w:val="clear" w:color="auto" w:fill="auto"/>
            <w:noWrap/>
            <w:vAlign w:val="bottom"/>
            <w:hideMark/>
          </w:tcPr>
          <w:p w14:paraId="60CAE07B"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293</w:t>
            </w:r>
          </w:p>
        </w:tc>
        <w:tc>
          <w:tcPr>
            <w:tcW w:w="668" w:type="dxa"/>
            <w:tcBorders>
              <w:top w:val="single" w:sz="4" w:space="0" w:color="auto"/>
              <w:left w:val="nil"/>
              <w:bottom w:val="double" w:sz="6" w:space="0" w:color="auto"/>
              <w:right w:val="nil"/>
            </w:tcBorders>
            <w:shd w:val="clear" w:color="auto" w:fill="auto"/>
            <w:noWrap/>
            <w:vAlign w:val="bottom"/>
            <w:hideMark/>
          </w:tcPr>
          <w:p w14:paraId="6212C18C"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0</w:t>
            </w:r>
          </w:p>
        </w:tc>
        <w:tc>
          <w:tcPr>
            <w:tcW w:w="912" w:type="dxa"/>
            <w:tcBorders>
              <w:top w:val="single" w:sz="4" w:space="0" w:color="auto"/>
              <w:left w:val="nil"/>
              <w:bottom w:val="double" w:sz="6" w:space="0" w:color="auto"/>
              <w:right w:val="nil"/>
            </w:tcBorders>
            <w:shd w:val="clear" w:color="auto" w:fill="auto"/>
            <w:noWrap/>
            <w:vAlign w:val="bottom"/>
            <w:hideMark/>
          </w:tcPr>
          <w:p w14:paraId="04980329"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5</w:t>
            </w:r>
          </w:p>
        </w:tc>
        <w:tc>
          <w:tcPr>
            <w:tcW w:w="1431" w:type="dxa"/>
            <w:tcBorders>
              <w:top w:val="single" w:sz="4" w:space="0" w:color="auto"/>
              <w:left w:val="nil"/>
              <w:bottom w:val="double" w:sz="6" w:space="0" w:color="auto"/>
              <w:right w:val="nil"/>
            </w:tcBorders>
            <w:shd w:val="clear" w:color="auto" w:fill="auto"/>
            <w:noWrap/>
            <w:vAlign w:val="bottom"/>
            <w:hideMark/>
          </w:tcPr>
          <w:p w14:paraId="56BDF391" w14:textId="77777777" w:rsidR="00AB42B2" w:rsidRPr="00730B1E" w:rsidRDefault="00AB42B2" w:rsidP="00AB42B2">
            <w:pPr>
              <w:spacing w:line="240" w:lineRule="auto"/>
              <w:jc w:val="center"/>
              <w:rPr>
                <w:rFonts w:eastAsia="Times New Roman"/>
                <w:szCs w:val="24"/>
                <w:lang w:eastAsia="cs-CZ"/>
              </w:rPr>
            </w:pPr>
            <w:r w:rsidRPr="00730B1E">
              <w:rPr>
                <w:rFonts w:eastAsia="Times New Roman"/>
                <w:szCs w:val="24"/>
                <w:lang w:eastAsia="cs-CZ"/>
              </w:rPr>
              <w:t>298</w:t>
            </w:r>
          </w:p>
        </w:tc>
      </w:tr>
      <w:tr w:rsidR="00B64E96" w:rsidRPr="00730B1E" w14:paraId="6650F4E4" w14:textId="77777777" w:rsidTr="00AB42B2">
        <w:trPr>
          <w:trHeight w:val="330"/>
        </w:trPr>
        <w:tc>
          <w:tcPr>
            <w:tcW w:w="1080" w:type="dxa"/>
            <w:tcBorders>
              <w:top w:val="nil"/>
              <w:left w:val="nil"/>
              <w:bottom w:val="nil"/>
              <w:right w:val="nil"/>
            </w:tcBorders>
            <w:shd w:val="clear" w:color="auto" w:fill="auto"/>
            <w:noWrap/>
            <w:vAlign w:val="bottom"/>
            <w:hideMark/>
          </w:tcPr>
          <w:p w14:paraId="3CF6CB57" w14:textId="77777777" w:rsidR="00AB42B2" w:rsidRPr="00730B1E" w:rsidRDefault="00AB42B2" w:rsidP="00AB42B2">
            <w:pPr>
              <w:spacing w:line="240" w:lineRule="auto"/>
              <w:jc w:val="center"/>
              <w:rPr>
                <w:rFonts w:eastAsia="Times New Roman"/>
                <w:szCs w:val="24"/>
                <w:lang w:eastAsia="cs-CZ"/>
              </w:rPr>
            </w:pPr>
          </w:p>
        </w:tc>
        <w:tc>
          <w:tcPr>
            <w:tcW w:w="1309" w:type="dxa"/>
            <w:tcBorders>
              <w:top w:val="nil"/>
              <w:left w:val="nil"/>
              <w:bottom w:val="nil"/>
              <w:right w:val="nil"/>
            </w:tcBorders>
            <w:shd w:val="clear" w:color="auto" w:fill="auto"/>
            <w:noWrap/>
            <w:vAlign w:val="bottom"/>
            <w:hideMark/>
          </w:tcPr>
          <w:p w14:paraId="62E3ABCF" w14:textId="77777777" w:rsidR="00AB42B2" w:rsidRPr="00DF07F3" w:rsidRDefault="00AB42B2" w:rsidP="00AB42B2">
            <w:pPr>
              <w:spacing w:line="240" w:lineRule="auto"/>
              <w:jc w:val="left"/>
              <w:rPr>
                <w:sz w:val="20"/>
              </w:rPr>
            </w:pPr>
          </w:p>
        </w:tc>
        <w:tc>
          <w:tcPr>
            <w:tcW w:w="668" w:type="dxa"/>
            <w:tcBorders>
              <w:top w:val="nil"/>
              <w:left w:val="nil"/>
              <w:bottom w:val="nil"/>
              <w:right w:val="nil"/>
            </w:tcBorders>
            <w:shd w:val="clear" w:color="auto" w:fill="auto"/>
            <w:noWrap/>
            <w:vAlign w:val="bottom"/>
            <w:hideMark/>
          </w:tcPr>
          <w:p w14:paraId="534310EB" w14:textId="77777777" w:rsidR="00AB42B2" w:rsidRPr="00DF07F3" w:rsidRDefault="00AB42B2" w:rsidP="00AB42B2">
            <w:pPr>
              <w:spacing w:line="240" w:lineRule="auto"/>
              <w:jc w:val="left"/>
              <w:rPr>
                <w:sz w:val="20"/>
              </w:rPr>
            </w:pPr>
          </w:p>
        </w:tc>
        <w:tc>
          <w:tcPr>
            <w:tcW w:w="912" w:type="dxa"/>
            <w:tcBorders>
              <w:top w:val="nil"/>
              <w:left w:val="nil"/>
              <w:bottom w:val="nil"/>
              <w:right w:val="nil"/>
            </w:tcBorders>
            <w:shd w:val="clear" w:color="auto" w:fill="auto"/>
            <w:noWrap/>
            <w:vAlign w:val="bottom"/>
            <w:hideMark/>
          </w:tcPr>
          <w:p w14:paraId="4EECF6B7" w14:textId="77777777" w:rsidR="00AB42B2" w:rsidRPr="00DF07F3" w:rsidRDefault="00AB42B2" w:rsidP="00AB42B2">
            <w:pPr>
              <w:spacing w:line="240" w:lineRule="auto"/>
              <w:jc w:val="left"/>
              <w:rPr>
                <w:sz w:val="20"/>
              </w:rPr>
            </w:pPr>
          </w:p>
        </w:tc>
        <w:tc>
          <w:tcPr>
            <w:tcW w:w="1431" w:type="dxa"/>
            <w:tcBorders>
              <w:top w:val="nil"/>
              <w:left w:val="nil"/>
              <w:bottom w:val="nil"/>
              <w:right w:val="nil"/>
            </w:tcBorders>
            <w:shd w:val="clear" w:color="auto" w:fill="auto"/>
            <w:noWrap/>
            <w:vAlign w:val="bottom"/>
            <w:hideMark/>
          </w:tcPr>
          <w:p w14:paraId="73C1A12B" w14:textId="77777777" w:rsidR="00AB42B2" w:rsidRPr="00DF07F3" w:rsidRDefault="00AB42B2" w:rsidP="00AB42B2">
            <w:pPr>
              <w:spacing w:line="240" w:lineRule="auto"/>
              <w:jc w:val="left"/>
              <w:rPr>
                <w:sz w:val="20"/>
              </w:rPr>
            </w:pPr>
          </w:p>
        </w:tc>
      </w:tr>
    </w:tbl>
    <w:p w14:paraId="416B4CD9" w14:textId="77777777" w:rsidR="00AB42B2" w:rsidRPr="00730B1E" w:rsidRDefault="00AB42B2" w:rsidP="00AB42B2">
      <w:pPr>
        <w:pStyle w:val="OdstavecASR"/>
      </w:pPr>
      <w:r w:rsidRPr="00730B1E">
        <w:t>Z tabulky vyplývají zajímavé skutečnosti:</w:t>
      </w:r>
    </w:p>
    <w:p w14:paraId="4C6FF92C" w14:textId="77777777" w:rsidR="00AB42B2" w:rsidRPr="00730B1E" w:rsidRDefault="00AB42B2" w:rsidP="00A94F8F">
      <w:pPr>
        <w:pStyle w:val="OdstavecASR"/>
        <w:numPr>
          <w:ilvl w:val="0"/>
          <w:numId w:val="13"/>
        </w:numPr>
      </w:pPr>
      <w:r w:rsidRPr="00730B1E">
        <w:t>Rok 2009 představuje nejvyšší počet přeměn, resp. nařízení výkonu náhradního trestu odnětí svobody (NEPO). Následně až do roku 2015 počet těchto přeměn významně klesl na nejnižší stav. To zcela koresponduje s poklesem počtu ukládaných peněžitých trestů.</w:t>
      </w:r>
    </w:p>
    <w:p w14:paraId="7EB6ECBD" w14:textId="3A2446A9" w:rsidR="00AB42B2" w:rsidRPr="00730B1E" w:rsidRDefault="00AB42B2" w:rsidP="00A94F8F">
      <w:pPr>
        <w:pStyle w:val="OdstavecASR"/>
        <w:numPr>
          <w:ilvl w:val="0"/>
          <w:numId w:val="13"/>
        </w:numPr>
      </w:pPr>
      <w:r w:rsidRPr="00730B1E">
        <w:t xml:space="preserve">Z nových alternativních přeměn od roku 2013 se místo nařízení náhradního trestu odnětí svobody velmi často </w:t>
      </w:r>
      <w:r w:rsidR="00D62418" w:rsidRPr="00730B1E">
        <w:t>(</w:t>
      </w:r>
      <w:r w:rsidRPr="00730B1E">
        <w:t>v prvních dvou letech dokonce více</w:t>
      </w:r>
      <w:r w:rsidR="00C349E2" w:rsidRPr="00730B1E">
        <w:t>)</w:t>
      </w:r>
      <w:r w:rsidRPr="00730B1E">
        <w:t xml:space="preserve"> využív</w:t>
      </w:r>
      <w:r w:rsidR="00F50254" w:rsidRPr="00730B1E">
        <w:t>ala</w:t>
      </w:r>
      <w:r w:rsidRPr="00730B1E">
        <w:t xml:space="preserve"> přeměna v trest obecně prospěšných prací</w:t>
      </w:r>
      <w:r w:rsidR="00F50254" w:rsidRPr="00730B1E">
        <w:t>. Obliba této přeměny ale časem výrazně klesala</w:t>
      </w:r>
      <w:r w:rsidR="00D62418" w:rsidRPr="00730B1E">
        <w:t>,</w:t>
      </w:r>
      <w:r w:rsidR="00F50254" w:rsidRPr="00730B1E">
        <w:t xml:space="preserve"> až v roce 2023 došlo pouze k pěti těmto přeměnám.</w:t>
      </w:r>
    </w:p>
    <w:p w14:paraId="4AA5141B" w14:textId="0C1C485E" w:rsidR="00AB42B2" w:rsidRPr="00730B1E" w:rsidRDefault="00AB42B2" w:rsidP="00A94F8F">
      <w:pPr>
        <w:pStyle w:val="OdstavecASR"/>
        <w:numPr>
          <w:ilvl w:val="0"/>
          <w:numId w:val="13"/>
        </w:numPr>
      </w:pPr>
      <w:r w:rsidRPr="00730B1E">
        <w:t xml:space="preserve">Počet přeměn v trest odnětí svobody, resp. nařízení výkonu náhradního trestu odnětí svobody, a zčásti i přeměn v trest obecně prospěšných prací, sice od roku 2018 do roku 2020 opět narůstal, ale ne tak </w:t>
      </w:r>
      <w:r w:rsidR="00D62418" w:rsidRPr="00730B1E">
        <w:t xml:space="preserve">výrazně </w:t>
      </w:r>
      <w:r w:rsidRPr="00730B1E">
        <w:t>jako počet uložených trestů a nedosáhl ani úrovně před rokem 2010.</w:t>
      </w:r>
    </w:p>
    <w:p w14:paraId="3A013CFB" w14:textId="0D952B48" w:rsidR="00AB42B2" w:rsidRPr="00730B1E" w:rsidRDefault="00AB42B2" w:rsidP="00A94F8F">
      <w:pPr>
        <w:pStyle w:val="OdstavecASR"/>
        <w:numPr>
          <w:ilvl w:val="0"/>
          <w:numId w:val="13"/>
        </w:numPr>
      </w:pPr>
      <w:r w:rsidRPr="00730B1E">
        <w:t>V roce 2021 se zřejmě projevila výše zmíněná novela</w:t>
      </w:r>
      <w:r w:rsidR="00D62418" w:rsidRPr="00730B1E">
        <w:t xml:space="preserve"> provedená zákonem č. 333/2020 Sb.</w:t>
      </w:r>
      <w:r w:rsidRPr="00730B1E">
        <w:t xml:space="preserve"> </w:t>
      </w:r>
      <w:r w:rsidR="00D62418" w:rsidRPr="00730B1E">
        <w:t>D</w:t>
      </w:r>
      <w:r w:rsidRPr="00730B1E">
        <w:t xml:space="preserve">ošlo ke značnému nárůstu přeměn v NEPO, které opět naprosto dominují, </w:t>
      </w:r>
      <w:r w:rsidR="00D62418" w:rsidRPr="00730B1E">
        <w:t xml:space="preserve">a to zřejmě na úkor </w:t>
      </w:r>
      <w:r w:rsidRPr="00730B1E">
        <w:t xml:space="preserve">přeměn </w:t>
      </w:r>
      <w:r w:rsidR="00D62418" w:rsidRPr="00730B1E">
        <w:t>na</w:t>
      </w:r>
      <w:r w:rsidRPr="00730B1E">
        <w:t> OPP</w:t>
      </w:r>
      <w:r w:rsidR="00D62418" w:rsidRPr="00730B1E">
        <w:t>, jejichž počet souběžně klesal</w:t>
      </w:r>
      <w:r w:rsidRPr="00730B1E">
        <w:t xml:space="preserve">. Celkový počet přeměn </w:t>
      </w:r>
      <w:r w:rsidR="00F50254" w:rsidRPr="00730B1E">
        <w:t>byl</w:t>
      </w:r>
      <w:r w:rsidRPr="00730B1E">
        <w:t xml:space="preserve"> ale podobný jako v roce 2020.</w:t>
      </w:r>
      <w:r w:rsidR="00F50254" w:rsidRPr="00730B1E">
        <w:t xml:space="preserve"> V letech 2022 a 2023 pak došlo k </w:t>
      </w:r>
      <w:r w:rsidR="00DC5397" w:rsidRPr="00730B1E">
        <w:t xml:space="preserve">dalšímu </w:t>
      </w:r>
      <w:r w:rsidR="00F50254" w:rsidRPr="00730B1E">
        <w:t>nárůstu v počtu přeměn.</w:t>
      </w:r>
    </w:p>
    <w:p w14:paraId="5C8D359C" w14:textId="16E27B2F" w:rsidR="00AB42B2" w:rsidRPr="00730B1E" w:rsidRDefault="00AB42B2" w:rsidP="00AB42B2">
      <w:pPr>
        <w:pStyle w:val="OdstavecASR"/>
      </w:pPr>
      <w:r w:rsidRPr="00730B1E">
        <w:t xml:space="preserve">Lze tak konstatovat, že iniciativa přinesla častější ukládání peněžitých trestů, přičemž </w:t>
      </w:r>
      <w:r w:rsidR="00D62418" w:rsidRPr="00730B1E">
        <w:t xml:space="preserve">do současnosti </w:t>
      </w:r>
      <w:r w:rsidRPr="00730B1E">
        <w:t>ve stejném poměru nevzrostly přeměny peněžitého trestu v jiný trest. Situaci je nicméně nutné dále monitorovat s ohledem na prodlení mezi nesplněním uloženého peněžitého trestu a okamžikem, kdy soud z tohoto důvodu přistoupí k případné přeměně trestu.</w:t>
      </w:r>
    </w:p>
    <w:p w14:paraId="38FABE1D" w14:textId="1F25150C" w:rsidR="00201625" w:rsidRPr="00730B1E" w:rsidRDefault="00201625" w:rsidP="00201625">
      <w:pPr>
        <w:pStyle w:val="OdstavecASR"/>
        <w:keepNext/>
        <w:outlineLvl w:val="3"/>
        <w:rPr>
          <w:b/>
          <w:bCs/>
        </w:rPr>
      </w:pPr>
      <w:r w:rsidRPr="00730B1E">
        <w:rPr>
          <w:b/>
          <w:bCs/>
        </w:rPr>
        <w:lastRenderedPageBreak/>
        <w:t>Míra odsouzení</w:t>
      </w:r>
    </w:p>
    <w:p w14:paraId="30EDF025" w14:textId="6B9D5DB6" w:rsidR="00F50254" w:rsidRPr="00730B1E" w:rsidRDefault="00F50254" w:rsidP="00F50254">
      <w:pPr>
        <w:pStyle w:val="OdstavecASR"/>
      </w:pPr>
      <w:r w:rsidRPr="00730B1E">
        <w:t xml:space="preserve">Jako míru odsouzení označujeme v této zprávě podíl odsouzených na počtu obžalovaných. V zásadě tedy udává, jaká je </w:t>
      </w:r>
      <w:r w:rsidR="00D62418" w:rsidRPr="00730B1E">
        <w:t>pravděpodobnost</w:t>
      </w:r>
      <w:r w:rsidRPr="00730B1E">
        <w:t xml:space="preserve">, že obžalovaný bude odsouzen. To, zda bude obžalovaný odsouzen, samozřejmě závisí na mnoha faktorech, které především plynou z okolností samotného případu. Zde je uveden pouze procentuální podíl odsouzených. Vzhledem k tomu, že trestní řízení u soudu může skončit různými způsoby, je třeba definovat, co započteme jako odsouzenou osobu a co jako neodsouzenou osobu. Jako neodsouzenou osobu </w:t>
      </w:r>
      <w:r w:rsidR="00D62418" w:rsidRPr="00730B1E">
        <w:t>tak</w:t>
      </w:r>
      <w:r w:rsidRPr="00730B1E">
        <w:t xml:space="preserve"> počítáme osobu, která byla zproštěna</w:t>
      </w:r>
      <w:r w:rsidR="00D62418" w:rsidRPr="00730B1E">
        <w:t xml:space="preserve"> obžaloby</w:t>
      </w:r>
      <w:r w:rsidRPr="00730B1E">
        <w:t>, a dále osobu, proti níž bylo řízení zastaveno a nebylo jí uloženo ani žádné ochranné opatření. Jako osobu odsouzenou samozřejmě počítáme odsouzené osoby a dále osoby, kterým byl uložen souhrnný či společný trest. Ostatní výsledky řízení nejsou ve statistice započítány.</w:t>
      </w:r>
    </w:p>
    <w:p w14:paraId="3D616CC3" w14:textId="0C0587C3" w:rsidR="00201625" w:rsidRPr="00730B1E" w:rsidRDefault="00201625" w:rsidP="00201625">
      <w:pPr>
        <w:pStyle w:val="Podnadpis"/>
        <w:rPr>
          <w:color w:val="auto"/>
        </w:rPr>
      </w:pPr>
      <w:bookmarkStart w:id="490" w:name="_Toc75952217"/>
      <w:bookmarkStart w:id="491" w:name="_Toc106106669"/>
      <w:bookmarkStart w:id="492" w:name="_Toc109801993"/>
      <w:bookmarkStart w:id="493" w:name="_Toc169250953"/>
      <w:bookmarkStart w:id="494" w:name="_Toc174080639"/>
      <w:r w:rsidRPr="00730B1E">
        <w:rPr>
          <w:color w:val="auto"/>
        </w:rPr>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34</w:t>
      </w:r>
      <w:r w:rsidRPr="00730B1E">
        <w:rPr>
          <w:noProof/>
          <w:color w:val="auto"/>
        </w:rPr>
        <w:fldChar w:fldCharType="end"/>
      </w:r>
      <w:r w:rsidRPr="00730B1E">
        <w:rPr>
          <w:color w:val="auto"/>
        </w:rPr>
        <w:t>: OS – míra odsouzení v letech 2014 až 202</w:t>
      </w:r>
      <w:bookmarkEnd w:id="490"/>
      <w:bookmarkEnd w:id="491"/>
      <w:bookmarkEnd w:id="492"/>
      <w:r w:rsidRPr="00730B1E">
        <w:rPr>
          <w:color w:val="auto"/>
        </w:rPr>
        <w:t>3</w:t>
      </w:r>
      <w:bookmarkEnd w:id="493"/>
      <w:bookmarkEnd w:id="494"/>
    </w:p>
    <w:p w14:paraId="0116C4AF" w14:textId="7C77D452" w:rsidR="00201625" w:rsidRPr="00730B1E" w:rsidRDefault="009F208A" w:rsidP="00084651">
      <w:pPr>
        <w:pStyle w:val="OdstavecASR"/>
        <w:keepNext/>
        <w:rPr>
          <w:b/>
        </w:rPr>
      </w:pPr>
      <w:r w:rsidRPr="00730B1E">
        <w:rPr>
          <w:b/>
          <w:bCs/>
          <w:noProof/>
          <w:lang w:eastAsia="cs-CZ"/>
        </w:rPr>
        <w:drawing>
          <wp:inline distT="0" distB="0" distL="0" distR="0" wp14:anchorId="5D187D80" wp14:editId="3182A81B">
            <wp:extent cx="5029200" cy="365760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0848E2C" w14:textId="78F9C669" w:rsidR="001C59E2" w:rsidRPr="00730B1E" w:rsidRDefault="001C59E2" w:rsidP="001C59E2">
      <w:pPr>
        <w:pStyle w:val="Podnadpis"/>
        <w:rPr>
          <w:color w:val="auto"/>
        </w:rPr>
      </w:pPr>
      <w:bookmarkStart w:id="495" w:name="_Toc106106789"/>
      <w:bookmarkStart w:id="496" w:name="_Toc109802112"/>
      <w:bookmarkStart w:id="497" w:name="_Toc169251083"/>
      <w:bookmarkStart w:id="498" w:name="_Toc174080769"/>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26</w:t>
      </w:r>
      <w:r w:rsidRPr="00730B1E">
        <w:rPr>
          <w:color w:val="auto"/>
        </w:rPr>
        <w:fldChar w:fldCharType="end"/>
      </w:r>
      <w:r w:rsidRPr="00730B1E">
        <w:rPr>
          <w:color w:val="auto"/>
        </w:rPr>
        <w:t>: OS – míra odsouzení dle krajů</w:t>
      </w:r>
      <w:bookmarkEnd w:id="495"/>
      <w:bookmarkEnd w:id="496"/>
      <w:r w:rsidR="002263C3" w:rsidRPr="00730B1E">
        <w:rPr>
          <w:color w:val="auto"/>
        </w:rPr>
        <w:t>, 2023</w:t>
      </w:r>
      <w:bookmarkEnd w:id="497"/>
      <w:bookmarkEnd w:id="498"/>
    </w:p>
    <w:tbl>
      <w:tblPr>
        <w:tblW w:w="6300" w:type="dxa"/>
        <w:tblCellMar>
          <w:left w:w="70" w:type="dxa"/>
          <w:right w:w="70" w:type="dxa"/>
        </w:tblCellMar>
        <w:tblLook w:val="04A0" w:firstRow="1" w:lastRow="0" w:firstColumn="1" w:lastColumn="0" w:noHBand="0" w:noVBand="1"/>
      </w:tblPr>
      <w:tblGrid>
        <w:gridCol w:w="2780"/>
        <w:gridCol w:w="1447"/>
        <w:gridCol w:w="2073"/>
      </w:tblGrid>
      <w:tr w:rsidR="00B64E96" w:rsidRPr="00730B1E" w14:paraId="202125A2" w14:textId="77777777" w:rsidTr="00686F8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9AD658F" w14:textId="77777777" w:rsidR="00686F8C" w:rsidRPr="00730B1E" w:rsidRDefault="00686F8C" w:rsidP="00686F8C">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7C1DD92A" w14:textId="77777777" w:rsidR="00686F8C" w:rsidRPr="00730B1E" w:rsidRDefault="00686F8C" w:rsidP="00686F8C">
            <w:pPr>
              <w:spacing w:line="240" w:lineRule="auto"/>
              <w:jc w:val="center"/>
              <w:rPr>
                <w:rFonts w:eastAsia="Times New Roman"/>
                <w:b/>
                <w:bCs/>
                <w:szCs w:val="24"/>
                <w:lang w:eastAsia="cs-CZ"/>
              </w:rPr>
            </w:pPr>
            <w:r w:rsidRPr="00730B1E">
              <w:rPr>
                <w:rFonts w:eastAsia="Times New Roman"/>
                <w:b/>
                <w:bCs/>
                <w:szCs w:val="24"/>
                <w:lang w:eastAsia="cs-CZ"/>
              </w:rPr>
              <w:t xml:space="preserve">Míra odsouzení (v %) </w:t>
            </w:r>
          </w:p>
        </w:tc>
      </w:tr>
      <w:tr w:rsidR="00B64E96" w:rsidRPr="00730B1E" w14:paraId="5289557E" w14:textId="77777777" w:rsidTr="00686F8C">
        <w:trPr>
          <w:trHeight w:val="330"/>
        </w:trPr>
        <w:tc>
          <w:tcPr>
            <w:tcW w:w="2780" w:type="dxa"/>
            <w:tcBorders>
              <w:top w:val="nil"/>
              <w:left w:val="nil"/>
              <w:bottom w:val="single" w:sz="4" w:space="0" w:color="auto"/>
              <w:right w:val="nil"/>
            </w:tcBorders>
            <w:shd w:val="clear" w:color="auto" w:fill="auto"/>
            <w:noWrap/>
            <w:vAlign w:val="bottom"/>
            <w:hideMark/>
          </w:tcPr>
          <w:p w14:paraId="32AD779E" w14:textId="77777777" w:rsidR="00686F8C" w:rsidRPr="00730B1E" w:rsidRDefault="00686F8C" w:rsidP="00686F8C">
            <w:pPr>
              <w:spacing w:line="240" w:lineRule="auto"/>
              <w:jc w:val="left"/>
              <w:rPr>
                <w:rFonts w:eastAsia="Times New Roman"/>
                <w:szCs w:val="24"/>
                <w:lang w:eastAsia="cs-CZ"/>
              </w:rPr>
            </w:pPr>
            <w:r w:rsidRPr="00730B1E">
              <w:rPr>
                <w:rFonts w:eastAsia="Times New Roman"/>
                <w:szCs w:val="24"/>
                <w:lang w:eastAsia="cs-CZ"/>
              </w:rPr>
              <w:t>MS Praha</w:t>
            </w:r>
          </w:p>
        </w:tc>
        <w:tc>
          <w:tcPr>
            <w:tcW w:w="1447" w:type="dxa"/>
            <w:tcBorders>
              <w:top w:val="nil"/>
              <w:left w:val="nil"/>
              <w:bottom w:val="single" w:sz="4" w:space="0" w:color="auto"/>
              <w:right w:val="nil"/>
            </w:tcBorders>
            <w:shd w:val="clear" w:color="auto" w:fill="auto"/>
            <w:noWrap/>
            <w:vAlign w:val="bottom"/>
            <w:hideMark/>
          </w:tcPr>
          <w:p w14:paraId="43D2B1FA" w14:textId="508CC4B9" w:rsidR="00686F8C" w:rsidRPr="00730B1E" w:rsidRDefault="00686F8C" w:rsidP="00686F8C">
            <w:pPr>
              <w:spacing w:line="240" w:lineRule="auto"/>
              <w:jc w:val="center"/>
              <w:rPr>
                <w:rFonts w:eastAsia="Times New Roman"/>
                <w:szCs w:val="24"/>
                <w:lang w:eastAsia="cs-CZ"/>
              </w:rPr>
            </w:pPr>
            <w:r w:rsidRPr="00730B1E">
              <w:rPr>
                <w:rFonts w:eastAsia="Times New Roman"/>
                <w:szCs w:val="24"/>
                <w:lang w:eastAsia="cs-CZ"/>
              </w:rPr>
              <w:t>94,03</w:t>
            </w:r>
          </w:p>
        </w:tc>
        <w:tc>
          <w:tcPr>
            <w:tcW w:w="2073" w:type="dxa"/>
            <w:tcBorders>
              <w:top w:val="nil"/>
              <w:left w:val="nil"/>
              <w:bottom w:val="single" w:sz="4" w:space="0" w:color="auto"/>
              <w:right w:val="nil"/>
            </w:tcBorders>
            <w:shd w:val="clear" w:color="auto" w:fill="auto"/>
            <w:noWrap/>
            <w:vAlign w:val="center"/>
            <w:hideMark/>
          </w:tcPr>
          <w:p w14:paraId="0502ABE6" w14:textId="1F0FA0D3" w:rsidR="00686F8C" w:rsidRPr="00730B1E" w:rsidRDefault="00686F8C" w:rsidP="00686F8C">
            <w:pPr>
              <w:spacing w:line="240" w:lineRule="auto"/>
              <w:jc w:val="center"/>
              <w:rPr>
                <w:rFonts w:eastAsia="Times New Roman"/>
                <w:sz w:val="20"/>
                <w:szCs w:val="20"/>
                <w:lang w:eastAsia="cs-CZ"/>
              </w:rPr>
            </w:pPr>
            <w:r w:rsidRPr="00730B1E">
              <w:rPr>
                <w:rFonts w:eastAsia="Times New Roman"/>
                <w:sz w:val="20"/>
                <w:szCs w:val="20"/>
                <w:lang w:eastAsia="cs-CZ"/>
              </w:rPr>
              <w:t>+1,4 p.b.</w:t>
            </w:r>
          </w:p>
        </w:tc>
      </w:tr>
      <w:tr w:rsidR="00B64E96" w:rsidRPr="00730B1E" w14:paraId="3A596E6D" w14:textId="77777777" w:rsidTr="00686F8C">
        <w:trPr>
          <w:trHeight w:val="315"/>
        </w:trPr>
        <w:tc>
          <w:tcPr>
            <w:tcW w:w="2780" w:type="dxa"/>
            <w:tcBorders>
              <w:top w:val="nil"/>
              <w:left w:val="nil"/>
              <w:bottom w:val="single" w:sz="4" w:space="0" w:color="auto"/>
              <w:right w:val="nil"/>
            </w:tcBorders>
            <w:shd w:val="clear" w:color="auto" w:fill="auto"/>
            <w:noWrap/>
            <w:vAlign w:val="bottom"/>
            <w:hideMark/>
          </w:tcPr>
          <w:p w14:paraId="79A1B2CA" w14:textId="77777777" w:rsidR="00686F8C" w:rsidRPr="00730B1E" w:rsidRDefault="00686F8C" w:rsidP="00686F8C">
            <w:pPr>
              <w:spacing w:line="240" w:lineRule="auto"/>
              <w:jc w:val="left"/>
              <w:rPr>
                <w:rFonts w:eastAsia="Times New Roman"/>
                <w:szCs w:val="24"/>
                <w:lang w:eastAsia="cs-CZ"/>
              </w:rPr>
            </w:pPr>
            <w:r w:rsidRPr="00730B1E">
              <w:rPr>
                <w:rFonts w:eastAsia="Times New Roman"/>
                <w:szCs w:val="24"/>
                <w:lang w:eastAsia="cs-CZ"/>
              </w:rPr>
              <w:t>KS Praha</w:t>
            </w:r>
          </w:p>
        </w:tc>
        <w:tc>
          <w:tcPr>
            <w:tcW w:w="1447" w:type="dxa"/>
            <w:tcBorders>
              <w:top w:val="nil"/>
              <w:left w:val="nil"/>
              <w:bottom w:val="single" w:sz="4" w:space="0" w:color="auto"/>
              <w:right w:val="nil"/>
            </w:tcBorders>
            <w:shd w:val="clear" w:color="auto" w:fill="auto"/>
            <w:noWrap/>
            <w:vAlign w:val="bottom"/>
            <w:hideMark/>
          </w:tcPr>
          <w:p w14:paraId="4B54DE6D" w14:textId="68674B8B" w:rsidR="00686F8C" w:rsidRPr="00730B1E" w:rsidRDefault="00686F8C" w:rsidP="00686F8C">
            <w:pPr>
              <w:spacing w:line="240" w:lineRule="auto"/>
              <w:jc w:val="center"/>
              <w:rPr>
                <w:rFonts w:eastAsia="Times New Roman"/>
                <w:szCs w:val="24"/>
                <w:lang w:eastAsia="cs-CZ"/>
              </w:rPr>
            </w:pPr>
            <w:r w:rsidRPr="00730B1E">
              <w:rPr>
                <w:rFonts w:eastAsia="Times New Roman"/>
                <w:szCs w:val="24"/>
                <w:lang w:eastAsia="cs-CZ"/>
              </w:rPr>
              <w:t>95,68</w:t>
            </w:r>
          </w:p>
        </w:tc>
        <w:tc>
          <w:tcPr>
            <w:tcW w:w="2073" w:type="dxa"/>
            <w:tcBorders>
              <w:top w:val="nil"/>
              <w:left w:val="nil"/>
              <w:bottom w:val="single" w:sz="4" w:space="0" w:color="auto"/>
              <w:right w:val="nil"/>
            </w:tcBorders>
            <w:shd w:val="clear" w:color="auto" w:fill="auto"/>
            <w:noWrap/>
            <w:vAlign w:val="center"/>
            <w:hideMark/>
          </w:tcPr>
          <w:p w14:paraId="11E5DCEF" w14:textId="5C7C997C" w:rsidR="00686F8C" w:rsidRPr="00730B1E" w:rsidRDefault="00686F8C" w:rsidP="00686F8C">
            <w:pPr>
              <w:spacing w:line="240" w:lineRule="auto"/>
              <w:jc w:val="center"/>
              <w:rPr>
                <w:rFonts w:eastAsia="Times New Roman"/>
                <w:sz w:val="20"/>
                <w:szCs w:val="20"/>
                <w:lang w:eastAsia="cs-CZ"/>
              </w:rPr>
            </w:pPr>
            <w:r w:rsidRPr="00730B1E">
              <w:rPr>
                <w:rFonts w:eastAsia="Times New Roman"/>
                <w:sz w:val="20"/>
                <w:szCs w:val="20"/>
                <w:lang w:eastAsia="cs-CZ"/>
              </w:rPr>
              <w:t>+1,0 p.b.</w:t>
            </w:r>
          </w:p>
        </w:tc>
      </w:tr>
      <w:tr w:rsidR="00B64E96" w:rsidRPr="00730B1E" w14:paraId="01F2F057" w14:textId="77777777" w:rsidTr="00686F8C">
        <w:trPr>
          <w:trHeight w:val="315"/>
        </w:trPr>
        <w:tc>
          <w:tcPr>
            <w:tcW w:w="2780" w:type="dxa"/>
            <w:tcBorders>
              <w:top w:val="nil"/>
              <w:left w:val="nil"/>
              <w:bottom w:val="single" w:sz="4" w:space="0" w:color="auto"/>
              <w:right w:val="nil"/>
            </w:tcBorders>
            <w:shd w:val="clear" w:color="auto" w:fill="auto"/>
            <w:noWrap/>
            <w:vAlign w:val="bottom"/>
            <w:hideMark/>
          </w:tcPr>
          <w:p w14:paraId="13EE2EE1" w14:textId="77777777" w:rsidR="00686F8C" w:rsidRPr="00730B1E" w:rsidRDefault="00686F8C" w:rsidP="00686F8C">
            <w:pPr>
              <w:spacing w:line="240" w:lineRule="auto"/>
              <w:jc w:val="left"/>
              <w:rPr>
                <w:rFonts w:eastAsia="Times New Roman"/>
                <w:szCs w:val="24"/>
                <w:lang w:eastAsia="cs-CZ"/>
              </w:rPr>
            </w:pPr>
            <w:r w:rsidRPr="00730B1E">
              <w:rPr>
                <w:rFonts w:eastAsia="Times New Roman"/>
                <w:szCs w:val="24"/>
                <w:lang w:eastAsia="cs-CZ"/>
              </w:rPr>
              <w:t>KS Č. Budějovice</w:t>
            </w:r>
          </w:p>
        </w:tc>
        <w:tc>
          <w:tcPr>
            <w:tcW w:w="1447" w:type="dxa"/>
            <w:tcBorders>
              <w:top w:val="nil"/>
              <w:left w:val="nil"/>
              <w:bottom w:val="single" w:sz="4" w:space="0" w:color="auto"/>
              <w:right w:val="nil"/>
            </w:tcBorders>
            <w:shd w:val="clear" w:color="auto" w:fill="auto"/>
            <w:noWrap/>
            <w:vAlign w:val="bottom"/>
            <w:hideMark/>
          </w:tcPr>
          <w:p w14:paraId="33893B11" w14:textId="297CED11" w:rsidR="00686F8C" w:rsidRPr="00730B1E" w:rsidRDefault="00686F8C" w:rsidP="00686F8C">
            <w:pPr>
              <w:spacing w:line="240" w:lineRule="auto"/>
              <w:jc w:val="center"/>
              <w:rPr>
                <w:rFonts w:eastAsia="Times New Roman"/>
                <w:szCs w:val="24"/>
                <w:lang w:eastAsia="cs-CZ"/>
              </w:rPr>
            </w:pPr>
            <w:r w:rsidRPr="00730B1E">
              <w:rPr>
                <w:rFonts w:eastAsia="Times New Roman"/>
                <w:szCs w:val="24"/>
                <w:lang w:eastAsia="cs-CZ"/>
              </w:rPr>
              <w:t>92,82</w:t>
            </w:r>
          </w:p>
        </w:tc>
        <w:tc>
          <w:tcPr>
            <w:tcW w:w="2073" w:type="dxa"/>
            <w:tcBorders>
              <w:top w:val="nil"/>
              <w:left w:val="nil"/>
              <w:bottom w:val="single" w:sz="4" w:space="0" w:color="auto"/>
              <w:right w:val="nil"/>
            </w:tcBorders>
            <w:shd w:val="clear" w:color="auto" w:fill="auto"/>
            <w:noWrap/>
            <w:vAlign w:val="center"/>
            <w:hideMark/>
          </w:tcPr>
          <w:p w14:paraId="32ABC009" w14:textId="630A1DE0" w:rsidR="00686F8C" w:rsidRPr="00730B1E" w:rsidRDefault="00686F8C" w:rsidP="00686F8C">
            <w:pPr>
              <w:spacing w:line="240" w:lineRule="auto"/>
              <w:jc w:val="center"/>
              <w:rPr>
                <w:rFonts w:eastAsia="Times New Roman"/>
                <w:sz w:val="20"/>
                <w:szCs w:val="20"/>
                <w:lang w:eastAsia="cs-CZ"/>
              </w:rPr>
            </w:pPr>
            <w:r w:rsidRPr="00730B1E">
              <w:rPr>
                <w:rFonts w:eastAsia="Times New Roman"/>
                <w:sz w:val="20"/>
                <w:szCs w:val="20"/>
                <w:lang w:eastAsia="cs-CZ"/>
              </w:rPr>
              <w:t>+0,4 p.b.</w:t>
            </w:r>
          </w:p>
        </w:tc>
      </w:tr>
      <w:tr w:rsidR="00B64E96" w:rsidRPr="00730B1E" w14:paraId="17306434" w14:textId="77777777" w:rsidTr="00686F8C">
        <w:trPr>
          <w:trHeight w:val="315"/>
        </w:trPr>
        <w:tc>
          <w:tcPr>
            <w:tcW w:w="2780" w:type="dxa"/>
            <w:tcBorders>
              <w:top w:val="nil"/>
              <w:left w:val="nil"/>
              <w:bottom w:val="single" w:sz="4" w:space="0" w:color="auto"/>
              <w:right w:val="nil"/>
            </w:tcBorders>
            <w:shd w:val="clear" w:color="auto" w:fill="auto"/>
            <w:noWrap/>
            <w:vAlign w:val="bottom"/>
            <w:hideMark/>
          </w:tcPr>
          <w:p w14:paraId="5FFAEFA1" w14:textId="77777777" w:rsidR="00686F8C" w:rsidRPr="00730B1E" w:rsidRDefault="00686F8C" w:rsidP="00686F8C">
            <w:pPr>
              <w:spacing w:line="240" w:lineRule="auto"/>
              <w:jc w:val="left"/>
              <w:rPr>
                <w:rFonts w:eastAsia="Times New Roman"/>
                <w:szCs w:val="24"/>
                <w:lang w:eastAsia="cs-CZ"/>
              </w:rPr>
            </w:pPr>
            <w:r w:rsidRPr="00730B1E">
              <w:rPr>
                <w:rFonts w:eastAsia="Times New Roman"/>
                <w:szCs w:val="24"/>
                <w:lang w:eastAsia="cs-CZ"/>
              </w:rPr>
              <w:t>KS Plzeň</w:t>
            </w:r>
          </w:p>
        </w:tc>
        <w:tc>
          <w:tcPr>
            <w:tcW w:w="1447" w:type="dxa"/>
            <w:tcBorders>
              <w:top w:val="nil"/>
              <w:left w:val="nil"/>
              <w:bottom w:val="single" w:sz="4" w:space="0" w:color="auto"/>
              <w:right w:val="nil"/>
            </w:tcBorders>
            <w:shd w:val="clear" w:color="auto" w:fill="auto"/>
            <w:noWrap/>
            <w:vAlign w:val="bottom"/>
            <w:hideMark/>
          </w:tcPr>
          <w:p w14:paraId="38C7CBE8" w14:textId="5823A1C8" w:rsidR="00686F8C" w:rsidRPr="00730B1E" w:rsidRDefault="00686F8C" w:rsidP="00686F8C">
            <w:pPr>
              <w:spacing w:line="240" w:lineRule="auto"/>
              <w:jc w:val="center"/>
              <w:rPr>
                <w:rFonts w:eastAsia="Times New Roman"/>
                <w:szCs w:val="24"/>
                <w:lang w:eastAsia="cs-CZ"/>
              </w:rPr>
            </w:pPr>
            <w:r w:rsidRPr="00730B1E">
              <w:rPr>
                <w:rFonts w:eastAsia="Times New Roman"/>
                <w:szCs w:val="24"/>
                <w:lang w:eastAsia="cs-CZ"/>
              </w:rPr>
              <w:t>94,99</w:t>
            </w:r>
          </w:p>
        </w:tc>
        <w:tc>
          <w:tcPr>
            <w:tcW w:w="2073" w:type="dxa"/>
            <w:tcBorders>
              <w:top w:val="nil"/>
              <w:left w:val="nil"/>
              <w:bottom w:val="single" w:sz="4" w:space="0" w:color="auto"/>
              <w:right w:val="nil"/>
            </w:tcBorders>
            <w:shd w:val="clear" w:color="auto" w:fill="auto"/>
            <w:noWrap/>
            <w:vAlign w:val="center"/>
            <w:hideMark/>
          </w:tcPr>
          <w:p w14:paraId="63E65AA5" w14:textId="3DF99EF6" w:rsidR="00686F8C" w:rsidRPr="00730B1E" w:rsidRDefault="00686F8C" w:rsidP="00686F8C">
            <w:pPr>
              <w:spacing w:line="240" w:lineRule="auto"/>
              <w:jc w:val="center"/>
              <w:rPr>
                <w:rFonts w:eastAsia="Times New Roman"/>
                <w:sz w:val="20"/>
                <w:szCs w:val="20"/>
                <w:lang w:eastAsia="cs-CZ"/>
              </w:rPr>
            </w:pPr>
            <w:r w:rsidRPr="00730B1E">
              <w:rPr>
                <w:rFonts w:eastAsia="Times New Roman"/>
                <w:sz w:val="20"/>
                <w:szCs w:val="20"/>
                <w:lang w:eastAsia="cs-CZ"/>
              </w:rPr>
              <w:t>+0,2 p.b.</w:t>
            </w:r>
          </w:p>
        </w:tc>
      </w:tr>
      <w:tr w:rsidR="00B64E96" w:rsidRPr="00730B1E" w14:paraId="5AE64ECA" w14:textId="77777777" w:rsidTr="00686F8C">
        <w:trPr>
          <w:trHeight w:val="315"/>
        </w:trPr>
        <w:tc>
          <w:tcPr>
            <w:tcW w:w="2780" w:type="dxa"/>
            <w:tcBorders>
              <w:top w:val="nil"/>
              <w:left w:val="nil"/>
              <w:bottom w:val="single" w:sz="4" w:space="0" w:color="auto"/>
              <w:right w:val="nil"/>
            </w:tcBorders>
            <w:shd w:val="clear" w:color="auto" w:fill="auto"/>
            <w:noWrap/>
            <w:vAlign w:val="bottom"/>
            <w:hideMark/>
          </w:tcPr>
          <w:p w14:paraId="3680E6D3" w14:textId="77777777" w:rsidR="00686F8C" w:rsidRPr="00730B1E" w:rsidRDefault="00686F8C" w:rsidP="00686F8C">
            <w:pPr>
              <w:spacing w:line="240" w:lineRule="auto"/>
              <w:jc w:val="left"/>
              <w:rPr>
                <w:rFonts w:eastAsia="Times New Roman"/>
                <w:szCs w:val="24"/>
                <w:lang w:eastAsia="cs-CZ"/>
              </w:rPr>
            </w:pPr>
            <w:r w:rsidRPr="00730B1E">
              <w:rPr>
                <w:rFonts w:eastAsia="Times New Roman"/>
                <w:szCs w:val="24"/>
                <w:lang w:eastAsia="cs-CZ"/>
              </w:rPr>
              <w:t>KS Ústí n. Labem</w:t>
            </w:r>
          </w:p>
        </w:tc>
        <w:tc>
          <w:tcPr>
            <w:tcW w:w="1447" w:type="dxa"/>
            <w:tcBorders>
              <w:top w:val="nil"/>
              <w:left w:val="nil"/>
              <w:bottom w:val="single" w:sz="4" w:space="0" w:color="auto"/>
              <w:right w:val="nil"/>
            </w:tcBorders>
            <w:shd w:val="clear" w:color="auto" w:fill="auto"/>
            <w:noWrap/>
            <w:vAlign w:val="bottom"/>
            <w:hideMark/>
          </w:tcPr>
          <w:p w14:paraId="0A23EE85" w14:textId="778237DB" w:rsidR="00686F8C" w:rsidRPr="00730B1E" w:rsidRDefault="00686F8C" w:rsidP="00686F8C">
            <w:pPr>
              <w:spacing w:line="240" w:lineRule="auto"/>
              <w:jc w:val="center"/>
              <w:rPr>
                <w:rFonts w:eastAsia="Times New Roman"/>
                <w:szCs w:val="24"/>
                <w:lang w:eastAsia="cs-CZ"/>
              </w:rPr>
            </w:pPr>
            <w:r w:rsidRPr="00730B1E">
              <w:rPr>
                <w:rFonts w:eastAsia="Times New Roman"/>
                <w:szCs w:val="24"/>
                <w:lang w:eastAsia="cs-CZ"/>
              </w:rPr>
              <w:t>93,30</w:t>
            </w:r>
          </w:p>
        </w:tc>
        <w:tc>
          <w:tcPr>
            <w:tcW w:w="2073" w:type="dxa"/>
            <w:tcBorders>
              <w:top w:val="nil"/>
              <w:left w:val="nil"/>
              <w:bottom w:val="single" w:sz="4" w:space="0" w:color="auto"/>
              <w:right w:val="nil"/>
            </w:tcBorders>
            <w:shd w:val="clear" w:color="auto" w:fill="auto"/>
            <w:noWrap/>
            <w:vAlign w:val="center"/>
            <w:hideMark/>
          </w:tcPr>
          <w:p w14:paraId="1F820AD5" w14:textId="30CC191E" w:rsidR="00686F8C" w:rsidRPr="00730B1E" w:rsidRDefault="00686F8C" w:rsidP="00686F8C">
            <w:pPr>
              <w:spacing w:line="240" w:lineRule="auto"/>
              <w:jc w:val="center"/>
              <w:rPr>
                <w:rFonts w:eastAsia="Times New Roman"/>
                <w:sz w:val="20"/>
                <w:szCs w:val="20"/>
                <w:lang w:eastAsia="cs-CZ"/>
              </w:rPr>
            </w:pPr>
            <w:r w:rsidRPr="00730B1E">
              <w:rPr>
                <w:rFonts w:eastAsia="Times New Roman"/>
                <w:sz w:val="20"/>
                <w:szCs w:val="20"/>
                <w:lang w:eastAsia="cs-CZ"/>
              </w:rPr>
              <w:t>+1,5 p.b.</w:t>
            </w:r>
          </w:p>
        </w:tc>
      </w:tr>
      <w:tr w:rsidR="00B64E96" w:rsidRPr="00730B1E" w14:paraId="5C23D946" w14:textId="77777777" w:rsidTr="00686F8C">
        <w:trPr>
          <w:trHeight w:val="315"/>
        </w:trPr>
        <w:tc>
          <w:tcPr>
            <w:tcW w:w="2780" w:type="dxa"/>
            <w:tcBorders>
              <w:top w:val="nil"/>
              <w:left w:val="nil"/>
              <w:bottom w:val="single" w:sz="4" w:space="0" w:color="auto"/>
              <w:right w:val="nil"/>
            </w:tcBorders>
            <w:shd w:val="clear" w:color="auto" w:fill="auto"/>
            <w:noWrap/>
            <w:vAlign w:val="bottom"/>
            <w:hideMark/>
          </w:tcPr>
          <w:p w14:paraId="50698B2D" w14:textId="77777777" w:rsidR="00686F8C" w:rsidRPr="00730B1E" w:rsidRDefault="00686F8C" w:rsidP="00686F8C">
            <w:pPr>
              <w:spacing w:line="240" w:lineRule="auto"/>
              <w:jc w:val="left"/>
              <w:rPr>
                <w:rFonts w:eastAsia="Times New Roman"/>
                <w:szCs w:val="24"/>
                <w:lang w:eastAsia="cs-CZ"/>
              </w:rPr>
            </w:pPr>
            <w:r w:rsidRPr="00730B1E">
              <w:rPr>
                <w:rFonts w:eastAsia="Times New Roman"/>
                <w:szCs w:val="24"/>
                <w:lang w:eastAsia="cs-CZ"/>
              </w:rPr>
              <w:t>KS Hr. Králové</w:t>
            </w:r>
          </w:p>
        </w:tc>
        <w:tc>
          <w:tcPr>
            <w:tcW w:w="1447" w:type="dxa"/>
            <w:tcBorders>
              <w:top w:val="nil"/>
              <w:left w:val="nil"/>
              <w:bottom w:val="single" w:sz="4" w:space="0" w:color="auto"/>
              <w:right w:val="nil"/>
            </w:tcBorders>
            <w:shd w:val="clear" w:color="auto" w:fill="auto"/>
            <w:noWrap/>
            <w:vAlign w:val="bottom"/>
            <w:hideMark/>
          </w:tcPr>
          <w:p w14:paraId="7C0D177C" w14:textId="464BC201" w:rsidR="00686F8C" w:rsidRPr="00730B1E" w:rsidRDefault="00686F8C" w:rsidP="00686F8C">
            <w:pPr>
              <w:spacing w:line="240" w:lineRule="auto"/>
              <w:jc w:val="center"/>
              <w:rPr>
                <w:rFonts w:eastAsia="Times New Roman"/>
                <w:szCs w:val="24"/>
                <w:lang w:eastAsia="cs-CZ"/>
              </w:rPr>
            </w:pPr>
            <w:r w:rsidRPr="00730B1E">
              <w:rPr>
                <w:rFonts w:eastAsia="Times New Roman"/>
                <w:szCs w:val="24"/>
                <w:lang w:eastAsia="cs-CZ"/>
              </w:rPr>
              <w:t>94,96</w:t>
            </w:r>
          </w:p>
        </w:tc>
        <w:tc>
          <w:tcPr>
            <w:tcW w:w="2073" w:type="dxa"/>
            <w:tcBorders>
              <w:top w:val="nil"/>
              <w:left w:val="nil"/>
              <w:bottom w:val="single" w:sz="4" w:space="0" w:color="auto"/>
              <w:right w:val="nil"/>
            </w:tcBorders>
            <w:shd w:val="clear" w:color="auto" w:fill="auto"/>
            <w:noWrap/>
            <w:vAlign w:val="center"/>
            <w:hideMark/>
          </w:tcPr>
          <w:p w14:paraId="1D4ADD98" w14:textId="28EA40F4" w:rsidR="00686F8C" w:rsidRPr="00730B1E" w:rsidRDefault="00686F8C" w:rsidP="00686F8C">
            <w:pPr>
              <w:spacing w:line="240" w:lineRule="auto"/>
              <w:jc w:val="center"/>
              <w:rPr>
                <w:rFonts w:eastAsia="Times New Roman"/>
                <w:sz w:val="20"/>
                <w:szCs w:val="20"/>
                <w:lang w:eastAsia="cs-CZ"/>
              </w:rPr>
            </w:pPr>
            <w:r w:rsidRPr="00730B1E">
              <w:rPr>
                <w:rFonts w:eastAsia="Times New Roman"/>
                <w:sz w:val="20"/>
                <w:szCs w:val="20"/>
                <w:lang w:eastAsia="cs-CZ"/>
              </w:rPr>
              <w:t>+0,3 p.b.</w:t>
            </w:r>
          </w:p>
        </w:tc>
      </w:tr>
      <w:tr w:rsidR="00B64E96" w:rsidRPr="00730B1E" w14:paraId="3175FB4A" w14:textId="77777777" w:rsidTr="00686F8C">
        <w:trPr>
          <w:trHeight w:val="315"/>
        </w:trPr>
        <w:tc>
          <w:tcPr>
            <w:tcW w:w="2780" w:type="dxa"/>
            <w:tcBorders>
              <w:top w:val="nil"/>
              <w:left w:val="nil"/>
              <w:bottom w:val="single" w:sz="4" w:space="0" w:color="auto"/>
              <w:right w:val="nil"/>
            </w:tcBorders>
            <w:shd w:val="clear" w:color="auto" w:fill="auto"/>
            <w:noWrap/>
            <w:vAlign w:val="bottom"/>
            <w:hideMark/>
          </w:tcPr>
          <w:p w14:paraId="66533017" w14:textId="77777777" w:rsidR="00686F8C" w:rsidRPr="00730B1E" w:rsidRDefault="00686F8C" w:rsidP="00686F8C">
            <w:pPr>
              <w:spacing w:line="240" w:lineRule="auto"/>
              <w:jc w:val="left"/>
              <w:rPr>
                <w:rFonts w:eastAsia="Times New Roman"/>
                <w:szCs w:val="24"/>
                <w:lang w:eastAsia="cs-CZ"/>
              </w:rPr>
            </w:pPr>
            <w:r w:rsidRPr="00730B1E">
              <w:rPr>
                <w:rFonts w:eastAsia="Times New Roman"/>
                <w:szCs w:val="24"/>
                <w:lang w:eastAsia="cs-CZ"/>
              </w:rPr>
              <w:t>KS Brno</w:t>
            </w:r>
          </w:p>
        </w:tc>
        <w:tc>
          <w:tcPr>
            <w:tcW w:w="1447" w:type="dxa"/>
            <w:tcBorders>
              <w:top w:val="nil"/>
              <w:left w:val="nil"/>
              <w:bottom w:val="single" w:sz="4" w:space="0" w:color="auto"/>
              <w:right w:val="nil"/>
            </w:tcBorders>
            <w:shd w:val="clear" w:color="auto" w:fill="auto"/>
            <w:noWrap/>
            <w:vAlign w:val="bottom"/>
            <w:hideMark/>
          </w:tcPr>
          <w:p w14:paraId="2068BE25" w14:textId="3A2F9250" w:rsidR="00686F8C" w:rsidRPr="00730B1E" w:rsidRDefault="00686F8C" w:rsidP="00686F8C">
            <w:pPr>
              <w:spacing w:line="240" w:lineRule="auto"/>
              <w:jc w:val="center"/>
              <w:rPr>
                <w:rFonts w:eastAsia="Times New Roman"/>
                <w:szCs w:val="24"/>
                <w:lang w:eastAsia="cs-CZ"/>
              </w:rPr>
            </w:pPr>
            <w:r w:rsidRPr="00730B1E">
              <w:rPr>
                <w:rFonts w:eastAsia="Times New Roman"/>
                <w:szCs w:val="24"/>
                <w:lang w:eastAsia="cs-CZ"/>
              </w:rPr>
              <w:t>94,19</w:t>
            </w:r>
          </w:p>
        </w:tc>
        <w:tc>
          <w:tcPr>
            <w:tcW w:w="2073" w:type="dxa"/>
            <w:tcBorders>
              <w:top w:val="nil"/>
              <w:left w:val="nil"/>
              <w:bottom w:val="single" w:sz="4" w:space="0" w:color="auto"/>
              <w:right w:val="nil"/>
            </w:tcBorders>
            <w:shd w:val="clear" w:color="auto" w:fill="auto"/>
            <w:noWrap/>
            <w:vAlign w:val="center"/>
            <w:hideMark/>
          </w:tcPr>
          <w:p w14:paraId="6D535879" w14:textId="22F5429E" w:rsidR="00686F8C" w:rsidRPr="00730B1E" w:rsidRDefault="00686F8C" w:rsidP="00686F8C">
            <w:pPr>
              <w:spacing w:line="240" w:lineRule="auto"/>
              <w:jc w:val="center"/>
              <w:rPr>
                <w:rFonts w:eastAsia="Times New Roman"/>
                <w:sz w:val="20"/>
                <w:szCs w:val="20"/>
                <w:lang w:eastAsia="cs-CZ"/>
              </w:rPr>
            </w:pPr>
            <w:r w:rsidRPr="00730B1E">
              <w:rPr>
                <w:rFonts w:eastAsia="Times New Roman"/>
                <w:sz w:val="20"/>
                <w:szCs w:val="20"/>
                <w:lang w:eastAsia="cs-CZ"/>
              </w:rPr>
              <w:t>+0,9 p.b.</w:t>
            </w:r>
          </w:p>
        </w:tc>
      </w:tr>
      <w:tr w:rsidR="00B64E96" w:rsidRPr="00730B1E" w14:paraId="1057DD5A" w14:textId="77777777" w:rsidTr="00686F8C">
        <w:trPr>
          <w:trHeight w:val="330"/>
        </w:trPr>
        <w:tc>
          <w:tcPr>
            <w:tcW w:w="2780" w:type="dxa"/>
            <w:tcBorders>
              <w:top w:val="nil"/>
              <w:left w:val="nil"/>
              <w:bottom w:val="double" w:sz="6" w:space="0" w:color="auto"/>
              <w:right w:val="nil"/>
            </w:tcBorders>
            <w:shd w:val="clear" w:color="auto" w:fill="auto"/>
            <w:noWrap/>
            <w:vAlign w:val="bottom"/>
            <w:hideMark/>
          </w:tcPr>
          <w:p w14:paraId="16361DED" w14:textId="77777777" w:rsidR="00686F8C" w:rsidRPr="00730B1E" w:rsidRDefault="00686F8C" w:rsidP="00686F8C">
            <w:pPr>
              <w:spacing w:line="240" w:lineRule="auto"/>
              <w:jc w:val="left"/>
              <w:rPr>
                <w:rFonts w:eastAsia="Times New Roman"/>
                <w:szCs w:val="24"/>
                <w:lang w:eastAsia="cs-CZ"/>
              </w:rPr>
            </w:pPr>
            <w:r w:rsidRPr="00730B1E">
              <w:rPr>
                <w:rFonts w:eastAsia="Times New Roman"/>
                <w:szCs w:val="24"/>
                <w:lang w:eastAsia="cs-CZ"/>
              </w:rPr>
              <w:t>KS Ostrava</w:t>
            </w:r>
          </w:p>
        </w:tc>
        <w:tc>
          <w:tcPr>
            <w:tcW w:w="1447" w:type="dxa"/>
            <w:tcBorders>
              <w:top w:val="nil"/>
              <w:left w:val="nil"/>
              <w:bottom w:val="double" w:sz="6" w:space="0" w:color="auto"/>
              <w:right w:val="nil"/>
            </w:tcBorders>
            <w:shd w:val="clear" w:color="auto" w:fill="auto"/>
            <w:noWrap/>
            <w:vAlign w:val="bottom"/>
            <w:hideMark/>
          </w:tcPr>
          <w:p w14:paraId="3526D0FC" w14:textId="5FB528BC" w:rsidR="00686F8C" w:rsidRPr="00730B1E" w:rsidRDefault="00686F8C" w:rsidP="00686F8C">
            <w:pPr>
              <w:spacing w:line="240" w:lineRule="auto"/>
              <w:jc w:val="center"/>
              <w:rPr>
                <w:rFonts w:eastAsia="Times New Roman"/>
                <w:szCs w:val="24"/>
                <w:lang w:eastAsia="cs-CZ"/>
              </w:rPr>
            </w:pPr>
            <w:r w:rsidRPr="00730B1E">
              <w:rPr>
                <w:rFonts w:eastAsia="Times New Roman"/>
                <w:szCs w:val="24"/>
                <w:lang w:eastAsia="cs-CZ"/>
              </w:rPr>
              <w:t>95,18</w:t>
            </w:r>
          </w:p>
        </w:tc>
        <w:tc>
          <w:tcPr>
            <w:tcW w:w="2073" w:type="dxa"/>
            <w:tcBorders>
              <w:top w:val="nil"/>
              <w:left w:val="nil"/>
              <w:bottom w:val="double" w:sz="6" w:space="0" w:color="auto"/>
              <w:right w:val="nil"/>
            </w:tcBorders>
            <w:shd w:val="clear" w:color="auto" w:fill="auto"/>
            <w:noWrap/>
            <w:vAlign w:val="center"/>
            <w:hideMark/>
          </w:tcPr>
          <w:p w14:paraId="2D2C1CC1" w14:textId="211B0799" w:rsidR="00686F8C" w:rsidRPr="00730B1E" w:rsidRDefault="00686F8C" w:rsidP="00686F8C">
            <w:pPr>
              <w:spacing w:line="240" w:lineRule="auto"/>
              <w:jc w:val="center"/>
              <w:rPr>
                <w:rFonts w:eastAsia="Times New Roman"/>
                <w:sz w:val="20"/>
                <w:szCs w:val="20"/>
                <w:lang w:eastAsia="cs-CZ"/>
              </w:rPr>
            </w:pPr>
            <w:r w:rsidRPr="00730B1E">
              <w:rPr>
                <w:rFonts w:eastAsia="Times New Roman"/>
                <w:sz w:val="20"/>
                <w:szCs w:val="20"/>
                <w:lang w:eastAsia="cs-CZ"/>
              </w:rPr>
              <w:t>+0,2 p.b.</w:t>
            </w:r>
          </w:p>
        </w:tc>
      </w:tr>
      <w:tr w:rsidR="00B64E96" w:rsidRPr="00730B1E" w14:paraId="5432A880" w14:textId="77777777" w:rsidTr="00686F8C">
        <w:trPr>
          <w:trHeight w:val="345"/>
        </w:trPr>
        <w:tc>
          <w:tcPr>
            <w:tcW w:w="2780" w:type="dxa"/>
            <w:tcBorders>
              <w:top w:val="nil"/>
              <w:left w:val="nil"/>
              <w:bottom w:val="double" w:sz="6" w:space="0" w:color="auto"/>
              <w:right w:val="nil"/>
            </w:tcBorders>
            <w:shd w:val="clear" w:color="auto" w:fill="auto"/>
            <w:noWrap/>
            <w:vAlign w:val="bottom"/>
            <w:hideMark/>
          </w:tcPr>
          <w:p w14:paraId="15D372E1" w14:textId="77777777" w:rsidR="00686F8C" w:rsidRPr="00730B1E" w:rsidRDefault="00686F8C" w:rsidP="00686F8C">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447" w:type="dxa"/>
            <w:tcBorders>
              <w:top w:val="nil"/>
              <w:left w:val="nil"/>
              <w:bottom w:val="double" w:sz="6" w:space="0" w:color="auto"/>
              <w:right w:val="nil"/>
            </w:tcBorders>
            <w:shd w:val="clear" w:color="auto" w:fill="auto"/>
            <w:noWrap/>
            <w:vAlign w:val="bottom"/>
            <w:hideMark/>
          </w:tcPr>
          <w:p w14:paraId="6BEAE984" w14:textId="4D53B2DC" w:rsidR="00686F8C" w:rsidRPr="00730B1E" w:rsidRDefault="00686F8C" w:rsidP="00686F8C">
            <w:pPr>
              <w:spacing w:line="240" w:lineRule="auto"/>
              <w:jc w:val="center"/>
              <w:rPr>
                <w:rFonts w:eastAsia="Times New Roman"/>
                <w:b/>
                <w:bCs/>
                <w:szCs w:val="24"/>
                <w:lang w:eastAsia="cs-CZ"/>
              </w:rPr>
            </w:pPr>
            <w:r w:rsidRPr="00730B1E">
              <w:rPr>
                <w:rFonts w:eastAsia="Times New Roman"/>
                <w:b/>
                <w:bCs/>
                <w:szCs w:val="24"/>
                <w:lang w:eastAsia="cs-CZ"/>
              </w:rPr>
              <w:t>94,42</w:t>
            </w:r>
          </w:p>
        </w:tc>
        <w:tc>
          <w:tcPr>
            <w:tcW w:w="2073" w:type="dxa"/>
            <w:tcBorders>
              <w:top w:val="nil"/>
              <w:left w:val="nil"/>
              <w:bottom w:val="double" w:sz="6" w:space="0" w:color="auto"/>
              <w:right w:val="nil"/>
            </w:tcBorders>
            <w:shd w:val="clear" w:color="auto" w:fill="auto"/>
            <w:noWrap/>
            <w:vAlign w:val="center"/>
            <w:hideMark/>
          </w:tcPr>
          <w:p w14:paraId="2E0D6D9B" w14:textId="70FB970F" w:rsidR="00686F8C" w:rsidRPr="00730B1E" w:rsidRDefault="00686F8C" w:rsidP="00686F8C">
            <w:pPr>
              <w:spacing w:line="240" w:lineRule="auto"/>
              <w:jc w:val="center"/>
              <w:rPr>
                <w:rFonts w:eastAsia="Times New Roman"/>
                <w:b/>
                <w:bCs/>
                <w:sz w:val="20"/>
                <w:szCs w:val="20"/>
                <w:lang w:eastAsia="cs-CZ"/>
              </w:rPr>
            </w:pPr>
            <w:r w:rsidRPr="00730B1E">
              <w:rPr>
                <w:rFonts w:eastAsia="Times New Roman"/>
                <w:b/>
                <w:bCs/>
                <w:sz w:val="20"/>
                <w:szCs w:val="20"/>
                <w:lang w:eastAsia="cs-CZ"/>
              </w:rPr>
              <w:t>+0,8 p.b.</w:t>
            </w:r>
          </w:p>
        </w:tc>
      </w:tr>
      <w:tr w:rsidR="00B64E96" w:rsidRPr="00730B1E" w14:paraId="6E29CBD7" w14:textId="77777777" w:rsidTr="00686F8C">
        <w:trPr>
          <w:trHeight w:val="330"/>
        </w:trPr>
        <w:tc>
          <w:tcPr>
            <w:tcW w:w="2780" w:type="dxa"/>
            <w:tcBorders>
              <w:top w:val="nil"/>
              <w:left w:val="nil"/>
              <w:bottom w:val="nil"/>
              <w:right w:val="nil"/>
            </w:tcBorders>
            <w:shd w:val="clear" w:color="auto" w:fill="auto"/>
            <w:noWrap/>
            <w:vAlign w:val="bottom"/>
            <w:hideMark/>
          </w:tcPr>
          <w:p w14:paraId="3677247F" w14:textId="77777777" w:rsidR="00686F8C" w:rsidRPr="00730B1E" w:rsidRDefault="00686F8C" w:rsidP="00686F8C">
            <w:pPr>
              <w:spacing w:line="240" w:lineRule="auto"/>
              <w:jc w:val="right"/>
              <w:rPr>
                <w:rFonts w:eastAsia="Times New Roman"/>
                <w:b/>
                <w:bCs/>
                <w:sz w:val="20"/>
                <w:szCs w:val="20"/>
                <w:lang w:eastAsia="cs-CZ"/>
              </w:rPr>
            </w:pPr>
          </w:p>
        </w:tc>
        <w:tc>
          <w:tcPr>
            <w:tcW w:w="1447" w:type="dxa"/>
            <w:tcBorders>
              <w:top w:val="nil"/>
              <w:left w:val="nil"/>
              <w:bottom w:val="nil"/>
              <w:right w:val="nil"/>
            </w:tcBorders>
            <w:shd w:val="clear" w:color="auto" w:fill="auto"/>
            <w:noWrap/>
            <w:vAlign w:val="bottom"/>
            <w:hideMark/>
          </w:tcPr>
          <w:p w14:paraId="13BFE87E" w14:textId="77777777" w:rsidR="00686F8C" w:rsidRPr="00DF07F3" w:rsidRDefault="00686F8C" w:rsidP="00686F8C">
            <w:pPr>
              <w:spacing w:line="240" w:lineRule="auto"/>
              <w:jc w:val="left"/>
              <w:rPr>
                <w:sz w:val="20"/>
              </w:rPr>
            </w:pPr>
          </w:p>
        </w:tc>
        <w:tc>
          <w:tcPr>
            <w:tcW w:w="2073" w:type="dxa"/>
            <w:tcBorders>
              <w:top w:val="nil"/>
              <w:left w:val="nil"/>
              <w:bottom w:val="nil"/>
              <w:right w:val="nil"/>
            </w:tcBorders>
            <w:shd w:val="clear" w:color="auto" w:fill="auto"/>
            <w:noWrap/>
            <w:vAlign w:val="bottom"/>
            <w:hideMark/>
          </w:tcPr>
          <w:p w14:paraId="4446E0C5" w14:textId="77777777" w:rsidR="00686F8C" w:rsidRPr="00DF07F3" w:rsidRDefault="00686F8C" w:rsidP="00686F8C">
            <w:pPr>
              <w:spacing w:line="240" w:lineRule="auto"/>
              <w:jc w:val="left"/>
              <w:rPr>
                <w:sz w:val="20"/>
              </w:rPr>
            </w:pPr>
          </w:p>
        </w:tc>
      </w:tr>
    </w:tbl>
    <w:p w14:paraId="181B2249" w14:textId="2D5A7D51" w:rsidR="009F29C3" w:rsidRPr="00730B1E" w:rsidRDefault="009F29C3" w:rsidP="009F29C3">
      <w:pPr>
        <w:pStyle w:val="OdstavecASR"/>
      </w:pPr>
      <w:r w:rsidRPr="00730B1E">
        <w:lastRenderedPageBreak/>
        <w:t>V grafu vidíme zajímavý trend – míra odsouzení postupem času pomalu, ale jistě roste</w:t>
      </w:r>
      <w:r w:rsidR="00D927CE" w:rsidRPr="00730B1E">
        <w:t xml:space="preserve"> – o</w:t>
      </w:r>
      <w:r w:rsidRPr="00730B1E">
        <w:t>d roku 2014 asi o 4,5</w:t>
      </w:r>
      <w:r w:rsidR="00F76C50" w:rsidRPr="00730B1E">
        <w:t xml:space="preserve"> </w:t>
      </w:r>
      <w:r w:rsidR="00B26B9D" w:rsidRPr="00730B1E">
        <w:t>procentní</w:t>
      </w:r>
      <w:r w:rsidR="00F76C50" w:rsidRPr="00730B1E">
        <w:t xml:space="preserve">ho </w:t>
      </w:r>
      <w:r w:rsidRPr="00730B1E">
        <w:t>bod</w:t>
      </w:r>
      <w:r w:rsidR="00657AC4" w:rsidRPr="00730B1E">
        <w:t>u</w:t>
      </w:r>
      <w:r w:rsidRPr="00730B1E">
        <w:t>. Růst po roce 2021 může souviset se zvýšenou mírou uzavírání dohod o vině a trestu.</w:t>
      </w:r>
    </w:p>
    <w:p w14:paraId="291F76FE" w14:textId="6D3B612A" w:rsidR="00686F8C" w:rsidRPr="00730B1E" w:rsidRDefault="009F29C3" w:rsidP="00686F8C">
      <w:r w:rsidRPr="00730B1E">
        <w:t>V tabulce v</w:t>
      </w:r>
      <w:r w:rsidR="00686F8C" w:rsidRPr="00730B1E">
        <w:t xml:space="preserve">idíme, že výsledky jsou poměrně vyrovnané, ale určité rozdíly existují. Nejvyšší míru odsouzení mají soudy ve Středočeském kraji, nejnižší v kraji Jihočeském. Rovněž meziroční změny jsou malé, ve všech krajích ale došlo k růstu míry </w:t>
      </w:r>
      <w:r w:rsidR="00D927CE" w:rsidRPr="00730B1E">
        <w:t>odsouzení</w:t>
      </w:r>
      <w:r w:rsidR="00686F8C" w:rsidRPr="00730B1E">
        <w:t xml:space="preserve">. Všechny soudy mají míry odsouzení </w:t>
      </w:r>
      <w:r w:rsidR="00D927CE" w:rsidRPr="00730B1E">
        <w:t xml:space="preserve">výrazně </w:t>
      </w:r>
      <w:r w:rsidR="00686F8C" w:rsidRPr="00730B1E">
        <w:t>přes 90 %, což znamená, že více než 9 z 10 osob před okresním soudem j</w:t>
      </w:r>
      <w:r w:rsidR="00C349E2" w:rsidRPr="00730B1E">
        <w:t>e</w:t>
      </w:r>
      <w:r w:rsidR="00686F8C" w:rsidRPr="00730B1E">
        <w:t xml:space="preserve"> shledán</w:t>
      </w:r>
      <w:r w:rsidR="00C349E2" w:rsidRPr="00730B1E">
        <w:t>o</w:t>
      </w:r>
      <w:r w:rsidR="00686F8C" w:rsidRPr="00730B1E">
        <w:t xml:space="preserve"> vinnými a odsouzeny.</w:t>
      </w:r>
    </w:p>
    <w:p w14:paraId="3724B648" w14:textId="682DB7D6" w:rsidR="00686F8C" w:rsidRPr="00730B1E" w:rsidRDefault="00686F8C" w:rsidP="00686F8C"/>
    <w:p w14:paraId="2D56E11A" w14:textId="3C066CEB" w:rsidR="00F50254" w:rsidRPr="00730B1E" w:rsidRDefault="00F50254" w:rsidP="00F50254">
      <w:pPr>
        <w:pStyle w:val="OdstavecASR"/>
        <w:keepNext/>
        <w:outlineLvl w:val="3"/>
        <w:rPr>
          <w:b/>
          <w:bCs/>
        </w:rPr>
      </w:pPr>
      <w:r w:rsidRPr="00730B1E">
        <w:rPr>
          <w:b/>
          <w:bCs/>
        </w:rPr>
        <w:t>Podíl věcí skončených trestním příkazem</w:t>
      </w:r>
    </w:p>
    <w:p w14:paraId="79066175" w14:textId="1DE6612E" w:rsidR="00F50254" w:rsidRPr="00730B1E" w:rsidRDefault="00F50254" w:rsidP="00F50254">
      <w:pPr>
        <w:pStyle w:val="OdstavecASR"/>
      </w:pPr>
      <w:r w:rsidRPr="00730B1E">
        <w:t>Výše uvedená data</w:t>
      </w:r>
      <w:r w:rsidR="007C5478" w:rsidRPr="00730B1E">
        <w:t xml:space="preserve"> (délky řízení a míra odvolání)</w:t>
      </w:r>
      <w:r w:rsidRPr="00730B1E">
        <w:t xml:space="preserve"> byla očištěna o věci skončené trestním příkazem, údaj o využívání tohoto nástroje je však významný. Proto je v následujícím grafu uveden podíl věcí, které byly pravomocně skončeny trestním příkazem.</w:t>
      </w:r>
    </w:p>
    <w:p w14:paraId="04D5BC7E" w14:textId="2F771B20" w:rsidR="00F50254" w:rsidRPr="00730B1E" w:rsidRDefault="00686F8C" w:rsidP="00F50254">
      <w:pPr>
        <w:pStyle w:val="OdstavecASR"/>
      </w:pPr>
      <w:r w:rsidRPr="00730B1E">
        <w:t xml:space="preserve">V letech 2014 až 2016 </w:t>
      </w:r>
      <w:r w:rsidR="00F50254" w:rsidRPr="00730B1E">
        <w:t>je v řadě vidět klesající tendenc</w:t>
      </w:r>
      <w:r w:rsidRPr="00730B1E">
        <w:t>e</w:t>
      </w:r>
      <w:r w:rsidR="00F50254" w:rsidRPr="00730B1E">
        <w:t>. To znamená, že pozorovaný pokles celkové kriminality se týkal zejména méně závažných věcí, ze kterých se věci řešené trestním příkazem rekrutují; závažnější kriminalita pak pravděpodobně klesala méně či vůbec. Trend se otočil v roce 2017 a podíl věcí vyřízených trestním příkazem opět začal růst</w:t>
      </w:r>
      <w:r w:rsidRPr="00730B1E">
        <w:t xml:space="preserve"> až do roku 2020</w:t>
      </w:r>
      <w:r w:rsidR="00D927CE" w:rsidRPr="00730B1E">
        <w:t>; po tomto roce nicméně opět došlo k poklesu</w:t>
      </w:r>
      <w:r w:rsidR="00F50254" w:rsidRPr="00730B1E">
        <w:t xml:space="preserve">. </w:t>
      </w:r>
      <w:r w:rsidRPr="00730B1E">
        <w:t xml:space="preserve">Žádný </w:t>
      </w:r>
      <w:r w:rsidR="00D927CE" w:rsidRPr="00730B1E">
        <w:t xml:space="preserve">trvalý </w:t>
      </w:r>
      <w:r w:rsidRPr="00730B1E">
        <w:t xml:space="preserve">trend </w:t>
      </w:r>
      <w:r w:rsidR="00D927CE" w:rsidRPr="00730B1E">
        <w:t>tak z</w:t>
      </w:r>
      <w:r w:rsidRPr="00730B1E">
        <w:t xml:space="preserve"> dat </w:t>
      </w:r>
      <w:r w:rsidR="00D927CE" w:rsidRPr="00730B1E">
        <w:t>nevyplývá, když</w:t>
      </w:r>
      <w:r w:rsidRPr="00730B1E">
        <w:t xml:space="preserve"> podíl osciluje mezi 47 </w:t>
      </w:r>
      <w:r w:rsidR="00206DE1" w:rsidRPr="00730B1E">
        <w:t>a </w:t>
      </w:r>
      <w:r w:rsidRPr="00730B1E">
        <w:t>50 %.</w:t>
      </w:r>
    </w:p>
    <w:p w14:paraId="16ACF256" w14:textId="78FF9647" w:rsidR="00F50254" w:rsidRPr="00730B1E" w:rsidRDefault="00F50254" w:rsidP="00F50254">
      <w:pPr>
        <w:pStyle w:val="Podnadpis"/>
        <w:rPr>
          <w:color w:val="auto"/>
        </w:rPr>
      </w:pPr>
      <w:bookmarkStart w:id="499" w:name="_Toc43841411"/>
      <w:bookmarkStart w:id="500" w:name="_Toc75952214"/>
      <w:bookmarkStart w:id="501" w:name="_Toc106106666"/>
      <w:bookmarkStart w:id="502" w:name="_Toc109801990"/>
      <w:bookmarkStart w:id="503" w:name="_Toc169250954"/>
      <w:bookmarkStart w:id="504" w:name="_Toc17408064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35</w:t>
      </w:r>
      <w:r w:rsidRPr="00730B1E">
        <w:rPr>
          <w:noProof/>
          <w:color w:val="auto"/>
        </w:rPr>
        <w:fldChar w:fldCharType="end"/>
      </w:r>
      <w:r w:rsidRPr="00730B1E">
        <w:rPr>
          <w:color w:val="auto"/>
        </w:rPr>
        <w:t>: OS – podíl věcí skončených trestním příkazem v letech 20</w:t>
      </w:r>
      <w:r w:rsidR="00686F8C" w:rsidRPr="00730B1E">
        <w:rPr>
          <w:color w:val="auto"/>
        </w:rPr>
        <w:t>1</w:t>
      </w:r>
      <w:r w:rsidR="002263C3" w:rsidRPr="00730B1E">
        <w:rPr>
          <w:color w:val="auto"/>
        </w:rPr>
        <w:t>4</w:t>
      </w:r>
      <w:r w:rsidRPr="00730B1E">
        <w:rPr>
          <w:color w:val="auto"/>
        </w:rPr>
        <w:t>–20</w:t>
      </w:r>
      <w:bookmarkEnd w:id="499"/>
      <w:r w:rsidRPr="00730B1E">
        <w:rPr>
          <w:color w:val="auto"/>
        </w:rPr>
        <w:t>2</w:t>
      </w:r>
      <w:bookmarkEnd w:id="500"/>
      <w:bookmarkEnd w:id="501"/>
      <w:bookmarkEnd w:id="502"/>
      <w:r w:rsidR="00686F8C" w:rsidRPr="00730B1E">
        <w:rPr>
          <w:color w:val="auto"/>
        </w:rPr>
        <w:t>3</w:t>
      </w:r>
      <w:bookmarkEnd w:id="503"/>
      <w:bookmarkEnd w:id="504"/>
    </w:p>
    <w:p w14:paraId="48DAEF43" w14:textId="77777777" w:rsidR="00686F8C" w:rsidRPr="00730B1E" w:rsidRDefault="00686F8C">
      <w:pPr>
        <w:spacing w:after="160" w:line="259" w:lineRule="auto"/>
        <w:jc w:val="left"/>
        <w:rPr>
          <w:b/>
          <w:bCs/>
        </w:rPr>
      </w:pPr>
      <w:r w:rsidRPr="00730B1E">
        <w:rPr>
          <w:b/>
          <w:bCs/>
          <w:noProof/>
          <w:lang w:eastAsia="cs-CZ"/>
        </w:rPr>
        <w:drawing>
          <wp:inline distT="0" distB="0" distL="0" distR="0" wp14:anchorId="0A59577F" wp14:editId="312DF30D">
            <wp:extent cx="5029200" cy="3657600"/>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8A0E3F5" w14:textId="77777777" w:rsidR="00686F8C" w:rsidRPr="00730B1E" w:rsidRDefault="00686F8C" w:rsidP="00686F8C">
      <w:pPr>
        <w:pStyle w:val="OdstavecASR"/>
        <w:keepNext/>
        <w:outlineLvl w:val="3"/>
        <w:rPr>
          <w:b/>
          <w:bCs/>
        </w:rPr>
      </w:pPr>
      <w:r w:rsidRPr="00730B1E">
        <w:rPr>
          <w:b/>
          <w:bCs/>
        </w:rPr>
        <w:t>Odsouzení k nepodmíněnému odnětí svobody (NEPO)</w:t>
      </w:r>
    </w:p>
    <w:p w14:paraId="2F561BED" w14:textId="06F74818" w:rsidR="00686F8C" w:rsidRPr="00730B1E" w:rsidRDefault="00686F8C" w:rsidP="00686F8C">
      <w:pPr>
        <w:pStyle w:val="OdstavecASR"/>
        <w:rPr>
          <w:szCs w:val="24"/>
        </w:rPr>
      </w:pPr>
      <w:r w:rsidRPr="00730B1E">
        <w:t xml:space="preserve">V tabulce níže jsou uvedeny trestné činy, za které byl </w:t>
      </w:r>
      <w:r w:rsidR="00D927CE" w:rsidRPr="00730B1E">
        <w:t xml:space="preserve">okresními soudy </w:t>
      </w:r>
      <w:r w:rsidRPr="00730B1E">
        <w:t xml:space="preserve">nejčastěji uložen NEPO v roce 2023. V případě souběhu trestných činů je vždy vykázán </w:t>
      </w:r>
      <w:r w:rsidRPr="00730B1E">
        <w:rPr>
          <w:szCs w:val="24"/>
        </w:rPr>
        <w:t>nejzávažnější trestný čin</w:t>
      </w:r>
      <w:r w:rsidR="00D927CE" w:rsidRPr="00730B1E">
        <w:rPr>
          <w:szCs w:val="24"/>
        </w:rPr>
        <w:t>, který by měl být pro výměru trestu určující</w:t>
      </w:r>
      <w:r w:rsidRPr="00730B1E">
        <w:rPr>
          <w:szCs w:val="24"/>
        </w:rPr>
        <w:t xml:space="preserve">. Dále je u každého trestného činu uvedena průměrná délka </w:t>
      </w:r>
      <w:r w:rsidRPr="00730B1E">
        <w:rPr>
          <w:szCs w:val="24"/>
        </w:rPr>
        <w:lastRenderedPageBreak/>
        <w:t>NEPO v měsících.</w:t>
      </w:r>
      <w:r w:rsidR="00D927CE" w:rsidRPr="00730B1E">
        <w:rPr>
          <w:szCs w:val="24"/>
        </w:rPr>
        <w:t xml:space="preserve"> V této souvislosti připomínáme, že z</w:t>
      </w:r>
      <w:r w:rsidR="00D927CE" w:rsidRPr="00730B1E">
        <w:t>ávažnější trestné činy, za které je častěji ukládáno NEPO (ale kterých je na druhou stranu řádově méně), podle trestního řádu spadají do věcné příslušnosti krajských soudů.</w:t>
      </w:r>
      <w:r w:rsidR="007C5478" w:rsidRPr="00730B1E">
        <w:t xml:space="preserve"> Dále pro úplnost uvádíme, že v roce 2023 bylo </w:t>
      </w:r>
      <w:r w:rsidR="00012C61" w:rsidRPr="00730B1E">
        <w:t xml:space="preserve">OS </w:t>
      </w:r>
      <w:r w:rsidR="007C5478" w:rsidRPr="00730B1E">
        <w:t>odsouzeno 5</w:t>
      </w:r>
      <w:r w:rsidR="00012C61" w:rsidRPr="00730B1E">
        <w:t>0</w:t>
      </w:r>
      <w:r w:rsidR="007C5478" w:rsidRPr="00730B1E">
        <w:t> </w:t>
      </w:r>
      <w:r w:rsidR="00012C61" w:rsidRPr="00730B1E">
        <w:t>101</w:t>
      </w:r>
      <w:r w:rsidR="007C5478" w:rsidRPr="00730B1E">
        <w:t xml:space="preserve"> osob. NEPO tedy bylo uloženo asi 17,</w:t>
      </w:r>
      <w:r w:rsidR="00012C61" w:rsidRPr="00730B1E">
        <w:t>7</w:t>
      </w:r>
      <w:r w:rsidR="007C5478" w:rsidRPr="00730B1E">
        <w:t xml:space="preserve"> % odsouzených</w:t>
      </w:r>
    </w:p>
    <w:p w14:paraId="5C29C01B" w14:textId="0B63C62A" w:rsidR="009F29C3" w:rsidRPr="00730B1E" w:rsidRDefault="009F29C3" w:rsidP="009F29C3">
      <w:pPr>
        <w:pStyle w:val="Podnadpis"/>
        <w:rPr>
          <w:color w:val="auto"/>
        </w:rPr>
      </w:pPr>
      <w:bookmarkStart w:id="505" w:name="_Toc144104268"/>
      <w:bookmarkStart w:id="506" w:name="_Toc169251084"/>
      <w:bookmarkStart w:id="507" w:name="_Toc174080770"/>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27</w:t>
      </w:r>
      <w:r w:rsidRPr="00730B1E">
        <w:rPr>
          <w:noProof/>
          <w:color w:val="auto"/>
        </w:rPr>
        <w:fldChar w:fldCharType="end"/>
      </w:r>
      <w:r w:rsidRPr="00730B1E">
        <w:rPr>
          <w:color w:val="auto"/>
        </w:rPr>
        <w:t>: OS – TČ, za které je ukládáno NEPO</w:t>
      </w:r>
      <w:bookmarkEnd w:id="505"/>
      <w:r w:rsidR="002263C3" w:rsidRPr="00730B1E">
        <w:rPr>
          <w:color w:val="auto"/>
        </w:rPr>
        <w:t>, 2023</w:t>
      </w:r>
      <w:bookmarkEnd w:id="506"/>
      <w:bookmarkEnd w:id="507"/>
    </w:p>
    <w:tbl>
      <w:tblPr>
        <w:tblW w:w="9280" w:type="dxa"/>
        <w:tblCellMar>
          <w:left w:w="70" w:type="dxa"/>
          <w:right w:w="70" w:type="dxa"/>
        </w:tblCellMar>
        <w:tblLook w:val="04A0" w:firstRow="1" w:lastRow="0" w:firstColumn="1" w:lastColumn="0" w:noHBand="0" w:noVBand="1"/>
      </w:tblPr>
      <w:tblGrid>
        <w:gridCol w:w="6200"/>
        <w:gridCol w:w="1540"/>
        <w:gridCol w:w="1540"/>
      </w:tblGrid>
      <w:tr w:rsidR="00B64E96" w:rsidRPr="00730B1E" w14:paraId="11BDF87B" w14:textId="77777777" w:rsidTr="00233AEA">
        <w:trPr>
          <w:trHeight w:val="660"/>
        </w:trPr>
        <w:tc>
          <w:tcPr>
            <w:tcW w:w="6200" w:type="dxa"/>
            <w:tcBorders>
              <w:top w:val="double" w:sz="6" w:space="0" w:color="auto"/>
              <w:left w:val="nil"/>
              <w:bottom w:val="double" w:sz="6" w:space="0" w:color="auto"/>
              <w:right w:val="nil"/>
            </w:tcBorders>
            <w:shd w:val="clear" w:color="auto" w:fill="auto"/>
            <w:noWrap/>
            <w:vAlign w:val="center"/>
            <w:hideMark/>
          </w:tcPr>
          <w:p w14:paraId="538EC090" w14:textId="77777777" w:rsidR="00233AEA" w:rsidRPr="00730B1E" w:rsidRDefault="00233AEA" w:rsidP="00233AEA">
            <w:pPr>
              <w:spacing w:line="240" w:lineRule="auto"/>
              <w:jc w:val="center"/>
              <w:rPr>
                <w:b/>
              </w:rPr>
            </w:pPr>
            <w:r w:rsidRPr="00730B1E">
              <w:rPr>
                <w:b/>
              </w:rPr>
              <w:t>Trestný čin</w:t>
            </w:r>
          </w:p>
        </w:tc>
        <w:tc>
          <w:tcPr>
            <w:tcW w:w="1540" w:type="dxa"/>
            <w:tcBorders>
              <w:top w:val="double" w:sz="6" w:space="0" w:color="auto"/>
              <w:left w:val="nil"/>
              <w:bottom w:val="double" w:sz="6" w:space="0" w:color="auto"/>
              <w:right w:val="nil"/>
            </w:tcBorders>
            <w:shd w:val="clear" w:color="auto" w:fill="auto"/>
            <w:noWrap/>
            <w:vAlign w:val="center"/>
            <w:hideMark/>
          </w:tcPr>
          <w:p w14:paraId="267E4994" w14:textId="77777777" w:rsidR="00233AEA" w:rsidRPr="00730B1E" w:rsidRDefault="00233AEA" w:rsidP="00233AEA">
            <w:pPr>
              <w:spacing w:line="240" w:lineRule="auto"/>
              <w:jc w:val="center"/>
              <w:rPr>
                <w:b/>
              </w:rPr>
            </w:pPr>
            <w:r w:rsidRPr="00730B1E">
              <w:rPr>
                <w:b/>
              </w:rPr>
              <w:t>Počet osob</w:t>
            </w:r>
          </w:p>
        </w:tc>
        <w:tc>
          <w:tcPr>
            <w:tcW w:w="1540" w:type="dxa"/>
            <w:tcBorders>
              <w:top w:val="double" w:sz="6" w:space="0" w:color="auto"/>
              <w:left w:val="nil"/>
              <w:bottom w:val="double" w:sz="6" w:space="0" w:color="auto"/>
              <w:right w:val="nil"/>
            </w:tcBorders>
            <w:shd w:val="clear" w:color="auto" w:fill="auto"/>
            <w:vAlign w:val="bottom"/>
            <w:hideMark/>
          </w:tcPr>
          <w:p w14:paraId="55D97081" w14:textId="77777777" w:rsidR="00233AEA" w:rsidRPr="00730B1E" w:rsidRDefault="00233AEA" w:rsidP="00233AEA">
            <w:pPr>
              <w:spacing w:line="240" w:lineRule="auto"/>
              <w:jc w:val="center"/>
              <w:rPr>
                <w:b/>
              </w:rPr>
            </w:pPr>
            <w:r w:rsidRPr="00730B1E">
              <w:rPr>
                <w:b/>
              </w:rPr>
              <w:t>Prům. délka NEPO</w:t>
            </w:r>
          </w:p>
        </w:tc>
      </w:tr>
      <w:tr w:rsidR="00B64E96" w:rsidRPr="00730B1E" w14:paraId="7992F295" w14:textId="77777777" w:rsidTr="00233AEA">
        <w:trPr>
          <w:trHeight w:val="330"/>
        </w:trPr>
        <w:tc>
          <w:tcPr>
            <w:tcW w:w="6200" w:type="dxa"/>
            <w:tcBorders>
              <w:top w:val="nil"/>
              <w:left w:val="nil"/>
              <w:bottom w:val="nil"/>
              <w:right w:val="nil"/>
            </w:tcBorders>
            <w:shd w:val="clear" w:color="auto" w:fill="auto"/>
            <w:noWrap/>
            <w:vAlign w:val="bottom"/>
            <w:hideMark/>
          </w:tcPr>
          <w:p w14:paraId="3FF24493" w14:textId="77777777" w:rsidR="00233AEA" w:rsidRPr="00730B1E" w:rsidRDefault="00233AEA" w:rsidP="00233AEA">
            <w:pPr>
              <w:spacing w:line="240" w:lineRule="auto"/>
              <w:jc w:val="left"/>
            </w:pPr>
            <w:r w:rsidRPr="00730B1E">
              <w:t>Krádež</w:t>
            </w:r>
          </w:p>
        </w:tc>
        <w:tc>
          <w:tcPr>
            <w:tcW w:w="1540" w:type="dxa"/>
            <w:tcBorders>
              <w:top w:val="nil"/>
              <w:left w:val="nil"/>
              <w:bottom w:val="nil"/>
              <w:right w:val="nil"/>
            </w:tcBorders>
            <w:shd w:val="clear" w:color="auto" w:fill="auto"/>
            <w:noWrap/>
            <w:vAlign w:val="bottom"/>
            <w:hideMark/>
          </w:tcPr>
          <w:p w14:paraId="4C3D9697" w14:textId="123D1B7D" w:rsidR="00233AEA" w:rsidRPr="00730B1E" w:rsidRDefault="00233AEA" w:rsidP="00233AEA">
            <w:pPr>
              <w:spacing w:line="240" w:lineRule="auto"/>
              <w:jc w:val="center"/>
            </w:pPr>
            <w:r w:rsidRPr="00730B1E">
              <w:t>3</w:t>
            </w:r>
            <w:r w:rsidR="00206DE1" w:rsidRPr="00730B1E">
              <w:rPr>
                <w:rFonts w:eastAsia="Times New Roman"/>
                <w:szCs w:val="24"/>
                <w:lang w:eastAsia="cs-CZ"/>
              </w:rPr>
              <w:t xml:space="preserve"> </w:t>
            </w:r>
            <w:r w:rsidRPr="00730B1E">
              <w:t>513</w:t>
            </w:r>
          </w:p>
        </w:tc>
        <w:tc>
          <w:tcPr>
            <w:tcW w:w="1540" w:type="dxa"/>
            <w:tcBorders>
              <w:top w:val="nil"/>
              <w:left w:val="nil"/>
              <w:bottom w:val="nil"/>
              <w:right w:val="nil"/>
            </w:tcBorders>
            <w:shd w:val="clear" w:color="auto" w:fill="auto"/>
            <w:noWrap/>
            <w:vAlign w:val="bottom"/>
            <w:hideMark/>
          </w:tcPr>
          <w:p w14:paraId="71C6FADD" w14:textId="06D9E730" w:rsidR="00233AEA" w:rsidRPr="00730B1E" w:rsidRDefault="00233AEA" w:rsidP="00233AEA">
            <w:pPr>
              <w:spacing w:line="240" w:lineRule="auto"/>
              <w:jc w:val="center"/>
            </w:pPr>
            <w:r w:rsidRPr="00730B1E">
              <w:t>12,1</w:t>
            </w:r>
          </w:p>
        </w:tc>
      </w:tr>
      <w:tr w:rsidR="00B64E96" w:rsidRPr="00730B1E" w14:paraId="3157382D" w14:textId="77777777" w:rsidTr="00233AEA">
        <w:trPr>
          <w:trHeight w:val="315"/>
        </w:trPr>
        <w:tc>
          <w:tcPr>
            <w:tcW w:w="6200" w:type="dxa"/>
            <w:tcBorders>
              <w:top w:val="single" w:sz="4" w:space="0" w:color="auto"/>
              <w:left w:val="nil"/>
              <w:bottom w:val="single" w:sz="4" w:space="0" w:color="auto"/>
              <w:right w:val="nil"/>
            </w:tcBorders>
            <w:shd w:val="clear" w:color="auto" w:fill="auto"/>
            <w:noWrap/>
            <w:vAlign w:val="bottom"/>
            <w:hideMark/>
          </w:tcPr>
          <w:p w14:paraId="1571398A" w14:textId="77777777" w:rsidR="00233AEA" w:rsidRPr="00730B1E" w:rsidRDefault="00233AEA" w:rsidP="00233AEA">
            <w:pPr>
              <w:spacing w:line="240" w:lineRule="auto"/>
              <w:jc w:val="left"/>
            </w:pPr>
            <w:r w:rsidRPr="00730B1E">
              <w:t>Maření výkonu úředního rozhodnutí a vykázání</w:t>
            </w:r>
          </w:p>
        </w:tc>
        <w:tc>
          <w:tcPr>
            <w:tcW w:w="1540" w:type="dxa"/>
            <w:tcBorders>
              <w:top w:val="single" w:sz="4" w:space="0" w:color="auto"/>
              <w:left w:val="nil"/>
              <w:bottom w:val="single" w:sz="4" w:space="0" w:color="auto"/>
              <w:right w:val="nil"/>
            </w:tcBorders>
            <w:shd w:val="clear" w:color="auto" w:fill="auto"/>
            <w:noWrap/>
            <w:vAlign w:val="bottom"/>
            <w:hideMark/>
          </w:tcPr>
          <w:p w14:paraId="33B91CE7" w14:textId="0CED8449" w:rsidR="00233AEA" w:rsidRPr="00730B1E" w:rsidRDefault="00233AEA" w:rsidP="00233AEA">
            <w:pPr>
              <w:spacing w:line="240" w:lineRule="auto"/>
              <w:jc w:val="center"/>
            </w:pPr>
            <w:r w:rsidRPr="00730B1E">
              <w:t>2</w:t>
            </w:r>
            <w:r w:rsidR="00206DE1" w:rsidRPr="00730B1E">
              <w:rPr>
                <w:rFonts w:eastAsia="Times New Roman"/>
                <w:szCs w:val="24"/>
                <w:lang w:eastAsia="cs-CZ"/>
              </w:rPr>
              <w:t xml:space="preserve"> </w:t>
            </w:r>
            <w:r w:rsidRPr="00730B1E">
              <w:t>314</w:t>
            </w:r>
          </w:p>
        </w:tc>
        <w:tc>
          <w:tcPr>
            <w:tcW w:w="1540" w:type="dxa"/>
            <w:tcBorders>
              <w:top w:val="single" w:sz="4" w:space="0" w:color="auto"/>
              <w:left w:val="nil"/>
              <w:bottom w:val="single" w:sz="4" w:space="0" w:color="auto"/>
              <w:right w:val="nil"/>
            </w:tcBorders>
            <w:shd w:val="clear" w:color="auto" w:fill="auto"/>
            <w:noWrap/>
            <w:vAlign w:val="bottom"/>
            <w:hideMark/>
          </w:tcPr>
          <w:p w14:paraId="5F96A57B" w14:textId="7E33BD91" w:rsidR="00233AEA" w:rsidRPr="00730B1E" w:rsidRDefault="00233AEA" w:rsidP="00233AEA">
            <w:pPr>
              <w:spacing w:line="240" w:lineRule="auto"/>
              <w:jc w:val="center"/>
            </w:pPr>
            <w:r w:rsidRPr="00730B1E">
              <w:t>6,1</w:t>
            </w:r>
          </w:p>
        </w:tc>
      </w:tr>
      <w:tr w:rsidR="00B64E96" w:rsidRPr="00730B1E" w14:paraId="0D22EA54" w14:textId="77777777" w:rsidTr="00233AEA">
        <w:trPr>
          <w:trHeight w:val="315"/>
        </w:trPr>
        <w:tc>
          <w:tcPr>
            <w:tcW w:w="6200" w:type="dxa"/>
            <w:tcBorders>
              <w:top w:val="nil"/>
              <w:left w:val="nil"/>
              <w:bottom w:val="single" w:sz="4" w:space="0" w:color="auto"/>
              <w:right w:val="nil"/>
            </w:tcBorders>
            <w:shd w:val="clear" w:color="auto" w:fill="auto"/>
            <w:noWrap/>
            <w:vAlign w:val="bottom"/>
            <w:hideMark/>
          </w:tcPr>
          <w:p w14:paraId="7A12DDAD" w14:textId="77777777" w:rsidR="00233AEA" w:rsidRPr="00730B1E" w:rsidRDefault="00233AEA" w:rsidP="00233AEA">
            <w:pPr>
              <w:spacing w:line="240" w:lineRule="auto"/>
              <w:jc w:val="left"/>
            </w:pPr>
            <w:r w:rsidRPr="00730B1E">
              <w:t>Zanedbání povinné výživy</w:t>
            </w:r>
          </w:p>
        </w:tc>
        <w:tc>
          <w:tcPr>
            <w:tcW w:w="1540" w:type="dxa"/>
            <w:tcBorders>
              <w:top w:val="nil"/>
              <w:left w:val="nil"/>
              <w:bottom w:val="single" w:sz="4" w:space="0" w:color="auto"/>
              <w:right w:val="nil"/>
            </w:tcBorders>
            <w:shd w:val="clear" w:color="auto" w:fill="auto"/>
            <w:noWrap/>
            <w:vAlign w:val="bottom"/>
            <w:hideMark/>
          </w:tcPr>
          <w:p w14:paraId="40CF330E" w14:textId="77777777" w:rsidR="00233AEA" w:rsidRPr="00730B1E" w:rsidRDefault="00233AEA" w:rsidP="00233AEA">
            <w:pPr>
              <w:spacing w:line="240" w:lineRule="auto"/>
              <w:jc w:val="center"/>
            </w:pPr>
            <w:r w:rsidRPr="00730B1E">
              <w:t>483</w:t>
            </w:r>
          </w:p>
        </w:tc>
        <w:tc>
          <w:tcPr>
            <w:tcW w:w="1540" w:type="dxa"/>
            <w:tcBorders>
              <w:top w:val="nil"/>
              <w:left w:val="nil"/>
              <w:bottom w:val="single" w:sz="4" w:space="0" w:color="auto"/>
              <w:right w:val="nil"/>
            </w:tcBorders>
            <w:shd w:val="clear" w:color="auto" w:fill="auto"/>
            <w:noWrap/>
            <w:vAlign w:val="bottom"/>
            <w:hideMark/>
          </w:tcPr>
          <w:p w14:paraId="67E667A4" w14:textId="67EFDEBF" w:rsidR="00233AEA" w:rsidRPr="00730B1E" w:rsidRDefault="00233AEA" w:rsidP="00233AEA">
            <w:pPr>
              <w:spacing w:line="240" w:lineRule="auto"/>
              <w:jc w:val="center"/>
            </w:pPr>
            <w:r w:rsidRPr="00730B1E">
              <w:t>7,0</w:t>
            </w:r>
          </w:p>
        </w:tc>
      </w:tr>
      <w:tr w:rsidR="00B64E96" w:rsidRPr="00730B1E" w14:paraId="59E31C3E" w14:textId="77777777" w:rsidTr="00233AEA">
        <w:trPr>
          <w:trHeight w:val="315"/>
        </w:trPr>
        <w:tc>
          <w:tcPr>
            <w:tcW w:w="6200" w:type="dxa"/>
            <w:tcBorders>
              <w:top w:val="nil"/>
              <w:left w:val="nil"/>
              <w:bottom w:val="single" w:sz="4" w:space="0" w:color="auto"/>
              <w:right w:val="nil"/>
            </w:tcBorders>
            <w:shd w:val="clear" w:color="auto" w:fill="auto"/>
            <w:noWrap/>
            <w:vAlign w:val="bottom"/>
            <w:hideMark/>
          </w:tcPr>
          <w:p w14:paraId="0F8453A3" w14:textId="77777777" w:rsidR="00233AEA" w:rsidRPr="00730B1E" w:rsidRDefault="00233AEA" w:rsidP="00233AEA">
            <w:pPr>
              <w:spacing w:line="240" w:lineRule="auto"/>
              <w:jc w:val="left"/>
            </w:pPr>
            <w:r w:rsidRPr="00730B1E">
              <w:t>Nedovolená výroba a jiné nakládání s omamnými látkami</w:t>
            </w:r>
          </w:p>
        </w:tc>
        <w:tc>
          <w:tcPr>
            <w:tcW w:w="1540" w:type="dxa"/>
            <w:tcBorders>
              <w:top w:val="nil"/>
              <w:left w:val="nil"/>
              <w:bottom w:val="nil"/>
              <w:right w:val="nil"/>
            </w:tcBorders>
            <w:shd w:val="clear" w:color="auto" w:fill="auto"/>
            <w:noWrap/>
            <w:vAlign w:val="bottom"/>
            <w:hideMark/>
          </w:tcPr>
          <w:p w14:paraId="628953C1" w14:textId="77777777" w:rsidR="00233AEA" w:rsidRPr="00730B1E" w:rsidRDefault="00233AEA" w:rsidP="00233AEA">
            <w:pPr>
              <w:spacing w:line="240" w:lineRule="auto"/>
              <w:jc w:val="center"/>
            </w:pPr>
            <w:r w:rsidRPr="00730B1E">
              <w:t>433</w:t>
            </w:r>
          </w:p>
        </w:tc>
        <w:tc>
          <w:tcPr>
            <w:tcW w:w="1540" w:type="dxa"/>
            <w:tcBorders>
              <w:top w:val="nil"/>
              <w:left w:val="nil"/>
              <w:bottom w:val="nil"/>
              <w:right w:val="nil"/>
            </w:tcBorders>
            <w:shd w:val="clear" w:color="auto" w:fill="auto"/>
            <w:noWrap/>
            <w:vAlign w:val="bottom"/>
            <w:hideMark/>
          </w:tcPr>
          <w:p w14:paraId="495EEE27" w14:textId="771B116F" w:rsidR="00233AEA" w:rsidRPr="00730B1E" w:rsidRDefault="00233AEA" w:rsidP="00233AEA">
            <w:pPr>
              <w:spacing w:line="240" w:lineRule="auto"/>
              <w:jc w:val="center"/>
            </w:pPr>
            <w:r w:rsidRPr="00730B1E">
              <w:t>29,1</w:t>
            </w:r>
          </w:p>
        </w:tc>
      </w:tr>
      <w:tr w:rsidR="00B64E96" w:rsidRPr="00730B1E" w14:paraId="087CB167" w14:textId="77777777" w:rsidTr="00233AEA">
        <w:trPr>
          <w:trHeight w:val="315"/>
        </w:trPr>
        <w:tc>
          <w:tcPr>
            <w:tcW w:w="6200" w:type="dxa"/>
            <w:tcBorders>
              <w:top w:val="nil"/>
              <w:left w:val="nil"/>
              <w:bottom w:val="single" w:sz="4" w:space="0" w:color="auto"/>
              <w:right w:val="nil"/>
            </w:tcBorders>
            <w:shd w:val="clear" w:color="auto" w:fill="auto"/>
            <w:noWrap/>
            <w:vAlign w:val="bottom"/>
            <w:hideMark/>
          </w:tcPr>
          <w:p w14:paraId="78BF5AB3" w14:textId="77777777" w:rsidR="00233AEA" w:rsidRPr="00730B1E" w:rsidRDefault="00233AEA" w:rsidP="00233AEA">
            <w:pPr>
              <w:spacing w:line="240" w:lineRule="auto"/>
              <w:jc w:val="left"/>
            </w:pPr>
            <w:r w:rsidRPr="00730B1E">
              <w:t>Loupež</w:t>
            </w:r>
          </w:p>
        </w:tc>
        <w:tc>
          <w:tcPr>
            <w:tcW w:w="1540" w:type="dxa"/>
            <w:tcBorders>
              <w:top w:val="single" w:sz="4" w:space="0" w:color="auto"/>
              <w:left w:val="nil"/>
              <w:bottom w:val="single" w:sz="4" w:space="0" w:color="auto"/>
              <w:right w:val="nil"/>
            </w:tcBorders>
            <w:shd w:val="clear" w:color="auto" w:fill="auto"/>
            <w:noWrap/>
            <w:vAlign w:val="bottom"/>
            <w:hideMark/>
          </w:tcPr>
          <w:p w14:paraId="60077F9C" w14:textId="77777777" w:rsidR="00233AEA" w:rsidRPr="00730B1E" w:rsidRDefault="00233AEA" w:rsidP="00233AEA">
            <w:pPr>
              <w:spacing w:line="240" w:lineRule="auto"/>
              <w:jc w:val="center"/>
            </w:pPr>
            <w:r w:rsidRPr="00730B1E">
              <w:t>303</w:t>
            </w:r>
          </w:p>
        </w:tc>
        <w:tc>
          <w:tcPr>
            <w:tcW w:w="1540" w:type="dxa"/>
            <w:tcBorders>
              <w:top w:val="single" w:sz="4" w:space="0" w:color="auto"/>
              <w:left w:val="nil"/>
              <w:bottom w:val="single" w:sz="4" w:space="0" w:color="auto"/>
              <w:right w:val="nil"/>
            </w:tcBorders>
            <w:shd w:val="clear" w:color="auto" w:fill="auto"/>
            <w:noWrap/>
            <w:vAlign w:val="bottom"/>
            <w:hideMark/>
          </w:tcPr>
          <w:p w14:paraId="1AB763CF" w14:textId="0A763784" w:rsidR="00233AEA" w:rsidRPr="00730B1E" w:rsidRDefault="00233AEA" w:rsidP="00233AEA">
            <w:pPr>
              <w:spacing w:line="240" w:lineRule="auto"/>
              <w:jc w:val="center"/>
            </w:pPr>
            <w:r w:rsidRPr="00730B1E">
              <w:t>38,5</w:t>
            </w:r>
          </w:p>
        </w:tc>
      </w:tr>
      <w:tr w:rsidR="00B64E96" w:rsidRPr="00730B1E" w14:paraId="5561AF6C" w14:textId="77777777" w:rsidTr="00233AEA">
        <w:trPr>
          <w:trHeight w:val="315"/>
        </w:trPr>
        <w:tc>
          <w:tcPr>
            <w:tcW w:w="6200" w:type="dxa"/>
            <w:tcBorders>
              <w:top w:val="nil"/>
              <w:left w:val="nil"/>
              <w:bottom w:val="single" w:sz="4" w:space="0" w:color="auto"/>
              <w:right w:val="nil"/>
            </w:tcBorders>
            <w:shd w:val="clear" w:color="auto" w:fill="auto"/>
            <w:noWrap/>
            <w:vAlign w:val="bottom"/>
            <w:hideMark/>
          </w:tcPr>
          <w:p w14:paraId="32AE6E8C" w14:textId="77777777" w:rsidR="00233AEA" w:rsidRPr="00730B1E" w:rsidRDefault="00233AEA" w:rsidP="00233AEA">
            <w:pPr>
              <w:spacing w:line="240" w:lineRule="auto"/>
              <w:jc w:val="left"/>
            </w:pPr>
            <w:r w:rsidRPr="00730B1E">
              <w:t>Porušování domovní svobody</w:t>
            </w:r>
          </w:p>
        </w:tc>
        <w:tc>
          <w:tcPr>
            <w:tcW w:w="1540" w:type="dxa"/>
            <w:tcBorders>
              <w:top w:val="nil"/>
              <w:left w:val="nil"/>
              <w:bottom w:val="single" w:sz="4" w:space="0" w:color="auto"/>
              <w:right w:val="nil"/>
            </w:tcBorders>
            <w:shd w:val="clear" w:color="auto" w:fill="auto"/>
            <w:noWrap/>
            <w:vAlign w:val="bottom"/>
            <w:hideMark/>
          </w:tcPr>
          <w:p w14:paraId="68D3B830" w14:textId="77777777" w:rsidR="00233AEA" w:rsidRPr="00730B1E" w:rsidRDefault="00233AEA" w:rsidP="00233AEA">
            <w:pPr>
              <w:spacing w:line="240" w:lineRule="auto"/>
              <w:jc w:val="center"/>
            </w:pPr>
            <w:r w:rsidRPr="00730B1E">
              <w:t>238</w:t>
            </w:r>
          </w:p>
        </w:tc>
        <w:tc>
          <w:tcPr>
            <w:tcW w:w="1540" w:type="dxa"/>
            <w:tcBorders>
              <w:top w:val="nil"/>
              <w:left w:val="nil"/>
              <w:bottom w:val="single" w:sz="4" w:space="0" w:color="auto"/>
              <w:right w:val="nil"/>
            </w:tcBorders>
            <w:shd w:val="clear" w:color="auto" w:fill="auto"/>
            <w:noWrap/>
            <w:vAlign w:val="bottom"/>
            <w:hideMark/>
          </w:tcPr>
          <w:p w14:paraId="1D4E06A5" w14:textId="504A381B" w:rsidR="00233AEA" w:rsidRPr="00730B1E" w:rsidRDefault="00233AEA" w:rsidP="00233AEA">
            <w:pPr>
              <w:spacing w:line="240" w:lineRule="auto"/>
              <w:jc w:val="center"/>
            </w:pPr>
            <w:r w:rsidRPr="00730B1E">
              <w:t>14,6</w:t>
            </w:r>
          </w:p>
        </w:tc>
      </w:tr>
      <w:tr w:rsidR="00B64E96" w:rsidRPr="00730B1E" w14:paraId="2F2CDDA7" w14:textId="77777777" w:rsidTr="00233AEA">
        <w:trPr>
          <w:trHeight w:val="315"/>
        </w:trPr>
        <w:tc>
          <w:tcPr>
            <w:tcW w:w="6200" w:type="dxa"/>
            <w:tcBorders>
              <w:top w:val="nil"/>
              <w:left w:val="nil"/>
              <w:bottom w:val="single" w:sz="4" w:space="0" w:color="auto"/>
              <w:right w:val="nil"/>
            </w:tcBorders>
            <w:shd w:val="clear" w:color="auto" w:fill="auto"/>
            <w:noWrap/>
            <w:vAlign w:val="bottom"/>
            <w:hideMark/>
          </w:tcPr>
          <w:p w14:paraId="1F93A704" w14:textId="77777777" w:rsidR="00233AEA" w:rsidRPr="00730B1E" w:rsidRDefault="00233AEA" w:rsidP="00233AEA">
            <w:pPr>
              <w:spacing w:line="240" w:lineRule="auto"/>
              <w:jc w:val="left"/>
            </w:pPr>
            <w:r w:rsidRPr="00730B1E">
              <w:t>Ohrožení pod vlivem návykové látky</w:t>
            </w:r>
          </w:p>
        </w:tc>
        <w:tc>
          <w:tcPr>
            <w:tcW w:w="1540" w:type="dxa"/>
            <w:tcBorders>
              <w:top w:val="nil"/>
              <w:left w:val="nil"/>
              <w:bottom w:val="single" w:sz="4" w:space="0" w:color="auto"/>
              <w:right w:val="nil"/>
            </w:tcBorders>
            <w:shd w:val="clear" w:color="auto" w:fill="auto"/>
            <w:noWrap/>
            <w:vAlign w:val="bottom"/>
            <w:hideMark/>
          </w:tcPr>
          <w:p w14:paraId="7E7B03B0" w14:textId="77777777" w:rsidR="00233AEA" w:rsidRPr="00730B1E" w:rsidRDefault="00233AEA" w:rsidP="00233AEA">
            <w:pPr>
              <w:spacing w:line="240" w:lineRule="auto"/>
              <w:jc w:val="center"/>
            </w:pPr>
            <w:r w:rsidRPr="00730B1E">
              <w:t>167</w:t>
            </w:r>
          </w:p>
        </w:tc>
        <w:tc>
          <w:tcPr>
            <w:tcW w:w="1540" w:type="dxa"/>
            <w:tcBorders>
              <w:top w:val="nil"/>
              <w:left w:val="nil"/>
              <w:bottom w:val="single" w:sz="4" w:space="0" w:color="auto"/>
              <w:right w:val="nil"/>
            </w:tcBorders>
            <w:shd w:val="clear" w:color="auto" w:fill="auto"/>
            <w:noWrap/>
            <w:vAlign w:val="bottom"/>
            <w:hideMark/>
          </w:tcPr>
          <w:p w14:paraId="504982D4" w14:textId="0E91AA3E" w:rsidR="00233AEA" w:rsidRPr="00730B1E" w:rsidRDefault="00233AEA" w:rsidP="00233AEA">
            <w:pPr>
              <w:spacing w:line="240" w:lineRule="auto"/>
              <w:jc w:val="center"/>
            </w:pPr>
            <w:r w:rsidRPr="00730B1E">
              <w:t>23,2</w:t>
            </w:r>
          </w:p>
        </w:tc>
      </w:tr>
      <w:tr w:rsidR="00B64E96" w:rsidRPr="00730B1E" w14:paraId="68474E1B" w14:textId="77777777" w:rsidTr="00233AEA">
        <w:trPr>
          <w:trHeight w:val="315"/>
        </w:trPr>
        <w:tc>
          <w:tcPr>
            <w:tcW w:w="6200" w:type="dxa"/>
            <w:tcBorders>
              <w:top w:val="nil"/>
              <w:left w:val="nil"/>
              <w:bottom w:val="single" w:sz="4" w:space="0" w:color="auto"/>
              <w:right w:val="nil"/>
            </w:tcBorders>
            <w:shd w:val="clear" w:color="auto" w:fill="auto"/>
            <w:noWrap/>
            <w:vAlign w:val="bottom"/>
            <w:hideMark/>
          </w:tcPr>
          <w:p w14:paraId="674012F4" w14:textId="77777777" w:rsidR="00233AEA" w:rsidRPr="00730B1E" w:rsidRDefault="00233AEA" w:rsidP="00233AEA">
            <w:pPr>
              <w:spacing w:line="240" w:lineRule="auto"/>
              <w:jc w:val="left"/>
            </w:pPr>
            <w:r w:rsidRPr="00730B1E">
              <w:t>Podvod</w:t>
            </w:r>
          </w:p>
        </w:tc>
        <w:tc>
          <w:tcPr>
            <w:tcW w:w="1540" w:type="dxa"/>
            <w:tcBorders>
              <w:top w:val="nil"/>
              <w:left w:val="nil"/>
              <w:bottom w:val="single" w:sz="4" w:space="0" w:color="auto"/>
              <w:right w:val="nil"/>
            </w:tcBorders>
            <w:shd w:val="clear" w:color="auto" w:fill="auto"/>
            <w:noWrap/>
            <w:vAlign w:val="bottom"/>
            <w:hideMark/>
          </w:tcPr>
          <w:p w14:paraId="2023F8D4" w14:textId="77777777" w:rsidR="00233AEA" w:rsidRPr="00730B1E" w:rsidRDefault="00233AEA" w:rsidP="00233AEA">
            <w:pPr>
              <w:spacing w:line="240" w:lineRule="auto"/>
              <w:jc w:val="center"/>
            </w:pPr>
            <w:r w:rsidRPr="00730B1E">
              <w:t>156</w:t>
            </w:r>
          </w:p>
        </w:tc>
        <w:tc>
          <w:tcPr>
            <w:tcW w:w="1540" w:type="dxa"/>
            <w:tcBorders>
              <w:top w:val="nil"/>
              <w:left w:val="nil"/>
              <w:bottom w:val="single" w:sz="4" w:space="0" w:color="auto"/>
              <w:right w:val="nil"/>
            </w:tcBorders>
            <w:shd w:val="clear" w:color="auto" w:fill="auto"/>
            <w:noWrap/>
            <w:vAlign w:val="bottom"/>
            <w:hideMark/>
          </w:tcPr>
          <w:p w14:paraId="1F0D9CDB" w14:textId="04B027EB" w:rsidR="00233AEA" w:rsidRPr="00730B1E" w:rsidRDefault="00233AEA" w:rsidP="00233AEA">
            <w:pPr>
              <w:spacing w:line="240" w:lineRule="auto"/>
              <w:jc w:val="center"/>
            </w:pPr>
            <w:r w:rsidRPr="00730B1E">
              <w:t>11,1</w:t>
            </w:r>
          </w:p>
        </w:tc>
      </w:tr>
      <w:tr w:rsidR="00B64E96" w:rsidRPr="00730B1E" w14:paraId="70946137" w14:textId="77777777" w:rsidTr="00233AEA">
        <w:trPr>
          <w:trHeight w:val="315"/>
        </w:trPr>
        <w:tc>
          <w:tcPr>
            <w:tcW w:w="6200" w:type="dxa"/>
            <w:tcBorders>
              <w:top w:val="nil"/>
              <w:left w:val="nil"/>
              <w:bottom w:val="nil"/>
              <w:right w:val="nil"/>
            </w:tcBorders>
            <w:shd w:val="clear" w:color="auto" w:fill="auto"/>
            <w:noWrap/>
            <w:vAlign w:val="bottom"/>
            <w:hideMark/>
          </w:tcPr>
          <w:p w14:paraId="128C45C4" w14:textId="77777777" w:rsidR="00233AEA" w:rsidRPr="00730B1E" w:rsidRDefault="00233AEA" w:rsidP="00233AEA">
            <w:pPr>
              <w:spacing w:line="240" w:lineRule="auto"/>
              <w:jc w:val="left"/>
            </w:pPr>
            <w:r w:rsidRPr="00730B1E">
              <w:t>Výtržnictví</w:t>
            </w:r>
          </w:p>
        </w:tc>
        <w:tc>
          <w:tcPr>
            <w:tcW w:w="1540" w:type="dxa"/>
            <w:tcBorders>
              <w:top w:val="nil"/>
              <w:left w:val="nil"/>
              <w:bottom w:val="nil"/>
              <w:right w:val="nil"/>
            </w:tcBorders>
            <w:shd w:val="clear" w:color="auto" w:fill="auto"/>
            <w:noWrap/>
            <w:vAlign w:val="bottom"/>
            <w:hideMark/>
          </w:tcPr>
          <w:p w14:paraId="2A5D2F85" w14:textId="77777777" w:rsidR="00233AEA" w:rsidRPr="00730B1E" w:rsidRDefault="00233AEA" w:rsidP="00233AEA">
            <w:pPr>
              <w:spacing w:line="240" w:lineRule="auto"/>
              <w:jc w:val="center"/>
            </w:pPr>
            <w:r w:rsidRPr="00730B1E">
              <w:t>151</w:t>
            </w:r>
          </w:p>
        </w:tc>
        <w:tc>
          <w:tcPr>
            <w:tcW w:w="1540" w:type="dxa"/>
            <w:tcBorders>
              <w:top w:val="nil"/>
              <w:left w:val="nil"/>
              <w:bottom w:val="nil"/>
              <w:right w:val="nil"/>
            </w:tcBorders>
            <w:shd w:val="clear" w:color="auto" w:fill="auto"/>
            <w:noWrap/>
            <w:vAlign w:val="bottom"/>
            <w:hideMark/>
          </w:tcPr>
          <w:p w14:paraId="53F4C773" w14:textId="6F1718B9" w:rsidR="00233AEA" w:rsidRPr="00730B1E" w:rsidRDefault="00233AEA" w:rsidP="00233AEA">
            <w:pPr>
              <w:spacing w:line="240" w:lineRule="auto"/>
              <w:jc w:val="center"/>
            </w:pPr>
            <w:r w:rsidRPr="00730B1E">
              <w:t>17,3</w:t>
            </w:r>
          </w:p>
        </w:tc>
      </w:tr>
      <w:tr w:rsidR="00B64E96" w:rsidRPr="00730B1E" w14:paraId="00AA506D" w14:textId="77777777" w:rsidTr="00233AEA">
        <w:trPr>
          <w:trHeight w:val="315"/>
        </w:trPr>
        <w:tc>
          <w:tcPr>
            <w:tcW w:w="6200" w:type="dxa"/>
            <w:tcBorders>
              <w:top w:val="single" w:sz="4" w:space="0" w:color="auto"/>
              <w:left w:val="nil"/>
              <w:bottom w:val="nil"/>
              <w:right w:val="nil"/>
            </w:tcBorders>
            <w:shd w:val="clear" w:color="auto" w:fill="auto"/>
            <w:noWrap/>
            <w:vAlign w:val="bottom"/>
            <w:hideMark/>
          </w:tcPr>
          <w:p w14:paraId="07625E0A" w14:textId="77777777" w:rsidR="00233AEA" w:rsidRPr="00730B1E" w:rsidRDefault="00233AEA" w:rsidP="00233AEA">
            <w:pPr>
              <w:spacing w:line="240" w:lineRule="auto"/>
              <w:jc w:val="left"/>
            </w:pPr>
            <w:r w:rsidRPr="00730B1E">
              <w:t>Ublížení na zdraví</w:t>
            </w:r>
          </w:p>
        </w:tc>
        <w:tc>
          <w:tcPr>
            <w:tcW w:w="1540" w:type="dxa"/>
            <w:tcBorders>
              <w:top w:val="single" w:sz="4" w:space="0" w:color="auto"/>
              <w:left w:val="nil"/>
              <w:bottom w:val="nil"/>
              <w:right w:val="nil"/>
            </w:tcBorders>
            <w:shd w:val="clear" w:color="auto" w:fill="auto"/>
            <w:noWrap/>
            <w:vAlign w:val="bottom"/>
            <w:hideMark/>
          </w:tcPr>
          <w:p w14:paraId="63BE5E34" w14:textId="77777777" w:rsidR="00233AEA" w:rsidRPr="00730B1E" w:rsidRDefault="00233AEA" w:rsidP="00233AEA">
            <w:pPr>
              <w:spacing w:line="240" w:lineRule="auto"/>
              <w:jc w:val="center"/>
            </w:pPr>
            <w:r w:rsidRPr="00730B1E">
              <w:t>115</w:t>
            </w:r>
          </w:p>
        </w:tc>
        <w:tc>
          <w:tcPr>
            <w:tcW w:w="1540" w:type="dxa"/>
            <w:tcBorders>
              <w:top w:val="single" w:sz="4" w:space="0" w:color="auto"/>
              <w:left w:val="nil"/>
              <w:bottom w:val="nil"/>
              <w:right w:val="nil"/>
            </w:tcBorders>
            <w:shd w:val="clear" w:color="auto" w:fill="auto"/>
            <w:noWrap/>
            <w:vAlign w:val="bottom"/>
            <w:hideMark/>
          </w:tcPr>
          <w:p w14:paraId="1930D00D" w14:textId="2EE4C12C" w:rsidR="00233AEA" w:rsidRPr="00730B1E" w:rsidRDefault="00233AEA" w:rsidP="00233AEA">
            <w:pPr>
              <w:spacing w:line="240" w:lineRule="auto"/>
              <w:jc w:val="center"/>
            </w:pPr>
            <w:r w:rsidRPr="00730B1E">
              <w:t>11,5</w:t>
            </w:r>
          </w:p>
        </w:tc>
      </w:tr>
      <w:tr w:rsidR="00B64E96" w:rsidRPr="00730B1E" w14:paraId="6098C298" w14:textId="77777777" w:rsidTr="00233AEA">
        <w:trPr>
          <w:trHeight w:val="330"/>
        </w:trPr>
        <w:tc>
          <w:tcPr>
            <w:tcW w:w="6200" w:type="dxa"/>
            <w:tcBorders>
              <w:top w:val="single" w:sz="4" w:space="0" w:color="auto"/>
              <w:left w:val="nil"/>
              <w:bottom w:val="double" w:sz="6" w:space="0" w:color="auto"/>
              <w:right w:val="nil"/>
            </w:tcBorders>
            <w:shd w:val="clear" w:color="auto" w:fill="auto"/>
            <w:noWrap/>
            <w:vAlign w:val="bottom"/>
            <w:hideMark/>
          </w:tcPr>
          <w:p w14:paraId="20DC26F0" w14:textId="77777777" w:rsidR="00233AEA" w:rsidRPr="00730B1E" w:rsidRDefault="00233AEA" w:rsidP="00233AEA">
            <w:pPr>
              <w:spacing w:line="240" w:lineRule="auto"/>
              <w:jc w:val="left"/>
            </w:pPr>
            <w:r w:rsidRPr="00730B1E">
              <w:t>Ostatní</w:t>
            </w:r>
          </w:p>
        </w:tc>
        <w:tc>
          <w:tcPr>
            <w:tcW w:w="1540" w:type="dxa"/>
            <w:tcBorders>
              <w:top w:val="single" w:sz="4" w:space="0" w:color="auto"/>
              <w:left w:val="nil"/>
              <w:bottom w:val="double" w:sz="6" w:space="0" w:color="auto"/>
              <w:right w:val="nil"/>
            </w:tcBorders>
            <w:shd w:val="clear" w:color="auto" w:fill="auto"/>
            <w:noWrap/>
            <w:vAlign w:val="bottom"/>
            <w:hideMark/>
          </w:tcPr>
          <w:p w14:paraId="38CE87A7" w14:textId="77777777" w:rsidR="00233AEA" w:rsidRPr="00730B1E" w:rsidRDefault="00233AEA" w:rsidP="00233AEA">
            <w:pPr>
              <w:spacing w:line="240" w:lineRule="auto"/>
              <w:jc w:val="center"/>
            </w:pPr>
            <w:r w:rsidRPr="00730B1E">
              <w:t>953</w:t>
            </w:r>
          </w:p>
        </w:tc>
        <w:tc>
          <w:tcPr>
            <w:tcW w:w="1540" w:type="dxa"/>
            <w:tcBorders>
              <w:top w:val="single" w:sz="4" w:space="0" w:color="auto"/>
              <w:left w:val="nil"/>
              <w:bottom w:val="double" w:sz="6" w:space="0" w:color="auto"/>
              <w:right w:val="nil"/>
            </w:tcBorders>
            <w:shd w:val="clear" w:color="auto" w:fill="auto"/>
            <w:noWrap/>
            <w:vAlign w:val="bottom"/>
            <w:hideMark/>
          </w:tcPr>
          <w:p w14:paraId="6636D510" w14:textId="06EA2887" w:rsidR="00233AEA" w:rsidRPr="00730B1E" w:rsidRDefault="00233AEA" w:rsidP="00233AEA">
            <w:pPr>
              <w:spacing w:line="240" w:lineRule="auto"/>
              <w:jc w:val="center"/>
            </w:pPr>
            <w:r w:rsidRPr="00730B1E">
              <w:t>21,7</w:t>
            </w:r>
          </w:p>
        </w:tc>
      </w:tr>
      <w:tr w:rsidR="00B64E96" w:rsidRPr="00730B1E" w14:paraId="308FC232" w14:textId="77777777" w:rsidTr="00233AEA">
        <w:trPr>
          <w:trHeight w:val="345"/>
        </w:trPr>
        <w:tc>
          <w:tcPr>
            <w:tcW w:w="6200" w:type="dxa"/>
            <w:tcBorders>
              <w:top w:val="nil"/>
              <w:left w:val="nil"/>
              <w:bottom w:val="double" w:sz="6" w:space="0" w:color="auto"/>
              <w:right w:val="nil"/>
            </w:tcBorders>
            <w:shd w:val="clear" w:color="auto" w:fill="auto"/>
            <w:noWrap/>
            <w:vAlign w:val="bottom"/>
            <w:hideMark/>
          </w:tcPr>
          <w:p w14:paraId="5F6E1DC1" w14:textId="77777777" w:rsidR="00233AEA" w:rsidRPr="00730B1E" w:rsidRDefault="00233AEA" w:rsidP="00233AEA">
            <w:pPr>
              <w:spacing w:line="240" w:lineRule="auto"/>
              <w:jc w:val="left"/>
              <w:rPr>
                <w:b/>
              </w:rPr>
            </w:pPr>
            <w:r w:rsidRPr="00730B1E">
              <w:rPr>
                <w:b/>
              </w:rPr>
              <w:t>Celkem</w:t>
            </w:r>
          </w:p>
        </w:tc>
        <w:tc>
          <w:tcPr>
            <w:tcW w:w="1540" w:type="dxa"/>
            <w:tcBorders>
              <w:top w:val="nil"/>
              <w:left w:val="nil"/>
              <w:bottom w:val="double" w:sz="6" w:space="0" w:color="auto"/>
              <w:right w:val="nil"/>
            </w:tcBorders>
            <w:shd w:val="clear" w:color="auto" w:fill="auto"/>
            <w:noWrap/>
            <w:vAlign w:val="bottom"/>
            <w:hideMark/>
          </w:tcPr>
          <w:p w14:paraId="1E785B78" w14:textId="24112009" w:rsidR="00233AEA" w:rsidRPr="00730B1E" w:rsidRDefault="00233AEA" w:rsidP="00233AEA">
            <w:pPr>
              <w:spacing w:line="240" w:lineRule="auto"/>
              <w:jc w:val="center"/>
              <w:rPr>
                <w:b/>
              </w:rPr>
            </w:pPr>
            <w:r w:rsidRPr="00730B1E">
              <w:rPr>
                <w:b/>
              </w:rPr>
              <w:t>8</w:t>
            </w:r>
            <w:r w:rsidR="00206DE1" w:rsidRPr="00730B1E">
              <w:rPr>
                <w:rFonts w:eastAsia="Times New Roman"/>
                <w:b/>
                <w:bCs/>
                <w:szCs w:val="24"/>
                <w:lang w:eastAsia="cs-CZ"/>
              </w:rPr>
              <w:t xml:space="preserve"> </w:t>
            </w:r>
            <w:r w:rsidRPr="00730B1E">
              <w:rPr>
                <w:b/>
              </w:rPr>
              <w:t>856</w:t>
            </w:r>
          </w:p>
        </w:tc>
        <w:tc>
          <w:tcPr>
            <w:tcW w:w="1540" w:type="dxa"/>
            <w:tcBorders>
              <w:top w:val="nil"/>
              <w:left w:val="nil"/>
              <w:bottom w:val="double" w:sz="6" w:space="0" w:color="auto"/>
              <w:right w:val="nil"/>
            </w:tcBorders>
            <w:shd w:val="clear" w:color="auto" w:fill="auto"/>
            <w:noWrap/>
            <w:vAlign w:val="bottom"/>
            <w:hideMark/>
          </w:tcPr>
          <w:p w14:paraId="0A59C2B8" w14:textId="5232745C" w:rsidR="00233AEA" w:rsidRPr="00730B1E" w:rsidRDefault="00233AEA" w:rsidP="00233AEA">
            <w:pPr>
              <w:spacing w:line="240" w:lineRule="auto"/>
              <w:jc w:val="center"/>
              <w:rPr>
                <w:b/>
              </w:rPr>
            </w:pPr>
            <w:r w:rsidRPr="00730B1E">
              <w:rPr>
                <w:b/>
              </w:rPr>
              <w:t>13,3</w:t>
            </w:r>
          </w:p>
        </w:tc>
      </w:tr>
      <w:tr w:rsidR="00B64E96" w:rsidRPr="00730B1E" w14:paraId="250657F2" w14:textId="77777777" w:rsidTr="00233AEA">
        <w:trPr>
          <w:trHeight w:val="330"/>
        </w:trPr>
        <w:tc>
          <w:tcPr>
            <w:tcW w:w="6200" w:type="dxa"/>
            <w:tcBorders>
              <w:top w:val="nil"/>
              <w:left w:val="nil"/>
              <w:bottom w:val="nil"/>
              <w:right w:val="nil"/>
            </w:tcBorders>
            <w:shd w:val="clear" w:color="auto" w:fill="auto"/>
            <w:noWrap/>
            <w:vAlign w:val="bottom"/>
            <w:hideMark/>
          </w:tcPr>
          <w:p w14:paraId="1619B83B" w14:textId="77777777" w:rsidR="00233AEA" w:rsidRPr="00730B1E" w:rsidRDefault="00233AEA" w:rsidP="00233AEA">
            <w:pPr>
              <w:spacing w:line="240" w:lineRule="auto"/>
              <w:jc w:val="center"/>
              <w:rPr>
                <w:b/>
              </w:rPr>
            </w:pPr>
          </w:p>
        </w:tc>
        <w:tc>
          <w:tcPr>
            <w:tcW w:w="1540" w:type="dxa"/>
            <w:tcBorders>
              <w:top w:val="nil"/>
              <w:left w:val="nil"/>
              <w:bottom w:val="nil"/>
              <w:right w:val="nil"/>
            </w:tcBorders>
            <w:shd w:val="clear" w:color="auto" w:fill="auto"/>
            <w:noWrap/>
            <w:vAlign w:val="bottom"/>
            <w:hideMark/>
          </w:tcPr>
          <w:p w14:paraId="73BD6E85" w14:textId="77777777" w:rsidR="00233AEA" w:rsidRPr="00730B1E" w:rsidRDefault="00233AEA" w:rsidP="00233AEA">
            <w:pPr>
              <w:spacing w:line="240" w:lineRule="auto"/>
              <w:jc w:val="left"/>
            </w:pPr>
          </w:p>
        </w:tc>
        <w:tc>
          <w:tcPr>
            <w:tcW w:w="1540" w:type="dxa"/>
            <w:tcBorders>
              <w:top w:val="nil"/>
              <w:left w:val="nil"/>
              <w:bottom w:val="nil"/>
              <w:right w:val="nil"/>
            </w:tcBorders>
            <w:shd w:val="clear" w:color="auto" w:fill="auto"/>
            <w:noWrap/>
            <w:vAlign w:val="bottom"/>
            <w:hideMark/>
          </w:tcPr>
          <w:p w14:paraId="4545E245" w14:textId="77777777" w:rsidR="00233AEA" w:rsidRPr="00730B1E" w:rsidRDefault="00233AEA" w:rsidP="00233AEA">
            <w:pPr>
              <w:spacing w:line="240" w:lineRule="auto"/>
              <w:jc w:val="left"/>
            </w:pPr>
          </w:p>
        </w:tc>
      </w:tr>
    </w:tbl>
    <w:p w14:paraId="0955E0F0" w14:textId="1219B5D5" w:rsidR="00620C6E" w:rsidRPr="00730B1E" w:rsidRDefault="00620C6E">
      <w:pPr>
        <w:spacing w:after="160" w:line="259" w:lineRule="auto"/>
        <w:jc w:val="left"/>
        <w:rPr>
          <w:b/>
          <w:bCs/>
          <w:szCs w:val="24"/>
        </w:rPr>
      </w:pPr>
      <w:r w:rsidRPr="00730B1E">
        <w:rPr>
          <w:b/>
          <w:bCs/>
          <w:szCs w:val="24"/>
        </w:rPr>
        <w:br w:type="page"/>
      </w:r>
    </w:p>
    <w:p w14:paraId="2D1E38CA" w14:textId="11146A4E" w:rsidR="008430BD" w:rsidRPr="00730B1E" w:rsidRDefault="008430BD" w:rsidP="008430BD">
      <w:pPr>
        <w:pStyle w:val="Nadpis2"/>
        <w:numPr>
          <w:ilvl w:val="1"/>
          <w:numId w:val="1"/>
        </w:numPr>
        <w:spacing w:before="120"/>
        <w:rPr>
          <w:color w:val="auto"/>
        </w:rPr>
      </w:pPr>
      <w:bookmarkStart w:id="508" w:name="_Ref511307913"/>
      <w:bookmarkStart w:id="509" w:name="_Toc515871236"/>
      <w:bookmarkStart w:id="510" w:name="_Toc106092733"/>
      <w:bookmarkStart w:id="511" w:name="_Toc169250817"/>
      <w:bookmarkStart w:id="512" w:name="_Toc174080853"/>
      <w:r w:rsidRPr="00730B1E">
        <w:rPr>
          <w:color w:val="auto"/>
        </w:rPr>
        <w:lastRenderedPageBreak/>
        <w:t>Opatrovnická agenda</w:t>
      </w:r>
      <w:bookmarkEnd w:id="508"/>
      <w:bookmarkEnd w:id="509"/>
      <w:bookmarkEnd w:id="510"/>
      <w:bookmarkEnd w:id="511"/>
      <w:bookmarkEnd w:id="512"/>
    </w:p>
    <w:p w14:paraId="6FA82495" w14:textId="77777777" w:rsidR="00233AEA" w:rsidRPr="00730B1E" w:rsidRDefault="00233AEA" w:rsidP="00233AEA">
      <w:pPr>
        <w:pStyle w:val="OdstavecASR"/>
      </w:pPr>
      <w:r w:rsidRPr="00730B1E">
        <w:t>Z hlediska statistického vykazování je sledování opatrovnické agendy nejjednodušší. Ve statistickém pozorování ve výkazech totiž nedocházelo k žádným velkým změnám. Stejně jako u civilního řízení zahrnuje opatrovnická agenda několik rejstříků. Zdaleka nejvýznamnější, a pro soud časově i jinak nejnáročnější, je agenda zahrnující řízení ohledně svéprávnosti a opatrovnictví člověka, péče soudu o nezletilé apod., tedy věci vedené v rejstříku P a Nc.</w:t>
      </w:r>
    </w:p>
    <w:p w14:paraId="643AB993" w14:textId="0F84FEF3" w:rsidR="008430BD" w:rsidRPr="00730B1E" w:rsidRDefault="008430BD" w:rsidP="008430BD">
      <w:pPr>
        <w:pStyle w:val="Nadpis3"/>
        <w:numPr>
          <w:ilvl w:val="2"/>
          <w:numId w:val="1"/>
        </w:numPr>
        <w:rPr>
          <w:color w:val="auto"/>
        </w:rPr>
      </w:pPr>
      <w:bookmarkStart w:id="513" w:name="_Toc515871237"/>
      <w:bookmarkStart w:id="514" w:name="_Toc106092734"/>
      <w:bookmarkStart w:id="515" w:name="_Toc169250818"/>
      <w:bookmarkStart w:id="516" w:name="_Toc174080854"/>
      <w:r w:rsidRPr="00730B1E">
        <w:rPr>
          <w:color w:val="auto"/>
        </w:rPr>
        <w:t>Délka řízení</w:t>
      </w:r>
      <w:bookmarkEnd w:id="513"/>
      <w:bookmarkEnd w:id="514"/>
      <w:bookmarkEnd w:id="515"/>
      <w:bookmarkEnd w:id="516"/>
    </w:p>
    <w:p w14:paraId="11AA4090" w14:textId="0882ECF2" w:rsidR="007535DB" w:rsidRPr="00730B1E" w:rsidRDefault="007535DB" w:rsidP="007535DB">
      <w:pPr>
        <w:pStyle w:val="OdstavecASR"/>
      </w:pPr>
      <w:r w:rsidRPr="00730B1E">
        <w:t xml:space="preserve">Platí stejné poznámky jako u civilního řízení. Délku řízení tedy zjišťujeme ze statistických listů a uvádíme v kalendářních dnech ode dne nápadu do dne konečného vyřízení soudem I. stupně. </w:t>
      </w:r>
    </w:p>
    <w:p w14:paraId="4B7B8A7C" w14:textId="4CB21474" w:rsidR="007535DB" w:rsidRPr="00730B1E" w:rsidRDefault="007535DB" w:rsidP="007535DB">
      <w:pPr>
        <w:pStyle w:val="Podnadpis"/>
        <w:numPr>
          <w:ilvl w:val="0"/>
          <w:numId w:val="0"/>
        </w:numPr>
        <w:rPr>
          <w:color w:val="auto"/>
        </w:rPr>
      </w:pPr>
      <w:bookmarkStart w:id="517" w:name="_Toc515871365"/>
      <w:bookmarkStart w:id="518" w:name="_Toc11135097"/>
      <w:bookmarkStart w:id="519" w:name="_Toc43841415"/>
      <w:bookmarkStart w:id="520" w:name="_Toc75952218"/>
      <w:bookmarkStart w:id="521" w:name="_Toc106106670"/>
      <w:bookmarkStart w:id="522" w:name="_Toc144104145"/>
      <w:bookmarkStart w:id="523" w:name="_Toc169250955"/>
      <w:bookmarkStart w:id="524" w:name="_Toc174080641"/>
      <w:bookmarkStart w:id="525" w:name="_Hlk128560288"/>
      <w:r w:rsidRPr="00730B1E">
        <w:rPr>
          <w:color w:val="auto"/>
        </w:rPr>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36</w:t>
      </w:r>
      <w:r w:rsidRPr="00730B1E">
        <w:rPr>
          <w:noProof/>
          <w:color w:val="auto"/>
        </w:rPr>
        <w:fldChar w:fldCharType="end"/>
      </w:r>
      <w:r w:rsidRPr="00730B1E">
        <w:rPr>
          <w:color w:val="auto"/>
        </w:rPr>
        <w:t>: OS – délka řízení v opatrovnické agendě v letech 201</w:t>
      </w:r>
      <w:r w:rsidR="002263C3" w:rsidRPr="00730B1E">
        <w:rPr>
          <w:color w:val="auto"/>
        </w:rPr>
        <w:t>4</w:t>
      </w:r>
      <w:r w:rsidRPr="00730B1E">
        <w:rPr>
          <w:color w:val="auto"/>
        </w:rPr>
        <w:t>–20</w:t>
      </w:r>
      <w:bookmarkEnd w:id="517"/>
      <w:bookmarkEnd w:id="518"/>
      <w:bookmarkEnd w:id="519"/>
      <w:r w:rsidRPr="00730B1E">
        <w:rPr>
          <w:color w:val="auto"/>
        </w:rPr>
        <w:t>2</w:t>
      </w:r>
      <w:bookmarkEnd w:id="520"/>
      <w:bookmarkEnd w:id="521"/>
      <w:bookmarkEnd w:id="522"/>
      <w:r w:rsidRPr="00730B1E">
        <w:rPr>
          <w:color w:val="auto"/>
        </w:rPr>
        <w:t>3</w:t>
      </w:r>
      <w:bookmarkEnd w:id="523"/>
      <w:bookmarkEnd w:id="524"/>
    </w:p>
    <w:bookmarkEnd w:id="525"/>
    <w:p w14:paraId="3702A61A" w14:textId="667CD256" w:rsidR="007535DB" w:rsidRPr="00730B1E" w:rsidRDefault="007535DB" w:rsidP="007535DB">
      <w:r w:rsidRPr="00730B1E">
        <w:rPr>
          <w:noProof/>
          <w:lang w:eastAsia="cs-CZ"/>
        </w:rPr>
        <w:drawing>
          <wp:inline distT="0" distB="0" distL="0" distR="0" wp14:anchorId="0726219E" wp14:editId="37CD9FEB">
            <wp:extent cx="5029200" cy="3657600"/>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EEF2F9C" w14:textId="77777777" w:rsidR="00143C42" w:rsidRPr="00730B1E" w:rsidRDefault="00143C42" w:rsidP="007535DB"/>
    <w:p w14:paraId="4BF1679C" w14:textId="2D4C763A" w:rsidR="00143C42" w:rsidRPr="00730B1E" w:rsidRDefault="00B05E40" w:rsidP="00143C42">
      <w:pPr>
        <w:pStyle w:val="OdstavecASR"/>
      </w:pPr>
      <w:r w:rsidRPr="00730B1E">
        <w:t xml:space="preserve">Před rokem 2015 byla </w:t>
      </w:r>
      <w:r w:rsidR="00143C42" w:rsidRPr="00730B1E">
        <w:t xml:space="preserve">délka řízení velmi stabilní, v letech 2015 a 2016 </w:t>
      </w:r>
      <w:r w:rsidRPr="00730B1E">
        <w:t xml:space="preserve">pak </w:t>
      </w:r>
      <w:r w:rsidR="00143C42" w:rsidRPr="00730B1E">
        <w:t>došlo k náhlému nárůstu následovanému tříletým poklesem. Příčinu zmíněného nárůstu můžeme spatřovat především v nabytí účinnosti zákona č. 89/2012 Sb., občanský zákoník (o. z.), podle kterého bylo třeba do tří let přezkoumat všechny osoby, jež byly v předchozí době pravomocně zbaveny či omezeny ve způsobilosti k právním úkonům. Přibyly i další druhy rozhodování (podpůrná opatření při narušení schopnosti zletilého právně jednat apod.). Došlo tak k velkému rozšíření obsahu opatrovnické agendy soudů, jak ukazuje další podkapitola. Pokles délky řízení v letech 2017–2019 byl pravděpodobně ovlivněn zejména přijetím novely o. z. provedené zákonem č. 460/2016 Sb., která přezkum prodlužuje na 5 let (§ 59 o. z.).</w:t>
      </w:r>
    </w:p>
    <w:p w14:paraId="0720B553" w14:textId="4F76EF0D" w:rsidR="00143C42" w:rsidRPr="00730B1E" w:rsidRDefault="00143C42" w:rsidP="00143C42">
      <w:pPr>
        <w:pStyle w:val="OdstavecASR"/>
      </w:pPr>
      <w:r w:rsidRPr="00730B1E">
        <w:t xml:space="preserve">Také je třeba upozornit, že touto novelou zákona o zvláštních řízeních soudních, tj. zákonem č. 460/2016 Sb., došlo k možnosti upustit od provedení nového znaleckého posudku a výslechu znalce v případě, že je vedeno přezkumné řízení o svéprávnosti člověka a je zjevné, že stav posuzovaného se oproti rozhodnutí o omezení svéprávnosti či poslednímu rozhodnutí </w:t>
      </w:r>
      <w:r w:rsidRPr="00730B1E">
        <w:lastRenderedPageBreak/>
        <w:t xml:space="preserve">o prodloužení nezměnil. V takovém případě je znalecký posudek </w:t>
      </w:r>
      <w:r w:rsidR="00DC5397" w:rsidRPr="00730B1E">
        <w:t xml:space="preserve">může </w:t>
      </w:r>
      <w:r w:rsidRPr="00730B1E">
        <w:t>nahradit jiným důkazem, zejména písemnou zprávou ošetřujícího lékaře ve spojení s naposledy vypracovaným znaleckým posudkem (§ 38 odst. 4 zákona o zvláštních řízeních soudních).</w:t>
      </w:r>
    </w:p>
    <w:p w14:paraId="0CD8E8FA" w14:textId="77777777" w:rsidR="00143C42" w:rsidRPr="00730B1E" w:rsidRDefault="00143C42" w:rsidP="00143C42">
      <w:pPr>
        <w:pStyle w:val="OdstavecASR"/>
      </w:pPr>
      <w:r w:rsidRPr="00730B1E">
        <w:t>Podle zkušeností soudů nová agenda samozřejmě představovala dodatečnou zátěž. Hlavní problém ale spočíval ve vyhotovování znaleckých posudků potřebných pro přezkum svéprávnosti. Znalci byli natolik zahlceni, že odmítali zpracovávat nové věci do doby, než zpracovali ty, které jim byly přiděleny dříve. Na znalecké posudky soudy čekaly šest měsíců, někdy i déle. To se samozřejmě promítlo do celkové délky řízení. Jak bylo zmíněno již dříve, reálné změny ve vyřizování agendy se do délky řízení promítají s určitým zpožděním. Nárůst v délce řízení je tedy patrný až v roce 2015 a 2016 a následuje pokles v letech 2017 a 2018. V roce 2019 pokles pokračoval a délky řízení se již prakticky vrátily na úroveň před účinností o. z. Klesl především percentil 90 a průměr, což znamená, že relativně klesl počet věcí, které nejsou vyřízeny dlouhou dobu.</w:t>
      </w:r>
    </w:p>
    <w:p w14:paraId="786E7EA8" w14:textId="77777777" w:rsidR="00143C42" w:rsidRPr="00730B1E" w:rsidRDefault="00143C42" w:rsidP="00143C42">
      <w:pPr>
        <w:pStyle w:val="OdstavecASR"/>
      </w:pPr>
      <w:r w:rsidRPr="00730B1E">
        <w:t>Délky řízení byly ovlivněny také skutečností, že v letech 2016 až 2018 převýšil počet vyřízených věcí počet věcí příchozích. Zdá se tedy, že výše popsané problémy v agendě, které nastaly po nabytí účinnosti o. z., se částečně podařilo vyřešit. Dílčí vliv může plynout i z opatření některých soudů k posílení opatrovnických oddělení.</w:t>
      </w:r>
    </w:p>
    <w:p w14:paraId="41FDE9F1" w14:textId="77777777" w:rsidR="00143C42" w:rsidRPr="00730B1E" w:rsidRDefault="00143C42" w:rsidP="00143C42">
      <w:pPr>
        <w:pStyle w:val="OdstavecASR"/>
      </w:pPr>
      <w:r w:rsidRPr="00730B1E">
        <w:t>V roce 2020 opět došlo k mírnému růstu v délkách řízení, což opět teoreticky může souviset s pandemií COVID</w:t>
      </w:r>
      <w:r w:rsidRPr="00730B1E">
        <w:noBreakHyphen/>
        <w:t>19, která činnost soudů zkomplikovala. Tuto teorii podporuje fakt, že medián vzrostl ve všech krajích a téměř ve všech krajích s výjimkou Severočeského vzrostl i percentil 90 a průměr.</w:t>
      </w:r>
    </w:p>
    <w:p w14:paraId="4504A694" w14:textId="77777777" w:rsidR="00143C42" w:rsidRPr="00730B1E" w:rsidRDefault="00143C42" w:rsidP="00143C42">
      <w:pPr>
        <w:pStyle w:val="OdstavecASR"/>
      </w:pPr>
      <w:r w:rsidRPr="00730B1E">
        <w:t xml:space="preserve">V roce 2021 však průměr stagnoval, percentil 90 narostl a medián mírně klesl na úroveň v letech 2017 až 2019. Mírný pokles mediánu by stejně jako u civilního řízení mohl ukazovat, že se i přes pokračující pandemii soudy vrátily k běžnému fungování. </w:t>
      </w:r>
    </w:p>
    <w:p w14:paraId="5E776869" w14:textId="3C56E141" w:rsidR="004A6993" w:rsidRPr="00730B1E" w:rsidRDefault="00143C42" w:rsidP="00143C42">
      <w:r w:rsidRPr="00730B1E">
        <w:t>V</w:t>
      </w:r>
      <w:r w:rsidR="004A6993" w:rsidRPr="00730B1E">
        <w:t> letech 2022 a 2023</w:t>
      </w:r>
      <w:r w:rsidRPr="00730B1E">
        <w:t xml:space="preserve"> došlo k poklesu </w:t>
      </w:r>
      <w:r w:rsidR="004A6993" w:rsidRPr="00730B1E">
        <w:t>délek řízení</w:t>
      </w:r>
      <w:r w:rsidRPr="00730B1E">
        <w:t>. To může, ale nemusí</w:t>
      </w:r>
      <w:r w:rsidR="00AF7DEB" w:rsidRPr="00730B1E">
        <w:t>,</w:t>
      </w:r>
      <w:r w:rsidRPr="00730B1E">
        <w:t xml:space="preserve"> naznačovat zlepšení situace v agendě. Je opět ale třeba na uvedené nahlížet v kontextu vývoje nápadu, počtu vyřízených a nevyřízených věcí. </w:t>
      </w:r>
      <w:r w:rsidR="00B05E40" w:rsidRPr="00730B1E">
        <w:t>D</w:t>
      </w:r>
      <w:r w:rsidRPr="00730B1E">
        <w:t xml:space="preserve">alší podkapitola </w:t>
      </w:r>
      <w:r w:rsidR="00B05E40" w:rsidRPr="00730B1E">
        <w:t xml:space="preserve">přitom </w:t>
      </w:r>
      <w:r w:rsidRPr="00730B1E">
        <w:t>ukazuje, že počet nevyřízených věcí nekles</w:t>
      </w:r>
      <w:r w:rsidR="004A6993" w:rsidRPr="00730B1E">
        <w:t>á</w:t>
      </w:r>
      <w:r w:rsidRPr="00730B1E">
        <w:t xml:space="preserve">, ale </w:t>
      </w:r>
      <w:r w:rsidR="004A6993" w:rsidRPr="00730B1E">
        <w:t>roste.</w:t>
      </w:r>
    </w:p>
    <w:p w14:paraId="2CA154B2" w14:textId="472F1925" w:rsidR="004A6993" w:rsidRPr="00730B1E" w:rsidRDefault="004A6993" w:rsidP="004A6993">
      <w:pPr>
        <w:pStyle w:val="Podnadpis"/>
        <w:rPr>
          <w:color w:val="auto"/>
        </w:rPr>
      </w:pPr>
      <w:bookmarkStart w:id="526" w:name="_Toc515871460"/>
      <w:bookmarkStart w:id="527" w:name="_Toc11133228"/>
      <w:bookmarkStart w:id="528" w:name="_Toc43931201"/>
      <w:bookmarkStart w:id="529" w:name="_Toc75952333"/>
      <w:bookmarkStart w:id="530" w:name="_Toc106106790"/>
      <w:bookmarkStart w:id="531" w:name="_Toc144104269"/>
      <w:bookmarkStart w:id="532" w:name="_Toc169251085"/>
      <w:bookmarkStart w:id="533" w:name="_Toc174080771"/>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28</w:t>
      </w:r>
      <w:r w:rsidRPr="00730B1E">
        <w:rPr>
          <w:noProof/>
          <w:color w:val="auto"/>
        </w:rPr>
        <w:fldChar w:fldCharType="end"/>
      </w:r>
      <w:r w:rsidRPr="00730B1E">
        <w:rPr>
          <w:color w:val="auto"/>
        </w:rPr>
        <w:t>: OS – délky řízení v opatrovnické agendě dle krajů</w:t>
      </w:r>
      <w:bookmarkEnd w:id="526"/>
      <w:bookmarkEnd w:id="527"/>
      <w:bookmarkEnd w:id="528"/>
      <w:bookmarkEnd w:id="529"/>
      <w:bookmarkEnd w:id="530"/>
      <w:bookmarkEnd w:id="531"/>
      <w:r w:rsidR="002263C3" w:rsidRPr="00730B1E">
        <w:rPr>
          <w:color w:val="auto"/>
        </w:rPr>
        <w:t>, 2023</w:t>
      </w:r>
      <w:bookmarkEnd w:id="532"/>
      <w:bookmarkEnd w:id="533"/>
    </w:p>
    <w:tbl>
      <w:tblPr>
        <w:tblW w:w="7521" w:type="dxa"/>
        <w:tblCellMar>
          <w:left w:w="70" w:type="dxa"/>
          <w:right w:w="70" w:type="dxa"/>
        </w:tblCellMar>
        <w:tblLook w:val="04A0" w:firstRow="1" w:lastRow="0" w:firstColumn="1" w:lastColumn="0" w:noHBand="0" w:noVBand="1"/>
      </w:tblPr>
      <w:tblGrid>
        <w:gridCol w:w="2480"/>
        <w:gridCol w:w="728"/>
        <w:gridCol w:w="980"/>
        <w:gridCol w:w="505"/>
        <w:gridCol w:w="1120"/>
        <w:gridCol w:w="728"/>
        <w:gridCol w:w="980"/>
      </w:tblGrid>
      <w:tr w:rsidR="00B64E96" w:rsidRPr="00730B1E" w14:paraId="307C1F09" w14:textId="77777777" w:rsidTr="00F37CB6">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1FF2391" w14:textId="77777777" w:rsidR="00F37CB6" w:rsidRPr="00730B1E" w:rsidRDefault="00F37CB6" w:rsidP="00F37CB6">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5041" w:type="dxa"/>
            <w:gridSpan w:val="6"/>
            <w:tcBorders>
              <w:top w:val="double" w:sz="6" w:space="0" w:color="auto"/>
              <w:left w:val="nil"/>
              <w:bottom w:val="nil"/>
              <w:right w:val="nil"/>
            </w:tcBorders>
            <w:shd w:val="clear" w:color="auto" w:fill="auto"/>
            <w:noWrap/>
            <w:vAlign w:val="center"/>
            <w:hideMark/>
          </w:tcPr>
          <w:p w14:paraId="04043544" w14:textId="77777777" w:rsidR="00F37CB6" w:rsidRPr="00730B1E" w:rsidRDefault="00F37CB6" w:rsidP="00F37CB6">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2E1ABA44" w14:textId="77777777" w:rsidTr="00F37CB6">
        <w:trPr>
          <w:trHeight w:val="330"/>
        </w:trPr>
        <w:tc>
          <w:tcPr>
            <w:tcW w:w="2480" w:type="dxa"/>
            <w:vMerge/>
            <w:tcBorders>
              <w:top w:val="double" w:sz="6" w:space="0" w:color="auto"/>
              <w:left w:val="nil"/>
              <w:bottom w:val="double" w:sz="6" w:space="0" w:color="000000"/>
              <w:right w:val="nil"/>
            </w:tcBorders>
            <w:vAlign w:val="center"/>
            <w:hideMark/>
          </w:tcPr>
          <w:p w14:paraId="24BF71FD" w14:textId="77777777" w:rsidR="00F37CB6" w:rsidRPr="00730B1E" w:rsidRDefault="00F37CB6" w:rsidP="00F37CB6">
            <w:pPr>
              <w:spacing w:line="240" w:lineRule="auto"/>
              <w:jc w:val="left"/>
              <w:rPr>
                <w:rFonts w:eastAsia="Times New Roman"/>
                <w:b/>
                <w:bCs/>
                <w:szCs w:val="24"/>
                <w:lang w:eastAsia="cs-CZ"/>
              </w:rPr>
            </w:pPr>
          </w:p>
        </w:tc>
        <w:tc>
          <w:tcPr>
            <w:tcW w:w="1708" w:type="dxa"/>
            <w:gridSpan w:val="2"/>
            <w:tcBorders>
              <w:top w:val="nil"/>
              <w:left w:val="nil"/>
              <w:bottom w:val="double" w:sz="6" w:space="0" w:color="auto"/>
              <w:right w:val="nil"/>
            </w:tcBorders>
            <w:shd w:val="clear" w:color="auto" w:fill="auto"/>
            <w:noWrap/>
            <w:vAlign w:val="center"/>
            <w:hideMark/>
          </w:tcPr>
          <w:p w14:paraId="5F84C8F4" w14:textId="77777777" w:rsidR="00F37CB6" w:rsidRPr="00730B1E" w:rsidRDefault="00F37CB6" w:rsidP="00F37CB6">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62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41E34E0" w14:textId="77777777" w:rsidR="00F37CB6" w:rsidRPr="00730B1E" w:rsidRDefault="00F37CB6" w:rsidP="00F37CB6">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1708" w:type="dxa"/>
            <w:gridSpan w:val="2"/>
            <w:tcBorders>
              <w:top w:val="nil"/>
              <w:left w:val="nil"/>
              <w:bottom w:val="double" w:sz="6" w:space="0" w:color="auto"/>
              <w:right w:val="nil"/>
            </w:tcBorders>
            <w:shd w:val="clear" w:color="auto" w:fill="auto"/>
            <w:noWrap/>
            <w:vAlign w:val="center"/>
            <w:hideMark/>
          </w:tcPr>
          <w:p w14:paraId="15DF2EFF" w14:textId="77777777" w:rsidR="00F37CB6" w:rsidRPr="00730B1E" w:rsidRDefault="00F37CB6" w:rsidP="00F37CB6">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47A1F5D9" w14:textId="77777777" w:rsidTr="00F37CB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2687D12" w14:textId="77777777" w:rsidR="00F37CB6" w:rsidRPr="00730B1E" w:rsidRDefault="00F37CB6" w:rsidP="00F37CB6">
            <w:pPr>
              <w:spacing w:line="240" w:lineRule="auto"/>
              <w:jc w:val="left"/>
              <w:rPr>
                <w:rFonts w:eastAsia="Times New Roman"/>
                <w:szCs w:val="24"/>
                <w:lang w:eastAsia="cs-CZ"/>
              </w:rPr>
            </w:pPr>
            <w:r w:rsidRPr="00730B1E">
              <w:rPr>
                <w:rFonts w:eastAsia="Times New Roman"/>
                <w:szCs w:val="24"/>
                <w:lang w:eastAsia="cs-CZ"/>
              </w:rPr>
              <w:t>MS Praha</w:t>
            </w:r>
          </w:p>
        </w:tc>
        <w:tc>
          <w:tcPr>
            <w:tcW w:w="728" w:type="dxa"/>
            <w:tcBorders>
              <w:top w:val="single" w:sz="4" w:space="0" w:color="auto"/>
              <w:left w:val="nil"/>
              <w:bottom w:val="single" w:sz="4" w:space="0" w:color="auto"/>
              <w:right w:val="nil"/>
            </w:tcBorders>
            <w:shd w:val="clear" w:color="auto" w:fill="auto"/>
            <w:noWrap/>
            <w:vAlign w:val="bottom"/>
            <w:hideMark/>
          </w:tcPr>
          <w:p w14:paraId="0D93087D"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128</w:t>
            </w:r>
          </w:p>
        </w:tc>
        <w:tc>
          <w:tcPr>
            <w:tcW w:w="980" w:type="dxa"/>
            <w:tcBorders>
              <w:top w:val="single" w:sz="4" w:space="0" w:color="auto"/>
              <w:left w:val="nil"/>
              <w:bottom w:val="single" w:sz="4" w:space="0" w:color="auto"/>
              <w:right w:val="nil"/>
            </w:tcBorders>
            <w:shd w:val="clear" w:color="auto" w:fill="auto"/>
            <w:noWrap/>
            <w:vAlign w:val="center"/>
            <w:hideMark/>
          </w:tcPr>
          <w:p w14:paraId="5CB95AEE" w14:textId="691E1C6B"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-12 %</w:t>
            </w:r>
          </w:p>
        </w:tc>
        <w:tc>
          <w:tcPr>
            <w:tcW w:w="505" w:type="dxa"/>
            <w:tcBorders>
              <w:top w:val="nil"/>
              <w:left w:val="single" w:sz="4" w:space="0" w:color="auto"/>
              <w:bottom w:val="single" w:sz="4" w:space="0" w:color="auto"/>
              <w:right w:val="nil"/>
            </w:tcBorders>
            <w:shd w:val="clear" w:color="auto" w:fill="auto"/>
            <w:noWrap/>
            <w:vAlign w:val="bottom"/>
            <w:hideMark/>
          </w:tcPr>
          <w:p w14:paraId="4DE24D27"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70</w:t>
            </w:r>
          </w:p>
        </w:tc>
        <w:tc>
          <w:tcPr>
            <w:tcW w:w="1120" w:type="dxa"/>
            <w:tcBorders>
              <w:top w:val="nil"/>
              <w:left w:val="nil"/>
              <w:bottom w:val="single" w:sz="4" w:space="0" w:color="auto"/>
              <w:right w:val="single" w:sz="4" w:space="0" w:color="auto"/>
            </w:tcBorders>
            <w:shd w:val="clear" w:color="auto" w:fill="auto"/>
            <w:noWrap/>
            <w:vAlign w:val="center"/>
            <w:hideMark/>
          </w:tcPr>
          <w:p w14:paraId="7DB6B232" w14:textId="433519A6"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-9 %</w:t>
            </w:r>
          </w:p>
        </w:tc>
        <w:tc>
          <w:tcPr>
            <w:tcW w:w="728" w:type="dxa"/>
            <w:tcBorders>
              <w:top w:val="single" w:sz="4" w:space="0" w:color="auto"/>
              <w:left w:val="nil"/>
              <w:bottom w:val="single" w:sz="4" w:space="0" w:color="auto"/>
              <w:right w:val="nil"/>
            </w:tcBorders>
            <w:shd w:val="clear" w:color="auto" w:fill="auto"/>
            <w:noWrap/>
            <w:vAlign w:val="bottom"/>
            <w:hideMark/>
          </w:tcPr>
          <w:p w14:paraId="64DF30FB"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287</w:t>
            </w:r>
          </w:p>
        </w:tc>
        <w:tc>
          <w:tcPr>
            <w:tcW w:w="980" w:type="dxa"/>
            <w:tcBorders>
              <w:top w:val="single" w:sz="4" w:space="0" w:color="auto"/>
              <w:left w:val="nil"/>
              <w:bottom w:val="single" w:sz="4" w:space="0" w:color="auto"/>
              <w:right w:val="nil"/>
            </w:tcBorders>
            <w:shd w:val="clear" w:color="auto" w:fill="auto"/>
            <w:noWrap/>
            <w:vAlign w:val="center"/>
            <w:hideMark/>
          </w:tcPr>
          <w:p w14:paraId="61670119" w14:textId="6725DAE8"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-9 %</w:t>
            </w:r>
          </w:p>
        </w:tc>
      </w:tr>
      <w:tr w:rsidR="00B64E96" w:rsidRPr="00730B1E" w14:paraId="5B85A47B" w14:textId="77777777" w:rsidTr="00F37CB6">
        <w:trPr>
          <w:trHeight w:val="315"/>
        </w:trPr>
        <w:tc>
          <w:tcPr>
            <w:tcW w:w="2480" w:type="dxa"/>
            <w:tcBorders>
              <w:top w:val="nil"/>
              <w:left w:val="nil"/>
              <w:bottom w:val="single" w:sz="4" w:space="0" w:color="auto"/>
              <w:right w:val="nil"/>
            </w:tcBorders>
            <w:shd w:val="clear" w:color="auto" w:fill="auto"/>
            <w:noWrap/>
            <w:vAlign w:val="bottom"/>
            <w:hideMark/>
          </w:tcPr>
          <w:p w14:paraId="2B61508A" w14:textId="77777777" w:rsidR="00F37CB6" w:rsidRPr="00730B1E" w:rsidRDefault="00F37CB6" w:rsidP="00F37CB6">
            <w:pPr>
              <w:spacing w:line="240" w:lineRule="auto"/>
              <w:jc w:val="left"/>
              <w:rPr>
                <w:rFonts w:eastAsia="Times New Roman"/>
                <w:szCs w:val="24"/>
                <w:lang w:eastAsia="cs-CZ"/>
              </w:rPr>
            </w:pPr>
            <w:r w:rsidRPr="00730B1E">
              <w:rPr>
                <w:rFonts w:eastAsia="Times New Roman"/>
                <w:szCs w:val="24"/>
                <w:lang w:eastAsia="cs-CZ"/>
              </w:rPr>
              <w:t>KS Praha</w:t>
            </w:r>
          </w:p>
        </w:tc>
        <w:tc>
          <w:tcPr>
            <w:tcW w:w="728" w:type="dxa"/>
            <w:tcBorders>
              <w:top w:val="nil"/>
              <w:left w:val="nil"/>
              <w:bottom w:val="single" w:sz="4" w:space="0" w:color="auto"/>
              <w:right w:val="nil"/>
            </w:tcBorders>
            <w:shd w:val="clear" w:color="auto" w:fill="auto"/>
            <w:noWrap/>
            <w:vAlign w:val="bottom"/>
            <w:hideMark/>
          </w:tcPr>
          <w:p w14:paraId="4F5B7548"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90</w:t>
            </w:r>
          </w:p>
        </w:tc>
        <w:tc>
          <w:tcPr>
            <w:tcW w:w="980" w:type="dxa"/>
            <w:tcBorders>
              <w:top w:val="nil"/>
              <w:left w:val="nil"/>
              <w:bottom w:val="single" w:sz="4" w:space="0" w:color="auto"/>
              <w:right w:val="nil"/>
            </w:tcBorders>
            <w:shd w:val="clear" w:color="auto" w:fill="auto"/>
            <w:noWrap/>
            <w:vAlign w:val="center"/>
            <w:hideMark/>
          </w:tcPr>
          <w:p w14:paraId="02AF1903" w14:textId="324BDBCF"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-4 %</w:t>
            </w:r>
          </w:p>
        </w:tc>
        <w:tc>
          <w:tcPr>
            <w:tcW w:w="505" w:type="dxa"/>
            <w:tcBorders>
              <w:top w:val="nil"/>
              <w:left w:val="single" w:sz="4" w:space="0" w:color="auto"/>
              <w:bottom w:val="single" w:sz="4" w:space="0" w:color="auto"/>
              <w:right w:val="nil"/>
            </w:tcBorders>
            <w:shd w:val="clear" w:color="auto" w:fill="auto"/>
            <w:noWrap/>
            <w:vAlign w:val="bottom"/>
            <w:hideMark/>
          </w:tcPr>
          <w:p w14:paraId="125F3101"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56</w:t>
            </w:r>
          </w:p>
        </w:tc>
        <w:tc>
          <w:tcPr>
            <w:tcW w:w="1120" w:type="dxa"/>
            <w:tcBorders>
              <w:top w:val="nil"/>
              <w:left w:val="nil"/>
              <w:bottom w:val="single" w:sz="4" w:space="0" w:color="auto"/>
              <w:right w:val="single" w:sz="4" w:space="0" w:color="auto"/>
            </w:tcBorders>
            <w:shd w:val="clear" w:color="auto" w:fill="auto"/>
            <w:noWrap/>
            <w:vAlign w:val="center"/>
            <w:hideMark/>
          </w:tcPr>
          <w:p w14:paraId="68E7AD95" w14:textId="233C72C3"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+6 %</w:t>
            </w:r>
          </w:p>
        </w:tc>
        <w:tc>
          <w:tcPr>
            <w:tcW w:w="728" w:type="dxa"/>
            <w:tcBorders>
              <w:top w:val="nil"/>
              <w:left w:val="nil"/>
              <w:bottom w:val="single" w:sz="4" w:space="0" w:color="auto"/>
              <w:right w:val="nil"/>
            </w:tcBorders>
            <w:shd w:val="clear" w:color="auto" w:fill="auto"/>
            <w:noWrap/>
            <w:vAlign w:val="bottom"/>
            <w:hideMark/>
          </w:tcPr>
          <w:p w14:paraId="1AFB2325"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197</w:t>
            </w:r>
          </w:p>
        </w:tc>
        <w:tc>
          <w:tcPr>
            <w:tcW w:w="980" w:type="dxa"/>
            <w:tcBorders>
              <w:top w:val="nil"/>
              <w:left w:val="nil"/>
              <w:bottom w:val="single" w:sz="4" w:space="0" w:color="auto"/>
              <w:right w:val="nil"/>
            </w:tcBorders>
            <w:shd w:val="clear" w:color="auto" w:fill="auto"/>
            <w:noWrap/>
            <w:vAlign w:val="center"/>
            <w:hideMark/>
          </w:tcPr>
          <w:p w14:paraId="2F7FF924" w14:textId="610B5F28"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-10 %</w:t>
            </w:r>
          </w:p>
        </w:tc>
      </w:tr>
      <w:tr w:rsidR="00B64E96" w:rsidRPr="00730B1E" w14:paraId="4125D779" w14:textId="77777777" w:rsidTr="00F37CB6">
        <w:trPr>
          <w:trHeight w:val="315"/>
        </w:trPr>
        <w:tc>
          <w:tcPr>
            <w:tcW w:w="2480" w:type="dxa"/>
            <w:tcBorders>
              <w:top w:val="nil"/>
              <w:left w:val="nil"/>
              <w:bottom w:val="single" w:sz="4" w:space="0" w:color="auto"/>
              <w:right w:val="nil"/>
            </w:tcBorders>
            <w:shd w:val="clear" w:color="auto" w:fill="auto"/>
            <w:noWrap/>
            <w:vAlign w:val="bottom"/>
            <w:hideMark/>
          </w:tcPr>
          <w:p w14:paraId="3103EAAF" w14:textId="77777777" w:rsidR="00F37CB6" w:rsidRPr="00730B1E" w:rsidRDefault="00F37CB6" w:rsidP="00F37CB6">
            <w:pPr>
              <w:spacing w:line="240" w:lineRule="auto"/>
              <w:jc w:val="left"/>
              <w:rPr>
                <w:rFonts w:eastAsia="Times New Roman"/>
                <w:szCs w:val="24"/>
                <w:lang w:eastAsia="cs-CZ"/>
              </w:rPr>
            </w:pPr>
            <w:r w:rsidRPr="00730B1E">
              <w:rPr>
                <w:rFonts w:eastAsia="Times New Roman"/>
                <w:szCs w:val="24"/>
                <w:lang w:eastAsia="cs-CZ"/>
              </w:rPr>
              <w:t>KS Č. Budějovice</w:t>
            </w:r>
          </w:p>
        </w:tc>
        <w:tc>
          <w:tcPr>
            <w:tcW w:w="728" w:type="dxa"/>
            <w:tcBorders>
              <w:top w:val="nil"/>
              <w:left w:val="nil"/>
              <w:bottom w:val="single" w:sz="4" w:space="0" w:color="auto"/>
              <w:right w:val="nil"/>
            </w:tcBorders>
            <w:shd w:val="clear" w:color="auto" w:fill="auto"/>
            <w:noWrap/>
            <w:vAlign w:val="bottom"/>
            <w:hideMark/>
          </w:tcPr>
          <w:p w14:paraId="7E4F19E8"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86</w:t>
            </w:r>
          </w:p>
        </w:tc>
        <w:tc>
          <w:tcPr>
            <w:tcW w:w="980" w:type="dxa"/>
            <w:tcBorders>
              <w:top w:val="nil"/>
              <w:left w:val="nil"/>
              <w:bottom w:val="single" w:sz="4" w:space="0" w:color="auto"/>
              <w:right w:val="nil"/>
            </w:tcBorders>
            <w:shd w:val="clear" w:color="auto" w:fill="auto"/>
            <w:noWrap/>
            <w:vAlign w:val="center"/>
            <w:hideMark/>
          </w:tcPr>
          <w:p w14:paraId="3BA1CD6C" w14:textId="0C4E63D7"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+1 %</w:t>
            </w:r>
          </w:p>
        </w:tc>
        <w:tc>
          <w:tcPr>
            <w:tcW w:w="505" w:type="dxa"/>
            <w:tcBorders>
              <w:top w:val="nil"/>
              <w:left w:val="single" w:sz="4" w:space="0" w:color="auto"/>
              <w:bottom w:val="single" w:sz="4" w:space="0" w:color="auto"/>
              <w:right w:val="nil"/>
            </w:tcBorders>
            <w:shd w:val="clear" w:color="auto" w:fill="auto"/>
            <w:noWrap/>
            <w:vAlign w:val="bottom"/>
            <w:hideMark/>
          </w:tcPr>
          <w:p w14:paraId="495270B1"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56</w:t>
            </w:r>
          </w:p>
        </w:tc>
        <w:tc>
          <w:tcPr>
            <w:tcW w:w="1120" w:type="dxa"/>
            <w:tcBorders>
              <w:top w:val="nil"/>
              <w:left w:val="nil"/>
              <w:bottom w:val="single" w:sz="4" w:space="0" w:color="auto"/>
              <w:right w:val="single" w:sz="4" w:space="0" w:color="auto"/>
            </w:tcBorders>
            <w:shd w:val="clear" w:color="auto" w:fill="auto"/>
            <w:noWrap/>
            <w:vAlign w:val="center"/>
            <w:hideMark/>
          </w:tcPr>
          <w:p w14:paraId="7ABA0293" w14:textId="3658EE92"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+10 %</w:t>
            </w:r>
          </w:p>
        </w:tc>
        <w:tc>
          <w:tcPr>
            <w:tcW w:w="728" w:type="dxa"/>
            <w:tcBorders>
              <w:top w:val="nil"/>
              <w:left w:val="nil"/>
              <w:bottom w:val="single" w:sz="4" w:space="0" w:color="auto"/>
              <w:right w:val="nil"/>
            </w:tcBorders>
            <w:shd w:val="clear" w:color="auto" w:fill="auto"/>
            <w:noWrap/>
            <w:vAlign w:val="bottom"/>
            <w:hideMark/>
          </w:tcPr>
          <w:p w14:paraId="4D01BE28"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182</w:t>
            </w:r>
          </w:p>
        </w:tc>
        <w:tc>
          <w:tcPr>
            <w:tcW w:w="980" w:type="dxa"/>
            <w:tcBorders>
              <w:top w:val="nil"/>
              <w:left w:val="nil"/>
              <w:bottom w:val="single" w:sz="4" w:space="0" w:color="auto"/>
              <w:right w:val="nil"/>
            </w:tcBorders>
            <w:shd w:val="clear" w:color="auto" w:fill="auto"/>
            <w:noWrap/>
            <w:vAlign w:val="center"/>
            <w:hideMark/>
          </w:tcPr>
          <w:p w14:paraId="56E8EF01" w14:textId="0CC52B1D"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-4 %</w:t>
            </w:r>
          </w:p>
        </w:tc>
      </w:tr>
      <w:tr w:rsidR="00B64E96" w:rsidRPr="00730B1E" w14:paraId="76CBA29A" w14:textId="77777777" w:rsidTr="00F37CB6">
        <w:trPr>
          <w:trHeight w:val="315"/>
        </w:trPr>
        <w:tc>
          <w:tcPr>
            <w:tcW w:w="2480" w:type="dxa"/>
            <w:tcBorders>
              <w:top w:val="nil"/>
              <w:left w:val="nil"/>
              <w:bottom w:val="single" w:sz="4" w:space="0" w:color="auto"/>
              <w:right w:val="nil"/>
            </w:tcBorders>
            <w:shd w:val="clear" w:color="auto" w:fill="auto"/>
            <w:noWrap/>
            <w:vAlign w:val="bottom"/>
            <w:hideMark/>
          </w:tcPr>
          <w:p w14:paraId="63C81C30" w14:textId="77777777" w:rsidR="00F37CB6" w:rsidRPr="00730B1E" w:rsidRDefault="00F37CB6" w:rsidP="00F37CB6">
            <w:pPr>
              <w:spacing w:line="240" w:lineRule="auto"/>
              <w:jc w:val="left"/>
              <w:rPr>
                <w:rFonts w:eastAsia="Times New Roman"/>
                <w:szCs w:val="24"/>
                <w:lang w:eastAsia="cs-CZ"/>
              </w:rPr>
            </w:pPr>
            <w:r w:rsidRPr="00730B1E">
              <w:rPr>
                <w:rFonts w:eastAsia="Times New Roman"/>
                <w:szCs w:val="24"/>
                <w:lang w:eastAsia="cs-CZ"/>
              </w:rPr>
              <w:t>KS Plzeň</w:t>
            </w:r>
          </w:p>
        </w:tc>
        <w:tc>
          <w:tcPr>
            <w:tcW w:w="728" w:type="dxa"/>
            <w:tcBorders>
              <w:top w:val="nil"/>
              <w:left w:val="nil"/>
              <w:bottom w:val="single" w:sz="4" w:space="0" w:color="auto"/>
              <w:right w:val="nil"/>
            </w:tcBorders>
            <w:shd w:val="clear" w:color="auto" w:fill="auto"/>
            <w:noWrap/>
            <w:vAlign w:val="bottom"/>
            <w:hideMark/>
          </w:tcPr>
          <w:p w14:paraId="0EEE5879"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105</w:t>
            </w:r>
          </w:p>
        </w:tc>
        <w:tc>
          <w:tcPr>
            <w:tcW w:w="980" w:type="dxa"/>
            <w:tcBorders>
              <w:top w:val="nil"/>
              <w:left w:val="nil"/>
              <w:bottom w:val="single" w:sz="4" w:space="0" w:color="auto"/>
              <w:right w:val="nil"/>
            </w:tcBorders>
            <w:shd w:val="clear" w:color="auto" w:fill="auto"/>
            <w:noWrap/>
            <w:vAlign w:val="center"/>
            <w:hideMark/>
          </w:tcPr>
          <w:p w14:paraId="68C4D72C" w14:textId="0313A35F"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-6 %</w:t>
            </w:r>
          </w:p>
        </w:tc>
        <w:tc>
          <w:tcPr>
            <w:tcW w:w="505" w:type="dxa"/>
            <w:tcBorders>
              <w:top w:val="nil"/>
              <w:left w:val="single" w:sz="4" w:space="0" w:color="auto"/>
              <w:bottom w:val="single" w:sz="4" w:space="0" w:color="auto"/>
              <w:right w:val="nil"/>
            </w:tcBorders>
            <w:shd w:val="clear" w:color="auto" w:fill="auto"/>
            <w:noWrap/>
            <w:vAlign w:val="bottom"/>
            <w:hideMark/>
          </w:tcPr>
          <w:p w14:paraId="627F9C2F"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68</w:t>
            </w:r>
          </w:p>
        </w:tc>
        <w:tc>
          <w:tcPr>
            <w:tcW w:w="1120" w:type="dxa"/>
            <w:tcBorders>
              <w:top w:val="nil"/>
              <w:left w:val="nil"/>
              <w:bottom w:val="single" w:sz="4" w:space="0" w:color="auto"/>
              <w:right w:val="single" w:sz="4" w:space="0" w:color="auto"/>
            </w:tcBorders>
            <w:shd w:val="clear" w:color="auto" w:fill="auto"/>
            <w:noWrap/>
            <w:vAlign w:val="center"/>
            <w:hideMark/>
          </w:tcPr>
          <w:p w14:paraId="549791D0" w14:textId="236F30F4"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+1 %</w:t>
            </w:r>
          </w:p>
        </w:tc>
        <w:tc>
          <w:tcPr>
            <w:tcW w:w="728" w:type="dxa"/>
            <w:tcBorders>
              <w:top w:val="nil"/>
              <w:left w:val="nil"/>
              <w:bottom w:val="single" w:sz="4" w:space="0" w:color="auto"/>
              <w:right w:val="nil"/>
            </w:tcBorders>
            <w:shd w:val="clear" w:color="auto" w:fill="auto"/>
            <w:noWrap/>
            <w:vAlign w:val="bottom"/>
            <w:hideMark/>
          </w:tcPr>
          <w:p w14:paraId="55C1B120"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218</w:t>
            </w:r>
          </w:p>
        </w:tc>
        <w:tc>
          <w:tcPr>
            <w:tcW w:w="980" w:type="dxa"/>
            <w:tcBorders>
              <w:top w:val="nil"/>
              <w:left w:val="nil"/>
              <w:bottom w:val="single" w:sz="4" w:space="0" w:color="auto"/>
              <w:right w:val="nil"/>
            </w:tcBorders>
            <w:shd w:val="clear" w:color="auto" w:fill="auto"/>
            <w:noWrap/>
            <w:vAlign w:val="center"/>
            <w:hideMark/>
          </w:tcPr>
          <w:p w14:paraId="02B50D4B" w14:textId="7BB5D861"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-8 %</w:t>
            </w:r>
          </w:p>
        </w:tc>
      </w:tr>
      <w:tr w:rsidR="00B64E96" w:rsidRPr="00730B1E" w14:paraId="3B75054E" w14:textId="77777777" w:rsidTr="00F37CB6">
        <w:trPr>
          <w:trHeight w:val="315"/>
        </w:trPr>
        <w:tc>
          <w:tcPr>
            <w:tcW w:w="2480" w:type="dxa"/>
            <w:tcBorders>
              <w:top w:val="nil"/>
              <w:left w:val="nil"/>
              <w:bottom w:val="single" w:sz="4" w:space="0" w:color="auto"/>
              <w:right w:val="nil"/>
            </w:tcBorders>
            <w:shd w:val="clear" w:color="auto" w:fill="auto"/>
            <w:noWrap/>
            <w:vAlign w:val="bottom"/>
            <w:hideMark/>
          </w:tcPr>
          <w:p w14:paraId="7D29DC2A" w14:textId="77777777" w:rsidR="00F37CB6" w:rsidRPr="00730B1E" w:rsidRDefault="00F37CB6" w:rsidP="00F37CB6">
            <w:pPr>
              <w:spacing w:line="240" w:lineRule="auto"/>
              <w:jc w:val="left"/>
              <w:rPr>
                <w:rFonts w:eastAsia="Times New Roman"/>
                <w:szCs w:val="24"/>
                <w:lang w:eastAsia="cs-CZ"/>
              </w:rPr>
            </w:pPr>
            <w:r w:rsidRPr="00730B1E">
              <w:rPr>
                <w:rFonts w:eastAsia="Times New Roman"/>
                <w:szCs w:val="24"/>
                <w:lang w:eastAsia="cs-CZ"/>
              </w:rPr>
              <w:t>KS Ústí n. Labem</w:t>
            </w:r>
          </w:p>
        </w:tc>
        <w:tc>
          <w:tcPr>
            <w:tcW w:w="728" w:type="dxa"/>
            <w:tcBorders>
              <w:top w:val="nil"/>
              <w:left w:val="nil"/>
              <w:bottom w:val="single" w:sz="4" w:space="0" w:color="auto"/>
              <w:right w:val="nil"/>
            </w:tcBorders>
            <w:shd w:val="clear" w:color="auto" w:fill="auto"/>
            <w:noWrap/>
            <w:vAlign w:val="bottom"/>
            <w:hideMark/>
          </w:tcPr>
          <w:p w14:paraId="49F02F84"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109</w:t>
            </w:r>
          </w:p>
        </w:tc>
        <w:tc>
          <w:tcPr>
            <w:tcW w:w="980" w:type="dxa"/>
            <w:tcBorders>
              <w:top w:val="nil"/>
              <w:left w:val="nil"/>
              <w:bottom w:val="single" w:sz="4" w:space="0" w:color="auto"/>
              <w:right w:val="nil"/>
            </w:tcBorders>
            <w:shd w:val="clear" w:color="auto" w:fill="auto"/>
            <w:noWrap/>
            <w:vAlign w:val="center"/>
            <w:hideMark/>
          </w:tcPr>
          <w:p w14:paraId="1E5BC953" w14:textId="0A3B0CFC"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-13 %</w:t>
            </w:r>
          </w:p>
        </w:tc>
        <w:tc>
          <w:tcPr>
            <w:tcW w:w="505" w:type="dxa"/>
            <w:tcBorders>
              <w:top w:val="nil"/>
              <w:left w:val="single" w:sz="4" w:space="0" w:color="auto"/>
              <w:bottom w:val="single" w:sz="4" w:space="0" w:color="auto"/>
              <w:right w:val="nil"/>
            </w:tcBorders>
            <w:shd w:val="clear" w:color="auto" w:fill="auto"/>
            <w:noWrap/>
            <w:vAlign w:val="bottom"/>
            <w:hideMark/>
          </w:tcPr>
          <w:p w14:paraId="42473DFC"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70</w:t>
            </w:r>
          </w:p>
        </w:tc>
        <w:tc>
          <w:tcPr>
            <w:tcW w:w="1120" w:type="dxa"/>
            <w:tcBorders>
              <w:top w:val="nil"/>
              <w:left w:val="nil"/>
              <w:bottom w:val="single" w:sz="4" w:space="0" w:color="auto"/>
              <w:right w:val="single" w:sz="4" w:space="0" w:color="auto"/>
            </w:tcBorders>
            <w:shd w:val="clear" w:color="auto" w:fill="auto"/>
            <w:noWrap/>
            <w:vAlign w:val="center"/>
            <w:hideMark/>
          </w:tcPr>
          <w:p w14:paraId="4221B54D" w14:textId="166DC9E2"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-9 %</w:t>
            </w:r>
          </w:p>
        </w:tc>
        <w:tc>
          <w:tcPr>
            <w:tcW w:w="728" w:type="dxa"/>
            <w:tcBorders>
              <w:top w:val="nil"/>
              <w:left w:val="nil"/>
              <w:bottom w:val="single" w:sz="4" w:space="0" w:color="auto"/>
              <w:right w:val="nil"/>
            </w:tcBorders>
            <w:shd w:val="clear" w:color="auto" w:fill="auto"/>
            <w:noWrap/>
            <w:vAlign w:val="bottom"/>
            <w:hideMark/>
          </w:tcPr>
          <w:p w14:paraId="22353320"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225</w:t>
            </w:r>
          </w:p>
        </w:tc>
        <w:tc>
          <w:tcPr>
            <w:tcW w:w="980" w:type="dxa"/>
            <w:tcBorders>
              <w:top w:val="nil"/>
              <w:left w:val="nil"/>
              <w:bottom w:val="single" w:sz="4" w:space="0" w:color="auto"/>
              <w:right w:val="nil"/>
            </w:tcBorders>
            <w:shd w:val="clear" w:color="auto" w:fill="auto"/>
            <w:noWrap/>
            <w:vAlign w:val="center"/>
            <w:hideMark/>
          </w:tcPr>
          <w:p w14:paraId="6DF71888" w14:textId="0CE6AEA2"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-15 %</w:t>
            </w:r>
          </w:p>
        </w:tc>
      </w:tr>
      <w:tr w:rsidR="00B64E96" w:rsidRPr="00730B1E" w14:paraId="21303C66" w14:textId="77777777" w:rsidTr="00F37CB6">
        <w:trPr>
          <w:trHeight w:val="315"/>
        </w:trPr>
        <w:tc>
          <w:tcPr>
            <w:tcW w:w="2480" w:type="dxa"/>
            <w:tcBorders>
              <w:top w:val="nil"/>
              <w:left w:val="nil"/>
              <w:bottom w:val="single" w:sz="4" w:space="0" w:color="auto"/>
              <w:right w:val="nil"/>
            </w:tcBorders>
            <w:shd w:val="clear" w:color="auto" w:fill="auto"/>
            <w:noWrap/>
            <w:vAlign w:val="bottom"/>
            <w:hideMark/>
          </w:tcPr>
          <w:p w14:paraId="13594A65" w14:textId="77777777" w:rsidR="00F37CB6" w:rsidRPr="00730B1E" w:rsidRDefault="00F37CB6" w:rsidP="00F37CB6">
            <w:pPr>
              <w:spacing w:line="240" w:lineRule="auto"/>
              <w:jc w:val="left"/>
              <w:rPr>
                <w:rFonts w:eastAsia="Times New Roman"/>
                <w:szCs w:val="24"/>
                <w:lang w:eastAsia="cs-CZ"/>
              </w:rPr>
            </w:pPr>
            <w:r w:rsidRPr="00730B1E">
              <w:rPr>
                <w:rFonts w:eastAsia="Times New Roman"/>
                <w:szCs w:val="24"/>
                <w:lang w:eastAsia="cs-CZ"/>
              </w:rPr>
              <w:t>KS Hr. Králové</w:t>
            </w:r>
          </w:p>
        </w:tc>
        <w:tc>
          <w:tcPr>
            <w:tcW w:w="728" w:type="dxa"/>
            <w:tcBorders>
              <w:top w:val="nil"/>
              <w:left w:val="nil"/>
              <w:bottom w:val="single" w:sz="4" w:space="0" w:color="auto"/>
              <w:right w:val="nil"/>
            </w:tcBorders>
            <w:shd w:val="clear" w:color="auto" w:fill="auto"/>
            <w:noWrap/>
            <w:vAlign w:val="bottom"/>
            <w:hideMark/>
          </w:tcPr>
          <w:p w14:paraId="6387BBFD"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103</w:t>
            </w:r>
          </w:p>
        </w:tc>
        <w:tc>
          <w:tcPr>
            <w:tcW w:w="980" w:type="dxa"/>
            <w:tcBorders>
              <w:top w:val="nil"/>
              <w:left w:val="nil"/>
              <w:bottom w:val="single" w:sz="4" w:space="0" w:color="auto"/>
              <w:right w:val="nil"/>
            </w:tcBorders>
            <w:shd w:val="clear" w:color="auto" w:fill="auto"/>
            <w:noWrap/>
            <w:vAlign w:val="center"/>
            <w:hideMark/>
          </w:tcPr>
          <w:p w14:paraId="6943B4B2" w14:textId="08C633ED"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-2 %</w:t>
            </w:r>
          </w:p>
        </w:tc>
        <w:tc>
          <w:tcPr>
            <w:tcW w:w="505" w:type="dxa"/>
            <w:tcBorders>
              <w:top w:val="nil"/>
              <w:left w:val="single" w:sz="4" w:space="0" w:color="auto"/>
              <w:bottom w:val="single" w:sz="4" w:space="0" w:color="auto"/>
              <w:right w:val="nil"/>
            </w:tcBorders>
            <w:shd w:val="clear" w:color="auto" w:fill="auto"/>
            <w:noWrap/>
            <w:vAlign w:val="bottom"/>
            <w:hideMark/>
          </w:tcPr>
          <w:p w14:paraId="6577FE0F"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61</w:t>
            </w:r>
          </w:p>
        </w:tc>
        <w:tc>
          <w:tcPr>
            <w:tcW w:w="1120" w:type="dxa"/>
            <w:tcBorders>
              <w:top w:val="nil"/>
              <w:left w:val="nil"/>
              <w:bottom w:val="single" w:sz="4" w:space="0" w:color="auto"/>
              <w:right w:val="single" w:sz="4" w:space="0" w:color="auto"/>
            </w:tcBorders>
            <w:shd w:val="clear" w:color="auto" w:fill="auto"/>
            <w:noWrap/>
            <w:vAlign w:val="center"/>
            <w:hideMark/>
          </w:tcPr>
          <w:p w14:paraId="475A66C8" w14:textId="36C2D1FB"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+5 %</w:t>
            </w:r>
          </w:p>
        </w:tc>
        <w:tc>
          <w:tcPr>
            <w:tcW w:w="728" w:type="dxa"/>
            <w:tcBorders>
              <w:top w:val="nil"/>
              <w:left w:val="nil"/>
              <w:bottom w:val="single" w:sz="4" w:space="0" w:color="auto"/>
              <w:right w:val="nil"/>
            </w:tcBorders>
            <w:shd w:val="clear" w:color="auto" w:fill="auto"/>
            <w:noWrap/>
            <w:vAlign w:val="bottom"/>
            <w:hideMark/>
          </w:tcPr>
          <w:p w14:paraId="7225DE9F"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236</w:t>
            </w:r>
          </w:p>
        </w:tc>
        <w:tc>
          <w:tcPr>
            <w:tcW w:w="980" w:type="dxa"/>
            <w:tcBorders>
              <w:top w:val="nil"/>
              <w:left w:val="nil"/>
              <w:bottom w:val="single" w:sz="4" w:space="0" w:color="auto"/>
              <w:right w:val="nil"/>
            </w:tcBorders>
            <w:shd w:val="clear" w:color="auto" w:fill="auto"/>
            <w:noWrap/>
            <w:vAlign w:val="center"/>
            <w:hideMark/>
          </w:tcPr>
          <w:p w14:paraId="31DA5D0B" w14:textId="6AFE5D94"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-2 %</w:t>
            </w:r>
          </w:p>
        </w:tc>
      </w:tr>
      <w:tr w:rsidR="00B64E96" w:rsidRPr="00730B1E" w14:paraId="7B090070" w14:textId="77777777" w:rsidTr="00F37CB6">
        <w:trPr>
          <w:trHeight w:val="315"/>
        </w:trPr>
        <w:tc>
          <w:tcPr>
            <w:tcW w:w="2480" w:type="dxa"/>
            <w:tcBorders>
              <w:top w:val="nil"/>
              <w:left w:val="nil"/>
              <w:bottom w:val="single" w:sz="4" w:space="0" w:color="auto"/>
              <w:right w:val="nil"/>
            </w:tcBorders>
            <w:shd w:val="clear" w:color="auto" w:fill="auto"/>
            <w:noWrap/>
            <w:vAlign w:val="bottom"/>
            <w:hideMark/>
          </w:tcPr>
          <w:p w14:paraId="5289E0E2" w14:textId="77777777" w:rsidR="00F37CB6" w:rsidRPr="00730B1E" w:rsidRDefault="00F37CB6" w:rsidP="00F37CB6">
            <w:pPr>
              <w:spacing w:line="240" w:lineRule="auto"/>
              <w:jc w:val="left"/>
              <w:rPr>
                <w:rFonts w:eastAsia="Times New Roman"/>
                <w:szCs w:val="24"/>
                <w:lang w:eastAsia="cs-CZ"/>
              </w:rPr>
            </w:pPr>
            <w:r w:rsidRPr="00730B1E">
              <w:rPr>
                <w:rFonts w:eastAsia="Times New Roman"/>
                <w:szCs w:val="24"/>
                <w:lang w:eastAsia="cs-CZ"/>
              </w:rPr>
              <w:t>KS Brno</w:t>
            </w:r>
          </w:p>
        </w:tc>
        <w:tc>
          <w:tcPr>
            <w:tcW w:w="728" w:type="dxa"/>
            <w:tcBorders>
              <w:top w:val="nil"/>
              <w:left w:val="nil"/>
              <w:bottom w:val="single" w:sz="4" w:space="0" w:color="auto"/>
              <w:right w:val="nil"/>
            </w:tcBorders>
            <w:shd w:val="clear" w:color="auto" w:fill="auto"/>
            <w:noWrap/>
            <w:vAlign w:val="bottom"/>
            <w:hideMark/>
          </w:tcPr>
          <w:p w14:paraId="0E85110D"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136</w:t>
            </w:r>
          </w:p>
        </w:tc>
        <w:tc>
          <w:tcPr>
            <w:tcW w:w="980" w:type="dxa"/>
            <w:tcBorders>
              <w:top w:val="nil"/>
              <w:left w:val="nil"/>
              <w:bottom w:val="single" w:sz="4" w:space="0" w:color="auto"/>
              <w:right w:val="nil"/>
            </w:tcBorders>
            <w:shd w:val="clear" w:color="auto" w:fill="auto"/>
            <w:noWrap/>
            <w:vAlign w:val="center"/>
            <w:hideMark/>
          </w:tcPr>
          <w:p w14:paraId="21EBD61F" w14:textId="3B58D6F9"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+1 %</w:t>
            </w:r>
          </w:p>
        </w:tc>
        <w:tc>
          <w:tcPr>
            <w:tcW w:w="505" w:type="dxa"/>
            <w:tcBorders>
              <w:top w:val="nil"/>
              <w:left w:val="single" w:sz="4" w:space="0" w:color="auto"/>
              <w:bottom w:val="single" w:sz="4" w:space="0" w:color="auto"/>
              <w:right w:val="nil"/>
            </w:tcBorders>
            <w:shd w:val="clear" w:color="auto" w:fill="auto"/>
            <w:noWrap/>
            <w:vAlign w:val="bottom"/>
            <w:hideMark/>
          </w:tcPr>
          <w:p w14:paraId="6F823827"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92</w:t>
            </w:r>
          </w:p>
        </w:tc>
        <w:tc>
          <w:tcPr>
            <w:tcW w:w="1120" w:type="dxa"/>
            <w:tcBorders>
              <w:top w:val="nil"/>
              <w:left w:val="nil"/>
              <w:bottom w:val="single" w:sz="4" w:space="0" w:color="auto"/>
              <w:right w:val="single" w:sz="4" w:space="0" w:color="auto"/>
            </w:tcBorders>
            <w:shd w:val="clear" w:color="auto" w:fill="auto"/>
            <w:noWrap/>
            <w:vAlign w:val="center"/>
            <w:hideMark/>
          </w:tcPr>
          <w:p w14:paraId="71B128A6" w14:textId="5A3BF0FD"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+3 %</w:t>
            </w:r>
          </w:p>
        </w:tc>
        <w:tc>
          <w:tcPr>
            <w:tcW w:w="728" w:type="dxa"/>
            <w:tcBorders>
              <w:top w:val="nil"/>
              <w:left w:val="nil"/>
              <w:bottom w:val="single" w:sz="4" w:space="0" w:color="auto"/>
              <w:right w:val="nil"/>
            </w:tcBorders>
            <w:shd w:val="clear" w:color="auto" w:fill="auto"/>
            <w:noWrap/>
            <w:vAlign w:val="bottom"/>
            <w:hideMark/>
          </w:tcPr>
          <w:p w14:paraId="34716B81"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282</w:t>
            </w:r>
          </w:p>
        </w:tc>
        <w:tc>
          <w:tcPr>
            <w:tcW w:w="980" w:type="dxa"/>
            <w:tcBorders>
              <w:top w:val="nil"/>
              <w:left w:val="nil"/>
              <w:bottom w:val="single" w:sz="4" w:space="0" w:color="auto"/>
              <w:right w:val="nil"/>
            </w:tcBorders>
            <w:shd w:val="clear" w:color="auto" w:fill="auto"/>
            <w:noWrap/>
            <w:vAlign w:val="center"/>
            <w:hideMark/>
          </w:tcPr>
          <w:p w14:paraId="7E360FCC" w14:textId="4898EE47"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-2 %</w:t>
            </w:r>
          </w:p>
        </w:tc>
      </w:tr>
      <w:tr w:rsidR="00B64E96" w:rsidRPr="00730B1E" w14:paraId="58ECAD15" w14:textId="77777777" w:rsidTr="00F37CB6">
        <w:trPr>
          <w:trHeight w:val="330"/>
        </w:trPr>
        <w:tc>
          <w:tcPr>
            <w:tcW w:w="2480" w:type="dxa"/>
            <w:tcBorders>
              <w:top w:val="nil"/>
              <w:left w:val="nil"/>
              <w:bottom w:val="double" w:sz="6" w:space="0" w:color="auto"/>
              <w:right w:val="nil"/>
            </w:tcBorders>
            <w:shd w:val="clear" w:color="auto" w:fill="auto"/>
            <w:noWrap/>
            <w:vAlign w:val="bottom"/>
            <w:hideMark/>
          </w:tcPr>
          <w:p w14:paraId="2362C84B" w14:textId="77777777" w:rsidR="00F37CB6" w:rsidRPr="00730B1E" w:rsidRDefault="00F37CB6" w:rsidP="00F37CB6">
            <w:pPr>
              <w:spacing w:line="240" w:lineRule="auto"/>
              <w:jc w:val="left"/>
              <w:rPr>
                <w:rFonts w:eastAsia="Times New Roman"/>
                <w:szCs w:val="24"/>
                <w:lang w:eastAsia="cs-CZ"/>
              </w:rPr>
            </w:pPr>
            <w:r w:rsidRPr="00730B1E">
              <w:rPr>
                <w:rFonts w:eastAsia="Times New Roman"/>
                <w:szCs w:val="24"/>
                <w:lang w:eastAsia="cs-CZ"/>
              </w:rPr>
              <w:t>KS Ostrava</w:t>
            </w:r>
          </w:p>
        </w:tc>
        <w:tc>
          <w:tcPr>
            <w:tcW w:w="728" w:type="dxa"/>
            <w:tcBorders>
              <w:top w:val="nil"/>
              <w:left w:val="nil"/>
              <w:bottom w:val="double" w:sz="6" w:space="0" w:color="auto"/>
              <w:right w:val="nil"/>
            </w:tcBorders>
            <w:shd w:val="clear" w:color="auto" w:fill="auto"/>
            <w:noWrap/>
            <w:vAlign w:val="bottom"/>
            <w:hideMark/>
          </w:tcPr>
          <w:p w14:paraId="1FAAA59D"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124</w:t>
            </w:r>
          </w:p>
        </w:tc>
        <w:tc>
          <w:tcPr>
            <w:tcW w:w="980" w:type="dxa"/>
            <w:tcBorders>
              <w:top w:val="nil"/>
              <w:left w:val="nil"/>
              <w:bottom w:val="double" w:sz="6" w:space="0" w:color="auto"/>
              <w:right w:val="nil"/>
            </w:tcBorders>
            <w:shd w:val="clear" w:color="auto" w:fill="auto"/>
            <w:noWrap/>
            <w:vAlign w:val="center"/>
            <w:hideMark/>
          </w:tcPr>
          <w:p w14:paraId="70A02CA2" w14:textId="2DFA07DD"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-2 %</w:t>
            </w:r>
          </w:p>
        </w:tc>
        <w:tc>
          <w:tcPr>
            <w:tcW w:w="505" w:type="dxa"/>
            <w:tcBorders>
              <w:top w:val="nil"/>
              <w:left w:val="single" w:sz="4" w:space="0" w:color="auto"/>
              <w:bottom w:val="double" w:sz="6" w:space="0" w:color="auto"/>
              <w:right w:val="nil"/>
            </w:tcBorders>
            <w:shd w:val="clear" w:color="auto" w:fill="auto"/>
            <w:noWrap/>
            <w:vAlign w:val="bottom"/>
            <w:hideMark/>
          </w:tcPr>
          <w:p w14:paraId="4BDD3052"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89</w:t>
            </w:r>
          </w:p>
        </w:tc>
        <w:tc>
          <w:tcPr>
            <w:tcW w:w="1120" w:type="dxa"/>
            <w:tcBorders>
              <w:top w:val="nil"/>
              <w:left w:val="nil"/>
              <w:bottom w:val="double" w:sz="6" w:space="0" w:color="auto"/>
              <w:right w:val="single" w:sz="4" w:space="0" w:color="auto"/>
            </w:tcBorders>
            <w:shd w:val="clear" w:color="auto" w:fill="auto"/>
            <w:noWrap/>
            <w:vAlign w:val="center"/>
            <w:hideMark/>
          </w:tcPr>
          <w:p w14:paraId="7F93A229" w14:textId="6C0C7C9A"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+2 %</w:t>
            </w:r>
          </w:p>
        </w:tc>
        <w:tc>
          <w:tcPr>
            <w:tcW w:w="728" w:type="dxa"/>
            <w:tcBorders>
              <w:top w:val="nil"/>
              <w:left w:val="nil"/>
              <w:bottom w:val="double" w:sz="6" w:space="0" w:color="auto"/>
              <w:right w:val="nil"/>
            </w:tcBorders>
            <w:shd w:val="clear" w:color="auto" w:fill="auto"/>
            <w:noWrap/>
            <w:vAlign w:val="bottom"/>
            <w:hideMark/>
          </w:tcPr>
          <w:p w14:paraId="5DC10012" w14:textId="77777777" w:rsidR="00F37CB6" w:rsidRPr="00730B1E" w:rsidRDefault="00F37CB6" w:rsidP="00F37CB6">
            <w:pPr>
              <w:spacing w:line="240" w:lineRule="auto"/>
              <w:jc w:val="center"/>
              <w:rPr>
                <w:rFonts w:eastAsia="Times New Roman"/>
                <w:szCs w:val="24"/>
                <w:lang w:eastAsia="cs-CZ"/>
              </w:rPr>
            </w:pPr>
            <w:r w:rsidRPr="00730B1E">
              <w:rPr>
                <w:rFonts w:eastAsia="Times New Roman"/>
                <w:szCs w:val="24"/>
                <w:lang w:eastAsia="cs-CZ"/>
              </w:rPr>
              <w:t>250</w:t>
            </w:r>
          </w:p>
        </w:tc>
        <w:tc>
          <w:tcPr>
            <w:tcW w:w="980" w:type="dxa"/>
            <w:tcBorders>
              <w:top w:val="nil"/>
              <w:left w:val="nil"/>
              <w:bottom w:val="double" w:sz="6" w:space="0" w:color="auto"/>
              <w:right w:val="nil"/>
            </w:tcBorders>
            <w:shd w:val="clear" w:color="auto" w:fill="auto"/>
            <w:noWrap/>
            <w:vAlign w:val="center"/>
            <w:hideMark/>
          </w:tcPr>
          <w:p w14:paraId="502C9212" w14:textId="36151F8D" w:rsidR="00F37CB6" w:rsidRPr="00730B1E" w:rsidRDefault="00F37CB6" w:rsidP="00F37CB6">
            <w:pPr>
              <w:spacing w:line="240" w:lineRule="auto"/>
              <w:jc w:val="center"/>
              <w:rPr>
                <w:rFonts w:eastAsia="Times New Roman"/>
                <w:sz w:val="20"/>
                <w:szCs w:val="20"/>
                <w:lang w:eastAsia="cs-CZ"/>
              </w:rPr>
            </w:pPr>
            <w:r w:rsidRPr="00730B1E">
              <w:rPr>
                <w:rFonts w:eastAsia="Times New Roman"/>
                <w:sz w:val="20"/>
                <w:szCs w:val="20"/>
                <w:lang w:eastAsia="cs-CZ"/>
              </w:rPr>
              <w:t>-6 %</w:t>
            </w:r>
          </w:p>
        </w:tc>
      </w:tr>
      <w:tr w:rsidR="00B64E96" w:rsidRPr="00730B1E" w14:paraId="5D07E369" w14:textId="77777777" w:rsidTr="00F37CB6">
        <w:trPr>
          <w:trHeight w:val="345"/>
        </w:trPr>
        <w:tc>
          <w:tcPr>
            <w:tcW w:w="2480" w:type="dxa"/>
            <w:tcBorders>
              <w:top w:val="nil"/>
              <w:left w:val="nil"/>
              <w:bottom w:val="double" w:sz="6" w:space="0" w:color="auto"/>
              <w:right w:val="nil"/>
            </w:tcBorders>
            <w:shd w:val="clear" w:color="auto" w:fill="auto"/>
            <w:noWrap/>
            <w:vAlign w:val="bottom"/>
            <w:hideMark/>
          </w:tcPr>
          <w:p w14:paraId="0AB8D1BA" w14:textId="77777777" w:rsidR="00F37CB6" w:rsidRPr="00730B1E" w:rsidRDefault="00F37CB6" w:rsidP="00F37CB6">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728" w:type="dxa"/>
            <w:tcBorders>
              <w:top w:val="nil"/>
              <w:left w:val="nil"/>
              <w:bottom w:val="double" w:sz="6" w:space="0" w:color="auto"/>
              <w:right w:val="nil"/>
            </w:tcBorders>
            <w:shd w:val="clear" w:color="auto" w:fill="auto"/>
            <w:noWrap/>
            <w:vAlign w:val="bottom"/>
            <w:hideMark/>
          </w:tcPr>
          <w:p w14:paraId="6F5290E7" w14:textId="77777777" w:rsidR="00F37CB6" w:rsidRPr="00730B1E" w:rsidRDefault="00F37CB6" w:rsidP="00F37CB6">
            <w:pPr>
              <w:spacing w:line="240" w:lineRule="auto"/>
              <w:jc w:val="center"/>
              <w:rPr>
                <w:rFonts w:eastAsia="Times New Roman"/>
                <w:b/>
                <w:bCs/>
                <w:szCs w:val="24"/>
                <w:lang w:eastAsia="cs-CZ"/>
              </w:rPr>
            </w:pPr>
            <w:r w:rsidRPr="00730B1E">
              <w:rPr>
                <w:rFonts w:eastAsia="Times New Roman"/>
                <w:b/>
                <w:bCs/>
                <w:szCs w:val="24"/>
                <w:lang w:eastAsia="cs-CZ"/>
              </w:rPr>
              <w:t>112</w:t>
            </w:r>
          </w:p>
        </w:tc>
        <w:tc>
          <w:tcPr>
            <w:tcW w:w="980" w:type="dxa"/>
            <w:tcBorders>
              <w:top w:val="nil"/>
              <w:left w:val="nil"/>
              <w:bottom w:val="double" w:sz="6" w:space="0" w:color="auto"/>
              <w:right w:val="nil"/>
            </w:tcBorders>
            <w:shd w:val="clear" w:color="auto" w:fill="auto"/>
            <w:noWrap/>
            <w:vAlign w:val="center"/>
            <w:hideMark/>
          </w:tcPr>
          <w:p w14:paraId="4D8DE0EF" w14:textId="63682496" w:rsidR="00F37CB6" w:rsidRPr="00730B1E" w:rsidRDefault="00F37CB6" w:rsidP="00F37CB6">
            <w:pPr>
              <w:spacing w:line="240" w:lineRule="auto"/>
              <w:jc w:val="center"/>
              <w:rPr>
                <w:rFonts w:eastAsia="Times New Roman"/>
                <w:b/>
                <w:bCs/>
                <w:sz w:val="20"/>
                <w:szCs w:val="20"/>
                <w:lang w:eastAsia="cs-CZ"/>
              </w:rPr>
            </w:pPr>
            <w:r w:rsidRPr="00730B1E">
              <w:rPr>
                <w:rFonts w:eastAsia="Times New Roman"/>
                <w:b/>
                <w:bCs/>
                <w:sz w:val="20"/>
                <w:szCs w:val="20"/>
                <w:lang w:eastAsia="cs-CZ"/>
              </w:rPr>
              <w:t>-5 %</w:t>
            </w:r>
          </w:p>
        </w:tc>
        <w:tc>
          <w:tcPr>
            <w:tcW w:w="505" w:type="dxa"/>
            <w:tcBorders>
              <w:top w:val="nil"/>
              <w:left w:val="single" w:sz="4" w:space="0" w:color="auto"/>
              <w:bottom w:val="double" w:sz="6" w:space="0" w:color="auto"/>
              <w:right w:val="nil"/>
            </w:tcBorders>
            <w:shd w:val="clear" w:color="auto" w:fill="auto"/>
            <w:noWrap/>
            <w:vAlign w:val="bottom"/>
            <w:hideMark/>
          </w:tcPr>
          <w:p w14:paraId="56FB03C5" w14:textId="77777777" w:rsidR="00F37CB6" w:rsidRPr="00730B1E" w:rsidRDefault="00F37CB6" w:rsidP="00F37CB6">
            <w:pPr>
              <w:spacing w:line="240" w:lineRule="auto"/>
              <w:jc w:val="center"/>
              <w:rPr>
                <w:rFonts w:eastAsia="Times New Roman"/>
                <w:b/>
                <w:bCs/>
                <w:szCs w:val="24"/>
                <w:lang w:eastAsia="cs-CZ"/>
              </w:rPr>
            </w:pPr>
            <w:r w:rsidRPr="00730B1E">
              <w:rPr>
                <w:rFonts w:eastAsia="Times New Roman"/>
                <w:b/>
                <w:bCs/>
                <w:szCs w:val="24"/>
                <w:lang w:eastAsia="cs-CZ"/>
              </w:rPr>
              <w:t>72</w:t>
            </w:r>
          </w:p>
        </w:tc>
        <w:tc>
          <w:tcPr>
            <w:tcW w:w="1120" w:type="dxa"/>
            <w:tcBorders>
              <w:top w:val="nil"/>
              <w:left w:val="nil"/>
              <w:bottom w:val="double" w:sz="6" w:space="0" w:color="auto"/>
              <w:right w:val="single" w:sz="4" w:space="0" w:color="auto"/>
            </w:tcBorders>
            <w:shd w:val="clear" w:color="auto" w:fill="auto"/>
            <w:noWrap/>
            <w:vAlign w:val="center"/>
            <w:hideMark/>
          </w:tcPr>
          <w:p w14:paraId="76CC7953" w14:textId="2D506975" w:rsidR="00F37CB6" w:rsidRPr="00730B1E" w:rsidRDefault="00F37CB6" w:rsidP="00F37CB6">
            <w:pPr>
              <w:spacing w:line="240" w:lineRule="auto"/>
              <w:jc w:val="center"/>
              <w:rPr>
                <w:rFonts w:eastAsia="Times New Roman"/>
                <w:b/>
                <w:bCs/>
                <w:sz w:val="20"/>
                <w:szCs w:val="20"/>
                <w:lang w:eastAsia="cs-CZ"/>
              </w:rPr>
            </w:pPr>
            <w:r w:rsidRPr="00730B1E">
              <w:rPr>
                <w:rFonts w:eastAsia="Times New Roman"/>
                <w:b/>
                <w:bCs/>
                <w:sz w:val="20"/>
                <w:szCs w:val="20"/>
                <w:lang w:eastAsia="cs-CZ"/>
              </w:rPr>
              <w:t>+0 %</w:t>
            </w:r>
          </w:p>
        </w:tc>
        <w:tc>
          <w:tcPr>
            <w:tcW w:w="728" w:type="dxa"/>
            <w:tcBorders>
              <w:top w:val="nil"/>
              <w:left w:val="nil"/>
              <w:bottom w:val="double" w:sz="6" w:space="0" w:color="auto"/>
              <w:right w:val="nil"/>
            </w:tcBorders>
            <w:shd w:val="clear" w:color="auto" w:fill="auto"/>
            <w:noWrap/>
            <w:vAlign w:val="bottom"/>
            <w:hideMark/>
          </w:tcPr>
          <w:p w14:paraId="1D576069" w14:textId="77777777" w:rsidR="00F37CB6" w:rsidRPr="00730B1E" w:rsidRDefault="00F37CB6" w:rsidP="00F37CB6">
            <w:pPr>
              <w:spacing w:line="240" w:lineRule="auto"/>
              <w:jc w:val="center"/>
              <w:rPr>
                <w:rFonts w:eastAsia="Times New Roman"/>
                <w:b/>
                <w:bCs/>
                <w:szCs w:val="24"/>
                <w:lang w:eastAsia="cs-CZ"/>
              </w:rPr>
            </w:pPr>
            <w:r w:rsidRPr="00730B1E">
              <w:rPr>
                <w:rFonts w:eastAsia="Times New Roman"/>
                <w:b/>
                <w:bCs/>
                <w:szCs w:val="24"/>
                <w:lang w:eastAsia="cs-CZ"/>
              </w:rPr>
              <w:t>239</w:t>
            </w:r>
          </w:p>
        </w:tc>
        <w:tc>
          <w:tcPr>
            <w:tcW w:w="980" w:type="dxa"/>
            <w:tcBorders>
              <w:top w:val="nil"/>
              <w:left w:val="nil"/>
              <w:bottom w:val="double" w:sz="6" w:space="0" w:color="auto"/>
              <w:right w:val="nil"/>
            </w:tcBorders>
            <w:shd w:val="clear" w:color="auto" w:fill="auto"/>
            <w:noWrap/>
            <w:vAlign w:val="center"/>
            <w:hideMark/>
          </w:tcPr>
          <w:p w14:paraId="3C1A6E57" w14:textId="00EA749D" w:rsidR="00F37CB6" w:rsidRPr="00730B1E" w:rsidRDefault="00F37CB6" w:rsidP="00F37CB6">
            <w:pPr>
              <w:spacing w:line="240" w:lineRule="auto"/>
              <w:jc w:val="center"/>
              <w:rPr>
                <w:rFonts w:eastAsia="Times New Roman"/>
                <w:b/>
                <w:bCs/>
                <w:sz w:val="20"/>
                <w:szCs w:val="20"/>
                <w:lang w:eastAsia="cs-CZ"/>
              </w:rPr>
            </w:pPr>
            <w:r w:rsidRPr="00730B1E">
              <w:rPr>
                <w:rFonts w:eastAsia="Times New Roman"/>
                <w:b/>
                <w:bCs/>
                <w:sz w:val="20"/>
                <w:szCs w:val="20"/>
                <w:lang w:eastAsia="cs-CZ"/>
              </w:rPr>
              <w:t>-7 %</w:t>
            </w:r>
          </w:p>
        </w:tc>
      </w:tr>
      <w:tr w:rsidR="00F37CB6" w:rsidRPr="00730B1E" w14:paraId="24F8EF9A" w14:textId="77777777" w:rsidTr="00F37CB6">
        <w:trPr>
          <w:trHeight w:val="330"/>
        </w:trPr>
        <w:tc>
          <w:tcPr>
            <w:tcW w:w="2480" w:type="dxa"/>
            <w:tcBorders>
              <w:top w:val="nil"/>
              <w:left w:val="nil"/>
              <w:bottom w:val="nil"/>
              <w:right w:val="nil"/>
            </w:tcBorders>
            <w:shd w:val="clear" w:color="auto" w:fill="auto"/>
            <w:noWrap/>
            <w:vAlign w:val="bottom"/>
            <w:hideMark/>
          </w:tcPr>
          <w:p w14:paraId="12AC0AE3" w14:textId="77777777" w:rsidR="00F37CB6" w:rsidRPr="00730B1E" w:rsidRDefault="00F37CB6" w:rsidP="00F37CB6">
            <w:pPr>
              <w:spacing w:line="240" w:lineRule="auto"/>
              <w:jc w:val="right"/>
              <w:rPr>
                <w:rFonts w:eastAsia="Times New Roman"/>
                <w:b/>
                <w:bCs/>
                <w:sz w:val="20"/>
                <w:szCs w:val="20"/>
                <w:lang w:eastAsia="cs-CZ"/>
              </w:rPr>
            </w:pPr>
          </w:p>
        </w:tc>
        <w:tc>
          <w:tcPr>
            <w:tcW w:w="728" w:type="dxa"/>
            <w:tcBorders>
              <w:top w:val="nil"/>
              <w:left w:val="nil"/>
              <w:bottom w:val="nil"/>
              <w:right w:val="nil"/>
            </w:tcBorders>
            <w:shd w:val="clear" w:color="auto" w:fill="auto"/>
            <w:noWrap/>
            <w:vAlign w:val="bottom"/>
            <w:hideMark/>
          </w:tcPr>
          <w:p w14:paraId="6D2A74D6" w14:textId="77777777" w:rsidR="00F37CB6" w:rsidRPr="00DF07F3" w:rsidRDefault="00F37CB6" w:rsidP="00F37CB6">
            <w:pPr>
              <w:spacing w:line="240" w:lineRule="auto"/>
              <w:jc w:val="left"/>
              <w:rPr>
                <w:sz w:val="20"/>
              </w:rPr>
            </w:pPr>
          </w:p>
        </w:tc>
        <w:tc>
          <w:tcPr>
            <w:tcW w:w="980" w:type="dxa"/>
            <w:tcBorders>
              <w:top w:val="nil"/>
              <w:left w:val="nil"/>
              <w:bottom w:val="nil"/>
              <w:right w:val="nil"/>
            </w:tcBorders>
            <w:shd w:val="clear" w:color="auto" w:fill="auto"/>
            <w:noWrap/>
            <w:vAlign w:val="bottom"/>
            <w:hideMark/>
          </w:tcPr>
          <w:p w14:paraId="10D135CC" w14:textId="77777777" w:rsidR="00F37CB6" w:rsidRPr="00DF07F3" w:rsidRDefault="00F37CB6" w:rsidP="00F37CB6">
            <w:pPr>
              <w:spacing w:line="240" w:lineRule="auto"/>
              <w:jc w:val="left"/>
              <w:rPr>
                <w:sz w:val="20"/>
              </w:rPr>
            </w:pPr>
          </w:p>
        </w:tc>
        <w:tc>
          <w:tcPr>
            <w:tcW w:w="505" w:type="dxa"/>
            <w:tcBorders>
              <w:top w:val="nil"/>
              <w:left w:val="nil"/>
              <w:bottom w:val="nil"/>
              <w:right w:val="nil"/>
            </w:tcBorders>
            <w:shd w:val="clear" w:color="auto" w:fill="auto"/>
            <w:noWrap/>
            <w:vAlign w:val="bottom"/>
            <w:hideMark/>
          </w:tcPr>
          <w:p w14:paraId="450996EB" w14:textId="77777777" w:rsidR="00F37CB6" w:rsidRPr="00DF07F3" w:rsidRDefault="00F37CB6" w:rsidP="00F37CB6">
            <w:pPr>
              <w:spacing w:line="240" w:lineRule="auto"/>
              <w:jc w:val="left"/>
              <w:rPr>
                <w:sz w:val="20"/>
              </w:rPr>
            </w:pPr>
          </w:p>
        </w:tc>
        <w:tc>
          <w:tcPr>
            <w:tcW w:w="1120" w:type="dxa"/>
            <w:tcBorders>
              <w:top w:val="nil"/>
              <w:left w:val="nil"/>
              <w:bottom w:val="nil"/>
              <w:right w:val="nil"/>
            </w:tcBorders>
            <w:shd w:val="clear" w:color="auto" w:fill="auto"/>
            <w:noWrap/>
            <w:vAlign w:val="bottom"/>
            <w:hideMark/>
          </w:tcPr>
          <w:p w14:paraId="1BEF9DF9" w14:textId="77777777" w:rsidR="00F37CB6" w:rsidRPr="00DF07F3" w:rsidRDefault="00F37CB6" w:rsidP="00F37CB6">
            <w:pPr>
              <w:spacing w:line="240" w:lineRule="auto"/>
              <w:jc w:val="left"/>
              <w:rPr>
                <w:sz w:val="20"/>
              </w:rPr>
            </w:pPr>
          </w:p>
        </w:tc>
        <w:tc>
          <w:tcPr>
            <w:tcW w:w="728" w:type="dxa"/>
            <w:tcBorders>
              <w:top w:val="nil"/>
              <w:left w:val="nil"/>
              <w:bottom w:val="nil"/>
              <w:right w:val="nil"/>
            </w:tcBorders>
            <w:shd w:val="clear" w:color="auto" w:fill="auto"/>
            <w:noWrap/>
            <w:vAlign w:val="bottom"/>
            <w:hideMark/>
          </w:tcPr>
          <w:p w14:paraId="528C22D0" w14:textId="77777777" w:rsidR="00F37CB6" w:rsidRPr="00DF07F3" w:rsidRDefault="00F37CB6" w:rsidP="00F37CB6">
            <w:pPr>
              <w:spacing w:line="240" w:lineRule="auto"/>
              <w:jc w:val="left"/>
              <w:rPr>
                <w:sz w:val="20"/>
              </w:rPr>
            </w:pPr>
          </w:p>
        </w:tc>
        <w:tc>
          <w:tcPr>
            <w:tcW w:w="980" w:type="dxa"/>
            <w:tcBorders>
              <w:top w:val="nil"/>
              <w:left w:val="nil"/>
              <w:bottom w:val="nil"/>
              <w:right w:val="nil"/>
            </w:tcBorders>
            <w:shd w:val="clear" w:color="auto" w:fill="auto"/>
            <w:noWrap/>
            <w:vAlign w:val="bottom"/>
            <w:hideMark/>
          </w:tcPr>
          <w:p w14:paraId="652058BB" w14:textId="77777777" w:rsidR="00F37CB6" w:rsidRPr="00DF07F3" w:rsidRDefault="00F37CB6" w:rsidP="00F37CB6">
            <w:pPr>
              <w:spacing w:line="240" w:lineRule="auto"/>
              <w:jc w:val="left"/>
              <w:rPr>
                <w:sz w:val="20"/>
              </w:rPr>
            </w:pPr>
          </w:p>
        </w:tc>
      </w:tr>
    </w:tbl>
    <w:p w14:paraId="0EE65C9B" w14:textId="77777777" w:rsidR="00F37CB6" w:rsidRPr="00730B1E" w:rsidRDefault="00F37CB6" w:rsidP="00F37CB6"/>
    <w:p w14:paraId="03195F44" w14:textId="1CD487F4" w:rsidR="00E045FB" w:rsidRPr="00730B1E" w:rsidRDefault="00F37CB6" w:rsidP="00E045FB">
      <w:pPr>
        <w:pStyle w:val="OdstavecASR"/>
      </w:pPr>
      <w:r w:rsidRPr="00730B1E">
        <w:lastRenderedPageBreak/>
        <w:t xml:space="preserve">Z tabulky a kartogramu vyplývá, že situace v opatrovnické agendě je podobná, ale ne stejná jako v agendě občanskoprávní. Nejvyšší délky řízení </w:t>
      </w:r>
      <w:r w:rsidR="00AF7DEB" w:rsidRPr="00730B1E">
        <w:t>v 2023</w:t>
      </w:r>
      <w:r w:rsidRPr="00730B1E">
        <w:t xml:space="preserve"> vykázaly soudy v Jihomoravském kraji. Celkově lze ale konstatovat, že mezi kraji nejsou nyní příliš velké rozdíly. Délky v opatrovnických řízeních jsou oproti civilnímu řízení přibližně poloviční.</w:t>
      </w:r>
      <w:r w:rsidR="00E045FB" w:rsidRPr="00730B1E">
        <w:t xml:space="preserve"> Nejrychleji vyřizovaly opatrovnickou agendu v roce 2023 OS Svitavy (mediánová délka řízení 32 dnů), OS Ústí nad Orlicí (36 dnů) a OS Domažlice (37 dnů). Naopak nejpomalejší j</w:t>
      </w:r>
      <w:r w:rsidR="004E28E4" w:rsidRPr="00730B1E">
        <w:t>sou</w:t>
      </w:r>
      <w:r w:rsidR="00E045FB" w:rsidRPr="00730B1E">
        <w:t xml:space="preserve"> OS </w:t>
      </w:r>
      <w:r w:rsidR="004E28E4" w:rsidRPr="00730B1E">
        <w:t>Vyškov a OS Plzeň-sever</w:t>
      </w:r>
      <w:r w:rsidR="00E045FB" w:rsidRPr="00730B1E">
        <w:t>, kde je mediánová délka řízení 1</w:t>
      </w:r>
      <w:r w:rsidR="004E28E4" w:rsidRPr="00730B1E">
        <w:t>29</w:t>
      </w:r>
      <w:r w:rsidR="00E045FB" w:rsidRPr="00730B1E">
        <w:t xml:space="preserve"> dnů. Následuj</w:t>
      </w:r>
      <w:r w:rsidR="004E28E4" w:rsidRPr="00730B1E">
        <w:t>e OS Brno-město</w:t>
      </w:r>
      <w:r w:rsidR="00E045FB" w:rsidRPr="00730B1E">
        <w:t xml:space="preserve"> (1</w:t>
      </w:r>
      <w:r w:rsidR="004E28E4" w:rsidRPr="00730B1E">
        <w:t>22</w:t>
      </w:r>
      <w:r w:rsidR="00E045FB" w:rsidRPr="00730B1E">
        <w:t> dnů).</w:t>
      </w:r>
      <w:r w:rsidR="00835B3F" w:rsidRPr="00730B1E">
        <w:t xml:space="preserve"> </w:t>
      </w:r>
      <w:r w:rsidR="00B05E40" w:rsidRPr="00730B1E">
        <w:t>V této souvislosti je na</w:t>
      </w:r>
      <w:r w:rsidR="009E1205" w:rsidRPr="00730B1E">
        <w:t xml:space="preserve"> </w:t>
      </w:r>
      <w:r w:rsidR="00B05E40" w:rsidRPr="00730B1E">
        <w:t>místě</w:t>
      </w:r>
      <w:r w:rsidR="00835B3F" w:rsidRPr="00730B1E">
        <w:t xml:space="preserve"> upozornit, že vzhledem ke klesajícím délkám řízení byly </w:t>
      </w:r>
      <w:r w:rsidR="00B05E40" w:rsidRPr="00730B1E">
        <w:t>oproti předchozí zp</w:t>
      </w:r>
      <w:r w:rsidR="009E1205" w:rsidRPr="00730B1E">
        <w:t>rávě upraveny</w:t>
      </w:r>
      <w:r w:rsidR="00AF7DEB" w:rsidRPr="00730B1E">
        <w:t xml:space="preserve"> </w:t>
      </w:r>
      <w:r w:rsidR="00835B3F" w:rsidRPr="00730B1E">
        <w:t>intervaly v kartogramu.</w:t>
      </w:r>
    </w:p>
    <w:p w14:paraId="32DAAA4D" w14:textId="6B565211" w:rsidR="00F37CB6" w:rsidRPr="00730B1E" w:rsidRDefault="009D68F7" w:rsidP="00F37CB6">
      <w:pPr>
        <w:pStyle w:val="Podnadpis"/>
        <w:rPr>
          <w:color w:val="auto"/>
        </w:rPr>
      </w:pPr>
      <w:bookmarkStart w:id="534" w:name="_Toc75952219"/>
      <w:bookmarkStart w:id="535" w:name="_Toc106106671"/>
      <w:bookmarkStart w:id="536" w:name="_Toc109801995"/>
      <w:bookmarkStart w:id="537" w:name="_Toc144104146"/>
      <w:bookmarkStart w:id="538" w:name="_Toc169250956"/>
      <w:bookmarkStart w:id="539" w:name="_Toc174080642"/>
      <w:r w:rsidRPr="00730B1E">
        <w:rPr>
          <w:noProof/>
          <w:lang w:eastAsia="cs-CZ"/>
        </w:rPr>
        <w:drawing>
          <wp:anchor distT="0" distB="0" distL="114300" distR="114300" simplePos="0" relativeHeight="251673600" behindDoc="0" locked="0" layoutInCell="1" allowOverlap="1" wp14:anchorId="081DFB81" wp14:editId="11D662EC">
            <wp:simplePos x="0" y="0"/>
            <wp:positionH relativeFrom="margin">
              <wp:posOffset>4474845</wp:posOffset>
            </wp:positionH>
            <wp:positionV relativeFrom="paragraph">
              <wp:posOffset>177165</wp:posOffset>
            </wp:positionV>
            <wp:extent cx="1271270" cy="924560"/>
            <wp:effectExtent l="0" t="0" r="5080" b="8890"/>
            <wp:wrapNone/>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71270" cy="92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7CB6" w:rsidRPr="00730B1E">
        <w:rPr>
          <w:color w:val="auto"/>
        </w:rPr>
        <w:t xml:space="preserve">Graf </w:t>
      </w:r>
      <w:r w:rsidR="00F37CB6" w:rsidRPr="00730B1E">
        <w:rPr>
          <w:color w:val="auto"/>
        </w:rPr>
        <w:fldChar w:fldCharType="begin"/>
      </w:r>
      <w:r w:rsidR="00F37CB6" w:rsidRPr="00730B1E">
        <w:rPr>
          <w:color w:val="auto"/>
        </w:rPr>
        <w:instrText xml:space="preserve"> SEQ Graf \* ARABIC </w:instrText>
      </w:r>
      <w:r w:rsidR="00F37CB6" w:rsidRPr="00730B1E">
        <w:rPr>
          <w:color w:val="auto"/>
        </w:rPr>
        <w:fldChar w:fldCharType="separate"/>
      </w:r>
      <w:r w:rsidR="00056825">
        <w:rPr>
          <w:noProof/>
          <w:color w:val="auto"/>
        </w:rPr>
        <w:t>37</w:t>
      </w:r>
      <w:r w:rsidR="00F37CB6" w:rsidRPr="00730B1E">
        <w:rPr>
          <w:color w:val="auto"/>
        </w:rPr>
        <w:fldChar w:fldCharType="end"/>
      </w:r>
      <w:r w:rsidR="00F37CB6" w:rsidRPr="00730B1E">
        <w:rPr>
          <w:color w:val="auto"/>
        </w:rPr>
        <w:t>: OS – mediánové délky opatrov</w:t>
      </w:r>
      <w:r w:rsidR="002263C3" w:rsidRPr="00730B1E">
        <w:rPr>
          <w:color w:val="auto"/>
        </w:rPr>
        <w:t>.</w:t>
      </w:r>
      <w:r w:rsidR="00F37CB6" w:rsidRPr="00730B1E">
        <w:rPr>
          <w:color w:val="auto"/>
        </w:rPr>
        <w:t xml:space="preserve"> řízení u jednotlivých soudů</w:t>
      </w:r>
      <w:bookmarkEnd w:id="534"/>
      <w:bookmarkEnd w:id="535"/>
      <w:bookmarkEnd w:id="536"/>
      <w:bookmarkEnd w:id="537"/>
      <w:r w:rsidR="002263C3" w:rsidRPr="00730B1E">
        <w:rPr>
          <w:color w:val="auto"/>
        </w:rPr>
        <w:t>, 2023</w:t>
      </w:r>
      <w:bookmarkEnd w:id="538"/>
      <w:bookmarkEnd w:id="539"/>
    </w:p>
    <w:p w14:paraId="27865984" w14:textId="15B5C7CE" w:rsidR="00835B3F" w:rsidRPr="00730B1E" w:rsidRDefault="00835B3F">
      <w:pPr>
        <w:spacing w:after="160" w:line="259" w:lineRule="auto"/>
        <w:jc w:val="left"/>
      </w:pPr>
      <w:r w:rsidRPr="00730B1E">
        <w:rPr>
          <w:noProof/>
          <w:lang w:eastAsia="cs-CZ"/>
        </w:rPr>
        <w:drawing>
          <wp:inline distT="0" distB="0" distL="0" distR="0" wp14:anchorId="5DF63E8D" wp14:editId="720BD66C">
            <wp:extent cx="5760720" cy="3296920"/>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r w:rsidRPr="00730B1E">
        <w:t xml:space="preserve"> </w:t>
      </w:r>
    </w:p>
    <w:p w14:paraId="26E46286" w14:textId="77777777" w:rsidR="006C7E95" w:rsidRPr="00730B1E" w:rsidRDefault="006C7E95" w:rsidP="006C7E95">
      <w:pPr>
        <w:pStyle w:val="OdstavecASR"/>
      </w:pPr>
    </w:p>
    <w:p w14:paraId="6D9BB2CC" w14:textId="5596A76E" w:rsidR="006C7E95" w:rsidRPr="00730B1E" w:rsidRDefault="006C7E95" w:rsidP="006C7E95">
      <w:pPr>
        <w:pStyle w:val="OdstavecASR"/>
      </w:pPr>
      <w:r w:rsidRPr="00730B1E">
        <w:t>Z krabicových grafů vidíme, že v rozdílech mezi soudy nedocházelo v průběhu let k žádným větším změnám. Novelizace občanského zákoníku způsobila určitý nárůst ve variabilitě délek řízení (i když s odstupem – až v letech 2015 až 2017). Pak ale opět následoval pokles variability a přiblížení odlehlých hodnot k boxu. Od roku 2019 do roku 2021 se na grafu nacházela již jen jediná odlehlá hodnota – OS pro Prahu 1. Ta se střídavě přibližovala či oddalovalo od boxu. V roce 2022 OS pro Prahu 1 výrazně snížil délku řízení, a tak z grafu zmizela i poslední odlehlá hodnota. Rovněž celý box se o něco zmenšil. V roce 2023 nedošlo prakticky k žádné změně. To, že na grafu nejsou žádné odlehlé hodnoty</w:t>
      </w:r>
      <w:r w:rsidR="00B05E40" w:rsidRPr="00730B1E">
        <w:t>,</w:t>
      </w:r>
      <w:r w:rsidRPr="00730B1E">
        <w:t xml:space="preserve"> lze rozhodně považovat za úspěch a ukazatel toho, že variabilita mezi soudy je na přijatelné úrovni. </w:t>
      </w:r>
    </w:p>
    <w:p w14:paraId="6B1A5E2C" w14:textId="77777777" w:rsidR="006C7E95" w:rsidRPr="00730B1E" w:rsidRDefault="006C7E95">
      <w:pPr>
        <w:spacing w:after="160" w:line="259" w:lineRule="auto"/>
        <w:jc w:val="left"/>
      </w:pPr>
    </w:p>
    <w:p w14:paraId="7ED70AA7" w14:textId="6A002388" w:rsidR="006C7E95" w:rsidRPr="00730B1E" w:rsidRDefault="00835B3F" w:rsidP="006C7E95">
      <w:pPr>
        <w:pStyle w:val="Podnadpis"/>
        <w:rPr>
          <w:color w:val="auto"/>
        </w:rPr>
      </w:pPr>
      <w:r w:rsidRPr="00730B1E">
        <w:rPr>
          <w:color w:val="auto"/>
        </w:rPr>
        <w:lastRenderedPageBreak/>
        <w:t xml:space="preserve"> </w:t>
      </w:r>
      <w:bookmarkStart w:id="540" w:name="_Toc11135099"/>
      <w:bookmarkStart w:id="541" w:name="_Toc43841417"/>
      <w:bookmarkStart w:id="542" w:name="_Toc75952220"/>
      <w:bookmarkStart w:id="543" w:name="_Toc106106672"/>
      <w:bookmarkStart w:id="544" w:name="_Toc109801996"/>
      <w:bookmarkStart w:id="545" w:name="_Toc144104147"/>
      <w:bookmarkStart w:id="546" w:name="_Toc169250957"/>
      <w:bookmarkStart w:id="547" w:name="_Toc174080643"/>
      <w:r w:rsidR="006C7E95" w:rsidRPr="00730B1E">
        <w:rPr>
          <w:color w:val="auto"/>
        </w:rPr>
        <w:t xml:space="preserve">Graf </w:t>
      </w:r>
      <w:r w:rsidR="006C7E95" w:rsidRPr="00730B1E">
        <w:rPr>
          <w:color w:val="auto"/>
        </w:rPr>
        <w:fldChar w:fldCharType="begin"/>
      </w:r>
      <w:r w:rsidR="006C7E95" w:rsidRPr="00730B1E">
        <w:rPr>
          <w:color w:val="auto"/>
        </w:rPr>
        <w:instrText xml:space="preserve"> SEQ Graf \* ARABIC </w:instrText>
      </w:r>
      <w:r w:rsidR="006C7E95" w:rsidRPr="00730B1E">
        <w:rPr>
          <w:color w:val="auto"/>
        </w:rPr>
        <w:fldChar w:fldCharType="separate"/>
      </w:r>
      <w:r w:rsidR="00056825">
        <w:rPr>
          <w:noProof/>
          <w:color w:val="auto"/>
        </w:rPr>
        <w:t>38</w:t>
      </w:r>
      <w:r w:rsidR="006C7E95" w:rsidRPr="00730B1E">
        <w:rPr>
          <w:color w:val="auto"/>
        </w:rPr>
        <w:fldChar w:fldCharType="end"/>
      </w:r>
      <w:r w:rsidR="006C7E95" w:rsidRPr="00730B1E">
        <w:rPr>
          <w:color w:val="auto"/>
        </w:rPr>
        <w:t>: OS – krabicové grafy, mediánové délky opatrovnického řízení</w:t>
      </w:r>
      <w:bookmarkEnd w:id="540"/>
      <w:bookmarkEnd w:id="541"/>
      <w:bookmarkEnd w:id="542"/>
      <w:bookmarkEnd w:id="543"/>
      <w:bookmarkEnd w:id="544"/>
      <w:bookmarkEnd w:id="545"/>
      <w:r w:rsidR="002263C3" w:rsidRPr="00730B1E">
        <w:rPr>
          <w:color w:val="auto"/>
        </w:rPr>
        <w:t>, 2023</w:t>
      </w:r>
      <w:bookmarkEnd w:id="546"/>
      <w:bookmarkEnd w:id="547"/>
    </w:p>
    <w:p w14:paraId="74CB8D89" w14:textId="77777777" w:rsidR="00780D8A" w:rsidRPr="00730B1E" w:rsidRDefault="006C7E95">
      <w:pPr>
        <w:spacing w:after="160" w:line="259" w:lineRule="auto"/>
        <w:jc w:val="left"/>
      </w:pPr>
      <w:r w:rsidRPr="00730B1E">
        <w:rPr>
          <w:noProof/>
          <w:lang w:eastAsia="cs-CZ"/>
        </w:rPr>
        <w:drawing>
          <wp:inline distT="0" distB="0" distL="0" distR="0" wp14:anchorId="141AD664" wp14:editId="01D307B9">
            <wp:extent cx="5029200" cy="3657600"/>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6086391" w14:textId="1F4E1150" w:rsidR="00780D8A" w:rsidRPr="00730B1E" w:rsidRDefault="00780D8A" w:rsidP="00056825">
      <w:pPr>
        <w:pStyle w:val="OdstavecASR"/>
      </w:pPr>
      <w:r w:rsidRPr="00730B1E">
        <w:t xml:space="preserve">Dále se ještě na délku řízení </w:t>
      </w:r>
      <w:r w:rsidR="00B71D7F" w:rsidRPr="00730B1E">
        <w:t>zaměříme</w:t>
      </w:r>
      <w:r w:rsidRPr="00730B1E">
        <w:t xml:space="preserve"> v</w:t>
      </w:r>
      <w:r w:rsidR="00056825">
        <w:t> </w:t>
      </w:r>
      <w:r w:rsidRPr="00730B1E">
        <w:t>histogramu</w:t>
      </w:r>
      <w:r w:rsidR="00056825">
        <w:t>.</w:t>
      </w:r>
    </w:p>
    <w:p w14:paraId="71E3538D" w14:textId="4E61B96E" w:rsidR="006D77DE" w:rsidRPr="00730B1E" w:rsidRDefault="006D77DE" w:rsidP="006D77DE">
      <w:pPr>
        <w:pStyle w:val="Podnadpis"/>
        <w:numPr>
          <w:ilvl w:val="0"/>
          <w:numId w:val="0"/>
        </w:numPr>
        <w:rPr>
          <w:color w:val="auto"/>
        </w:rPr>
      </w:pPr>
      <w:bookmarkStart w:id="548" w:name="_Toc106106673"/>
      <w:bookmarkStart w:id="549" w:name="_Toc109801997"/>
      <w:bookmarkStart w:id="550" w:name="_Toc144104148"/>
      <w:bookmarkStart w:id="551" w:name="_Toc169250958"/>
      <w:bookmarkStart w:id="552" w:name="_Toc17408064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39</w:t>
      </w:r>
      <w:r w:rsidRPr="00730B1E">
        <w:rPr>
          <w:color w:val="auto"/>
        </w:rPr>
        <w:fldChar w:fldCharType="end"/>
      </w:r>
      <w:r w:rsidRPr="00730B1E">
        <w:rPr>
          <w:color w:val="auto"/>
        </w:rPr>
        <w:t>: OS –distribuce délky opatrovnického řízení</w:t>
      </w:r>
      <w:bookmarkEnd w:id="548"/>
      <w:bookmarkEnd w:id="549"/>
      <w:bookmarkEnd w:id="550"/>
      <w:r w:rsidR="002263C3" w:rsidRPr="00730B1E">
        <w:rPr>
          <w:color w:val="auto"/>
        </w:rPr>
        <w:t>, 2023</w:t>
      </w:r>
      <w:bookmarkEnd w:id="551"/>
      <w:bookmarkEnd w:id="552"/>
    </w:p>
    <w:p w14:paraId="4C5692DA" w14:textId="77777777" w:rsidR="00F40378" w:rsidRDefault="006D77DE">
      <w:pPr>
        <w:spacing w:after="160" w:line="259" w:lineRule="auto"/>
        <w:jc w:val="left"/>
      </w:pPr>
      <w:r w:rsidRPr="00730B1E">
        <w:rPr>
          <w:noProof/>
          <w:lang w:eastAsia="cs-CZ"/>
        </w:rPr>
        <w:drawing>
          <wp:inline distT="0" distB="0" distL="0" distR="0" wp14:anchorId="760D20DC" wp14:editId="6D52463A">
            <wp:extent cx="5029200" cy="3657600"/>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F7565F8" w14:textId="7711B9DD" w:rsidR="00056825" w:rsidRPr="00730B1E" w:rsidRDefault="00056825" w:rsidP="00056825">
      <w:pPr>
        <w:pStyle w:val="OdstavecASR"/>
      </w:pPr>
      <w:r>
        <w:t>Histogram</w:t>
      </w:r>
      <w:r w:rsidRPr="00730B1E">
        <w:t xml:space="preserve"> ukazuje například následující:</w:t>
      </w:r>
    </w:p>
    <w:p w14:paraId="05D5CB1E" w14:textId="77777777" w:rsidR="00056825" w:rsidRPr="00730B1E" w:rsidRDefault="00056825" w:rsidP="00056825">
      <w:pPr>
        <w:pStyle w:val="OdstavecASR"/>
        <w:numPr>
          <w:ilvl w:val="0"/>
          <w:numId w:val="20"/>
        </w:numPr>
      </w:pPr>
      <w:r w:rsidRPr="00730B1E">
        <w:t>Graf potvrzuje to, co již vidíme z předchozích dat – opatrovnické řízení je výrazně rychlejší než řízení civilní.</w:t>
      </w:r>
    </w:p>
    <w:p w14:paraId="75DDE04A" w14:textId="77777777" w:rsidR="00056825" w:rsidRPr="00730B1E" w:rsidRDefault="00056825" w:rsidP="00056825">
      <w:pPr>
        <w:pStyle w:val="OdstavecASR"/>
        <w:numPr>
          <w:ilvl w:val="0"/>
          <w:numId w:val="20"/>
        </w:numPr>
      </w:pPr>
      <w:r w:rsidRPr="00730B1E">
        <w:lastRenderedPageBreak/>
        <w:t>Asi 35 % věcí je vyřízeno za 20 až 40 dnů.</w:t>
      </w:r>
    </w:p>
    <w:p w14:paraId="5BF25F08" w14:textId="77777777" w:rsidR="00056825" w:rsidRPr="00730B1E" w:rsidRDefault="00056825" w:rsidP="00056825">
      <w:pPr>
        <w:pStyle w:val="OdstavecASR"/>
        <w:numPr>
          <w:ilvl w:val="0"/>
          <w:numId w:val="20"/>
        </w:numPr>
      </w:pPr>
      <w:r w:rsidRPr="00730B1E">
        <w:t>Asi 4 % věcí trvají déle než 400 dnů.</w:t>
      </w:r>
    </w:p>
    <w:p w14:paraId="4898D2D3" w14:textId="7A3A923F" w:rsidR="004A6993" w:rsidRPr="00730B1E" w:rsidRDefault="00F40378" w:rsidP="00F40378">
      <w:pPr>
        <w:pStyle w:val="OdstavecASR"/>
        <w:rPr>
          <w:szCs w:val="24"/>
        </w:rPr>
      </w:pPr>
      <w:r w:rsidRPr="00730B1E">
        <w:t xml:space="preserve">Významnou část opatrovnické agendy tvoří rozhodování </w:t>
      </w:r>
      <w:r w:rsidR="00AF7DEB" w:rsidRPr="00730B1E">
        <w:t>o</w:t>
      </w:r>
      <w:r w:rsidRPr="00730B1E">
        <w:t xml:space="preserve"> péči o nezletilé. Většinu této agendy představuje rozhodování o tom, kdo z rodičů bude o dítě pečovat</w:t>
      </w:r>
      <w:r w:rsidR="00B05E40" w:rsidRPr="00730B1E">
        <w:rPr>
          <w:szCs w:val="24"/>
        </w:rPr>
        <w:t>,</w:t>
      </w:r>
      <w:r w:rsidRPr="00730B1E">
        <w:t xml:space="preserve"> a rozhodování o výživném. Patří </w:t>
      </w:r>
      <w:r w:rsidR="00B05E40" w:rsidRPr="00730B1E">
        <w:rPr>
          <w:szCs w:val="24"/>
        </w:rPr>
        <w:t xml:space="preserve">sem </w:t>
      </w:r>
      <w:r w:rsidRPr="00730B1E">
        <w:t>ale i jiné typy případů</w:t>
      </w:r>
      <w:r w:rsidR="00AF7DEB" w:rsidRPr="00730B1E">
        <w:rPr>
          <w:szCs w:val="24"/>
        </w:rPr>
        <w:t>,</w:t>
      </w:r>
      <w:r w:rsidRPr="00730B1E">
        <w:t xml:space="preserve"> jako je rozhodování o uložení výchovných opatření či rozhodování </w:t>
      </w:r>
      <w:r w:rsidR="00CD34D7" w:rsidRPr="00730B1E">
        <w:t>o</w:t>
      </w:r>
      <w:r w:rsidR="00CD34D7" w:rsidRPr="00730B1E">
        <w:rPr>
          <w:szCs w:val="24"/>
        </w:rPr>
        <w:t> </w:t>
      </w:r>
      <w:r w:rsidRPr="00730B1E">
        <w:rPr>
          <w:szCs w:val="24"/>
        </w:rPr>
        <w:t>poručen</w:t>
      </w:r>
      <w:r w:rsidR="00B05E40" w:rsidRPr="00730B1E">
        <w:rPr>
          <w:szCs w:val="24"/>
        </w:rPr>
        <w:t>s</w:t>
      </w:r>
      <w:r w:rsidRPr="00730B1E">
        <w:rPr>
          <w:szCs w:val="24"/>
        </w:rPr>
        <w:t>t</w:t>
      </w:r>
      <w:r w:rsidR="00B05E40" w:rsidRPr="00730B1E">
        <w:rPr>
          <w:szCs w:val="24"/>
        </w:rPr>
        <w:t>v</w:t>
      </w:r>
      <w:r w:rsidRPr="00730B1E">
        <w:rPr>
          <w:szCs w:val="24"/>
        </w:rPr>
        <w:t>í.</w:t>
      </w:r>
      <w:r w:rsidRPr="00730B1E">
        <w:t xml:space="preserve"> Je vhodné se v časové řadě </w:t>
      </w:r>
      <w:r w:rsidR="00B05E40" w:rsidRPr="00730B1E">
        <w:rPr>
          <w:szCs w:val="24"/>
        </w:rPr>
        <w:t xml:space="preserve">blíže </w:t>
      </w:r>
      <w:r w:rsidRPr="00730B1E">
        <w:t xml:space="preserve">podívat </w:t>
      </w:r>
      <w:r w:rsidR="00B05E40" w:rsidRPr="00730B1E">
        <w:rPr>
          <w:szCs w:val="24"/>
        </w:rPr>
        <w:t xml:space="preserve">specificky </w:t>
      </w:r>
      <w:r w:rsidRPr="00730B1E">
        <w:t>na tuto agendu</w:t>
      </w:r>
      <w:r w:rsidR="00B05E40" w:rsidRPr="00730B1E">
        <w:rPr>
          <w:szCs w:val="24"/>
        </w:rPr>
        <w:t xml:space="preserve">, mimo jiné proto, že podle zákona o zvláštních řízeních soudních v ní má </w:t>
      </w:r>
      <w:r w:rsidRPr="00730B1E">
        <w:rPr>
          <w:szCs w:val="24"/>
        </w:rPr>
        <w:t>být rozhodnuto do 180 dnů ode dne nápadu.</w:t>
      </w:r>
    </w:p>
    <w:p w14:paraId="3F4D730D" w14:textId="3AC2B45A" w:rsidR="00F40378" w:rsidRPr="00730B1E" w:rsidRDefault="00F40378" w:rsidP="00F40378">
      <w:pPr>
        <w:pStyle w:val="Podnadpis"/>
        <w:numPr>
          <w:ilvl w:val="0"/>
          <w:numId w:val="0"/>
        </w:numPr>
        <w:rPr>
          <w:color w:val="auto"/>
        </w:rPr>
      </w:pPr>
      <w:bookmarkStart w:id="553" w:name="_Toc169250959"/>
      <w:bookmarkStart w:id="554" w:name="_Toc174080645"/>
      <w:r w:rsidRPr="00730B1E">
        <w:rPr>
          <w:color w:val="auto"/>
        </w:rPr>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40</w:t>
      </w:r>
      <w:r w:rsidRPr="00730B1E">
        <w:rPr>
          <w:noProof/>
          <w:color w:val="auto"/>
        </w:rPr>
        <w:fldChar w:fldCharType="end"/>
      </w:r>
      <w:r w:rsidRPr="00730B1E">
        <w:rPr>
          <w:color w:val="auto"/>
        </w:rPr>
        <w:t>: OS –</w:t>
      </w:r>
      <w:r w:rsidR="00B05E40" w:rsidRPr="00730B1E">
        <w:rPr>
          <w:color w:val="auto"/>
        </w:rPr>
        <w:t xml:space="preserve"> </w:t>
      </w:r>
      <w:r w:rsidR="002A3AB6" w:rsidRPr="00730B1E">
        <w:rPr>
          <w:color w:val="auto"/>
        </w:rPr>
        <w:t>péče o dítě,</w:t>
      </w:r>
      <w:r w:rsidRPr="00730B1E">
        <w:rPr>
          <w:color w:val="auto"/>
        </w:rPr>
        <w:t xml:space="preserve"> délka řízení v letech 201</w:t>
      </w:r>
      <w:r w:rsidR="00117964" w:rsidRPr="00730B1E">
        <w:rPr>
          <w:color w:val="auto"/>
        </w:rPr>
        <w:t>4</w:t>
      </w:r>
      <w:r w:rsidRPr="00730B1E">
        <w:rPr>
          <w:color w:val="auto"/>
        </w:rPr>
        <w:t>–2023</w:t>
      </w:r>
      <w:bookmarkEnd w:id="553"/>
      <w:bookmarkEnd w:id="554"/>
    </w:p>
    <w:p w14:paraId="4B2C508D" w14:textId="28DF0FD8" w:rsidR="002A3AB6" w:rsidRPr="00730B1E" w:rsidRDefault="00117964" w:rsidP="002A3AB6">
      <w:r w:rsidRPr="00730B1E">
        <w:rPr>
          <w:noProof/>
          <w:lang w:eastAsia="cs-CZ"/>
        </w:rPr>
        <w:drawing>
          <wp:inline distT="0" distB="0" distL="0" distR="0" wp14:anchorId="535354F0" wp14:editId="758921B5">
            <wp:extent cx="5029200" cy="3657600"/>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4058E93" w14:textId="07048737" w:rsidR="00117964" w:rsidRPr="00730B1E" w:rsidRDefault="00117964" w:rsidP="00117964">
      <w:pPr>
        <w:pStyle w:val="OdstavecASR"/>
      </w:pPr>
      <w:r w:rsidRPr="00730B1E">
        <w:t xml:space="preserve">V grafu vidíme, že rozhodování o péči o nezletilé </w:t>
      </w:r>
      <w:r w:rsidR="00B05E40" w:rsidRPr="00730B1E">
        <w:t>probíhá</w:t>
      </w:r>
      <w:r w:rsidR="00186A96" w:rsidRPr="00730B1E">
        <w:t xml:space="preserve"> </w:t>
      </w:r>
      <w:r w:rsidRPr="00730B1E">
        <w:t xml:space="preserve">nepatrně rychleji než celá opatrovnická agenda. To má logiku, neboť tvoří její velkou část. Z grafu je patrné, že ne všechny věci jsou do 180 dnů vyřízeny, protože percentil 90 je vyšší. Bližší pohled na data ukáže, že v roce 2023 bylo </w:t>
      </w:r>
      <w:r w:rsidR="00B05E40" w:rsidRPr="00730B1E">
        <w:t xml:space="preserve">ve výše zmíněné lhůtě rozhodnuto </w:t>
      </w:r>
      <w:r w:rsidRPr="00730B1E">
        <w:t>asi 84 % věcí.</w:t>
      </w:r>
    </w:p>
    <w:p w14:paraId="35C6DB49" w14:textId="18253B4F" w:rsidR="0003032A" w:rsidRPr="00730B1E" w:rsidRDefault="008430BD" w:rsidP="0003032A">
      <w:pPr>
        <w:pStyle w:val="Nadpis3"/>
        <w:keepNext w:val="0"/>
        <w:keepLines w:val="0"/>
        <w:numPr>
          <w:ilvl w:val="2"/>
          <w:numId w:val="1"/>
        </w:numPr>
        <w:rPr>
          <w:color w:val="auto"/>
        </w:rPr>
      </w:pPr>
      <w:bookmarkStart w:id="555" w:name="_Toc106092735"/>
      <w:bookmarkStart w:id="556" w:name="_Toc106092736"/>
      <w:bookmarkStart w:id="557" w:name="_Toc106092737"/>
      <w:bookmarkStart w:id="558" w:name="_Toc106092738"/>
      <w:bookmarkStart w:id="559" w:name="_Ref515022661"/>
      <w:bookmarkStart w:id="560" w:name="_Toc515871238"/>
      <w:bookmarkStart w:id="561" w:name="_Toc106092739"/>
      <w:bookmarkStart w:id="562" w:name="_Toc169250819"/>
      <w:bookmarkStart w:id="563" w:name="_Toc174080855"/>
      <w:bookmarkEnd w:id="555"/>
      <w:bookmarkEnd w:id="556"/>
      <w:bookmarkEnd w:id="557"/>
      <w:bookmarkEnd w:id="558"/>
      <w:r w:rsidRPr="00730B1E">
        <w:rPr>
          <w:color w:val="auto"/>
        </w:rPr>
        <w:t>Vyřizování věcí</w:t>
      </w:r>
      <w:bookmarkEnd w:id="559"/>
      <w:bookmarkEnd w:id="560"/>
      <w:bookmarkEnd w:id="561"/>
      <w:bookmarkEnd w:id="562"/>
      <w:bookmarkEnd w:id="563"/>
    </w:p>
    <w:p w14:paraId="6154AB23" w14:textId="4FC51EE7" w:rsidR="00D93FBA" w:rsidRPr="00730B1E" w:rsidRDefault="00B05E40" w:rsidP="00D93FBA">
      <w:r w:rsidRPr="00730B1E">
        <w:t>V</w:t>
      </w:r>
      <w:r w:rsidR="00D93FBA" w:rsidRPr="00730B1E">
        <w:t> roce 2014</w:t>
      </w:r>
      <w:r w:rsidRPr="00730B1E">
        <w:t>, tedy před začátkem sledovaného období,</w:t>
      </w:r>
      <w:r w:rsidR="00D93FBA" w:rsidRPr="00730B1E">
        <w:t xml:space="preserve"> došlo </w:t>
      </w:r>
      <w:r w:rsidRPr="00730B1E">
        <w:t xml:space="preserve">k </w:t>
      </w:r>
      <w:r w:rsidR="00D93FBA" w:rsidRPr="00730B1E">
        <w:t xml:space="preserve">významnému nárůstu v počtu příchozích věcí (asi 40 %). Za to je zodpovědný výše zmíněný dopad občanského zákoníku. Soudy byly schopny částečně reagovat a značně se zvýšil počet vyřízených věcí. Nárůst v počtu napadlých věcí byl ale vyšší než počet vyřízených věcí a počet nevyřízených věcí tak začal růst. Počet napadlých věcí poklesl až v roce 2016 a v roce 2017. To je zřejmě způsobeno hlavně tím, že všechny přezkumy svéprávnosti byly zahájeny v letech 2014 a 2015. Soudům se podařilo v roce 2016 udržet počet vyřízených věcí na úrovni z roku 2015 a také v roce 2017 udržet počet vyřízených věcí nad nápadem. Díky tomu počet nevyřízených věcí klesal. Soudům pomohlo prodloužení lhůty na přezkum svéprávnosti pro určité případy ze tří na pět let vyplývající z novely o. z. přijaté na konci roku 2016. Nicméně je třeba uvést, že počet osob (tedy celkový rozsah agendy přezkumů </w:t>
      </w:r>
      <w:r w:rsidR="00D93FBA" w:rsidRPr="00730B1E">
        <w:lastRenderedPageBreak/>
        <w:t>svéprávnosti) byl jen cca 36 tisíc, což znamená, že se na nárůstu nápadu podílel jen asi jednou čtvrtinou, zbytek tvořily další nové agendy zavedené o. z. Tyto nové agendy také stojí za růstem nápadu v letech 2018 a 2019, protože, jak již bylo konstatováno, všechny přezkumy svéprávnosti byly zahájeny již v letech 2014 a 2015.</w:t>
      </w:r>
    </w:p>
    <w:p w14:paraId="59658E91" w14:textId="7A6AF059" w:rsidR="00143C42" w:rsidRPr="00730B1E" w:rsidRDefault="00143C42" w:rsidP="00143C42">
      <w:pPr>
        <w:pStyle w:val="Podnadpis"/>
        <w:numPr>
          <w:ilvl w:val="0"/>
          <w:numId w:val="0"/>
        </w:numPr>
        <w:rPr>
          <w:color w:val="auto"/>
        </w:rPr>
      </w:pPr>
      <w:bookmarkStart w:id="564" w:name="_Toc515871368"/>
      <w:bookmarkStart w:id="565" w:name="_Toc11135100"/>
      <w:bookmarkStart w:id="566" w:name="_Toc43841418"/>
      <w:bookmarkStart w:id="567" w:name="_Toc75952221"/>
      <w:bookmarkStart w:id="568" w:name="_Toc106106674"/>
      <w:bookmarkStart w:id="569" w:name="_Toc144104149"/>
      <w:bookmarkStart w:id="570" w:name="_Toc169250960"/>
      <w:bookmarkStart w:id="571" w:name="_Toc174080646"/>
      <w:r w:rsidRPr="00730B1E">
        <w:rPr>
          <w:color w:val="auto"/>
        </w:rPr>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41</w:t>
      </w:r>
      <w:r w:rsidRPr="00730B1E">
        <w:rPr>
          <w:noProof/>
          <w:color w:val="auto"/>
        </w:rPr>
        <w:fldChar w:fldCharType="end"/>
      </w:r>
      <w:r w:rsidRPr="00730B1E">
        <w:rPr>
          <w:color w:val="auto"/>
        </w:rPr>
        <w:t>: OS – vyřizování věcí v opatrovnické agendě v letech 20</w:t>
      </w:r>
      <w:r w:rsidR="00117964" w:rsidRPr="00730B1E">
        <w:rPr>
          <w:color w:val="auto"/>
        </w:rPr>
        <w:t>14</w:t>
      </w:r>
      <w:r w:rsidRPr="00730B1E">
        <w:rPr>
          <w:color w:val="auto"/>
        </w:rPr>
        <w:t>–</w:t>
      </w:r>
      <w:bookmarkEnd w:id="564"/>
      <w:r w:rsidRPr="00730B1E">
        <w:rPr>
          <w:color w:val="auto"/>
        </w:rPr>
        <w:t>20</w:t>
      </w:r>
      <w:bookmarkEnd w:id="565"/>
      <w:bookmarkEnd w:id="566"/>
      <w:r w:rsidRPr="00730B1E">
        <w:rPr>
          <w:color w:val="auto"/>
        </w:rPr>
        <w:t>2</w:t>
      </w:r>
      <w:bookmarkEnd w:id="567"/>
      <w:bookmarkEnd w:id="568"/>
      <w:bookmarkEnd w:id="569"/>
      <w:r w:rsidR="00117964" w:rsidRPr="00730B1E">
        <w:rPr>
          <w:color w:val="auto"/>
        </w:rPr>
        <w:t>3</w:t>
      </w:r>
      <w:bookmarkEnd w:id="570"/>
      <w:bookmarkEnd w:id="571"/>
    </w:p>
    <w:p w14:paraId="76D70C86" w14:textId="251DF879" w:rsidR="00143C42" w:rsidRPr="00730B1E" w:rsidRDefault="004A6993" w:rsidP="00143C42">
      <w:r w:rsidRPr="00730B1E">
        <w:rPr>
          <w:noProof/>
          <w:lang w:eastAsia="cs-CZ"/>
        </w:rPr>
        <w:drawing>
          <wp:inline distT="0" distB="0" distL="0" distR="0" wp14:anchorId="41B3BD30" wp14:editId="5D912AA6">
            <wp:extent cx="5029200" cy="3657600"/>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A55F7A1" w14:textId="77777777" w:rsidR="002263C3" w:rsidRPr="00730B1E" w:rsidRDefault="002263C3" w:rsidP="00D93FBA"/>
    <w:p w14:paraId="2B172B7E" w14:textId="65167A12" w:rsidR="00D93FBA" w:rsidRPr="00730B1E" w:rsidRDefault="00D93FBA" w:rsidP="00D93FBA">
      <w:r w:rsidRPr="00730B1E">
        <w:t xml:space="preserve">V roce 2019 mírně vzrostl nápad a soudy vyřídily méně věcí, než kolik napadlo. Rozdíl byl ale malý – míra vyřizování byla 99 %. V roce 2020 vidíme stejně jako u ostatních agend značný pokles v počtu příchozích věcí. Dopad pandemie na funkčnost soudů se v roce 2020 tedy v opatrovnické agendě příliš neprojevil. Soudy vyřídily více věcí, než kolik napadlo (v důsledku pandemie COVID 19 se nápad výrazně snížil), i když jim to v průměru mohlo trvat o něco déle. V roce 2021 zůstal počet příchozích věcí na úrovni roku 2020, což zřejmě opět ukazuje na vliv pandemie. Soudům (a to ve všech krajích) se podařilo vyřídit více věcí, než napadlo. Počet nevyřízených věcí opět klesl a přiblížil se k hodnotám před vstupem občanského zákoníku v účinnosti. V roce 2022 vidíme nárůst v počtu příchozích věcí, soudy na to reagovaly částečně a zvýšil se tak i počet vyřízených věcí. Počet příchozích věcí ale rostl více, a tak se po několika letech zvýšil počet nevyřízených věcí, ale jen velmi mírně a stále byl na úrovni roku 2020. V roce 2023 </w:t>
      </w:r>
      <w:r w:rsidR="00B80D87" w:rsidRPr="00730B1E">
        <w:t>však</w:t>
      </w:r>
      <w:r w:rsidRPr="00730B1E">
        <w:t xml:space="preserve"> nárůst v počtu příchozích </w:t>
      </w:r>
      <w:r w:rsidR="00CD34D7" w:rsidRPr="00730B1E">
        <w:t>a </w:t>
      </w:r>
      <w:r w:rsidRPr="00730B1E">
        <w:t>nevyřízených věcí pokračoval.</w:t>
      </w:r>
    </w:p>
    <w:p w14:paraId="2BD8D61A" w14:textId="77777777" w:rsidR="002263C3" w:rsidRPr="00730B1E" w:rsidRDefault="002263C3">
      <w:pPr>
        <w:spacing w:after="160" w:line="259" w:lineRule="auto"/>
        <w:jc w:val="left"/>
        <w:rPr>
          <w:rFonts w:eastAsia="Times New Roman"/>
          <w:b/>
          <w:iCs/>
          <w:spacing w:val="15"/>
          <w:szCs w:val="24"/>
        </w:rPr>
      </w:pPr>
      <w:bookmarkStart w:id="572" w:name="_Toc11133229"/>
      <w:bookmarkStart w:id="573" w:name="_Toc43931202"/>
      <w:bookmarkStart w:id="574" w:name="_Toc75952334"/>
      <w:bookmarkStart w:id="575" w:name="_Toc106106791"/>
      <w:bookmarkStart w:id="576" w:name="_Toc109802114"/>
      <w:bookmarkStart w:id="577" w:name="_Toc144104270"/>
      <w:r w:rsidRPr="00730B1E">
        <w:br w:type="page"/>
      </w:r>
    </w:p>
    <w:p w14:paraId="77F1CF02" w14:textId="0EB0568F" w:rsidR="00D93FBA" w:rsidRPr="00730B1E" w:rsidRDefault="00D93FBA" w:rsidP="00D93FBA">
      <w:pPr>
        <w:pStyle w:val="Podnadpis"/>
        <w:rPr>
          <w:color w:val="auto"/>
        </w:rPr>
      </w:pPr>
      <w:bookmarkStart w:id="578" w:name="_Toc169251086"/>
      <w:bookmarkStart w:id="579" w:name="_Toc174080772"/>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29</w:t>
      </w:r>
      <w:r w:rsidRPr="00730B1E">
        <w:rPr>
          <w:noProof/>
          <w:color w:val="auto"/>
        </w:rPr>
        <w:fldChar w:fldCharType="end"/>
      </w:r>
      <w:r w:rsidRPr="00730B1E">
        <w:rPr>
          <w:color w:val="auto"/>
        </w:rPr>
        <w:t>: OS – vyřizování opatrovnických věcí dle krajů</w:t>
      </w:r>
      <w:bookmarkEnd w:id="572"/>
      <w:bookmarkEnd w:id="573"/>
      <w:bookmarkEnd w:id="574"/>
      <w:bookmarkEnd w:id="575"/>
      <w:bookmarkEnd w:id="576"/>
      <w:bookmarkEnd w:id="577"/>
      <w:r w:rsidR="002263C3" w:rsidRPr="00730B1E">
        <w:rPr>
          <w:color w:val="auto"/>
        </w:rPr>
        <w:t>, 2023</w:t>
      </w:r>
      <w:bookmarkEnd w:id="578"/>
      <w:bookmarkEnd w:id="579"/>
    </w:p>
    <w:tbl>
      <w:tblPr>
        <w:tblW w:w="9140" w:type="dxa"/>
        <w:tblCellMar>
          <w:left w:w="70" w:type="dxa"/>
          <w:right w:w="70" w:type="dxa"/>
        </w:tblCellMar>
        <w:tblLook w:val="04A0" w:firstRow="1" w:lastRow="0" w:firstColumn="1" w:lastColumn="0" w:noHBand="0" w:noVBand="1"/>
      </w:tblPr>
      <w:tblGrid>
        <w:gridCol w:w="2020"/>
        <w:gridCol w:w="1065"/>
        <w:gridCol w:w="825"/>
        <w:gridCol w:w="1090"/>
        <w:gridCol w:w="825"/>
        <w:gridCol w:w="951"/>
        <w:gridCol w:w="825"/>
        <w:gridCol w:w="1539"/>
      </w:tblGrid>
      <w:tr w:rsidR="00B64E96" w:rsidRPr="00730B1E" w14:paraId="1DC67FF7" w14:textId="77777777" w:rsidTr="00DD1C79">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9A0EF31"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14:paraId="7E04D9ED"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14:paraId="1B2962F8"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254966CE" w14:textId="77777777" w:rsidTr="00DD1C79">
        <w:trPr>
          <w:trHeight w:val="330"/>
        </w:trPr>
        <w:tc>
          <w:tcPr>
            <w:tcW w:w="2020" w:type="dxa"/>
            <w:vMerge/>
            <w:tcBorders>
              <w:top w:val="double" w:sz="6" w:space="0" w:color="auto"/>
              <w:left w:val="nil"/>
              <w:bottom w:val="double" w:sz="6" w:space="0" w:color="000000"/>
              <w:right w:val="nil"/>
            </w:tcBorders>
            <w:vAlign w:val="center"/>
            <w:hideMark/>
          </w:tcPr>
          <w:p w14:paraId="6327DF39" w14:textId="77777777" w:rsidR="00DD1C79" w:rsidRPr="00730B1E" w:rsidRDefault="00DD1C79" w:rsidP="00DD1C79">
            <w:pPr>
              <w:spacing w:line="240" w:lineRule="auto"/>
              <w:jc w:val="left"/>
              <w:rPr>
                <w:rFonts w:eastAsia="Times New Roman"/>
                <w:b/>
                <w:bCs/>
                <w:szCs w:val="24"/>
                <w:lang w:eastAsia="cs-CZ"/>
              </w:rPr>
            </w:pPr>
          </w:p>
        </w:tc>
        <w:tc>
          <w:tcPr>
            <w:tcW w:w="1890" w:type="dxa"/>
            <w:gridSpan w:val="2"/>
            <w:tcBorders>
              <w:top w:val="nil"/>
              <w:left w:val="nil"/>
              <w:bottom w:val="double" w:sz="6" w:space="0" w:color="auto"/>
              <w:right w:val="nil"/>
            </w:tcBorders>
            <w:shd w:val="clear" w:color="auto" w:fill="auto"/>
            <w:noWrap/>
            <w:vAlign w:val="center"/>
            <w:hideMark/>
          </w:tcPr>
          <w:p w14:paraId="0BAB8C44" w14:textId="1E1CE00A"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91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F30B829"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776" w:type="dxa"/>
            <w:gridSpan w:val="2"/>
            <w:tcBorders>
              <w:top w:val="nil"/>
              <w:left w:val="nil"/>
              <w:bottom w:val="double" w:sz="6" w:space="0" w:color="auto"/>
              <w:right w:val="single" w:sz="4" w:space="0" w:color="000000"/>
            </w:tcBorders>
            <w:shd w:val="clear" w:color="auto" w:fill="auto"/>
            <w:noWrap/>
            <w:vAlign w:val="center"/>
            <w:hideMark/>
          </w:tcPr>
          <w:p w14:paraId="1B15E439"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14:paraId="31E124B1" w14:textId="77777777" w:rsidR="00DD1C79" w:rsidRPr="00730B1E" w:rsidRDefault="00DD1C79" w:rsidP="00DD1C79">
            <w:pPr>
              <w:spacing w:line="240" w:lineRule="auto"/>
              <w:jc w:val="left"/>
              <w:rPr>
                <w:rFonts w:eastAsia="Times New Roman"/>
                <w:b/>
                <w:bCs/>
                <w:szCs w:val="24"/>
                <w:lang w:eastAsia="cs-CZ"/>
              </w:rPr>
            </w:pPr>
          </w:p>
        </w:tc>
      </w:tr>
      <w:tr w:rsidR="00B64E96" w:rsidRPr="00730B1E" w14:paraId="2DAEFD60" w14:textId="77777777" w:rsidTr="00DD1C79">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BF9B1C6"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MS Praha</w:t>
            </w:r>
          </w:p>
        </w:tc>
        <w:tc>
          <w:tcPr>
            <w:tcW w:w="1065" w:type="dxa"/>
            <w:tcBorders>
              <w:top w:val="single" w:sz="4" w:space="0" w:color="auto"/>
              <w:left w:val="nil"/>
              <w:bottom w:val="single" w:sz="4" w:space="0" w:color="auto"/>
              <w:right w:val="nil"/>
            </w:tcBorders>
            <w:shd w:val="clear" w:color="auto" w:fill="auto"/>
            <w:noWrap/>
            <w:vAlign w:val="bottom"/>
            <w:hideMark/>
          </w:tcPr>
          <w:p w14:paraId="0525B09B"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13 366</w:t>
            </w:r>
          </w:p>
        </w:tc>
        <w:tc>
          <w:tcPr>
            <w:tcW w:w="825" w:type="dxa"/>
            <w:tcBorders>
              <w:top w:val="single" w:sz="4" w:space="0" w:color="auto"/>
              <w:left w:val="nil"/>
              <w:bottom w:val="single" w:sz="4" w:space="0" w:color="auto"/>
              <w:right w:val="nil"/>
            </w:tcBorders>
            <w:shd w:val="clear" w:color="auto" w:fill="auto"/>
            <w:noWrap/>
            <w:vAlign w:val="center"/>
            <w:hideMark/>
          </w:tcPr>
          <w:p w14:paraId="11F4DC37"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1090" w:type="dxa"/>
            <w:tcBorders>
              <w:top w:val="single" w:sz="4" w:space="0" w:color="auto"/>
              <w:left w:val="single" w:sz="4" w:space="0" w:color="auto"/>
              <w:bottom w:val="single" w:sz="4" w:space="0" w:color="auto"/>
              <w:right w:val="nil"/>
            </w:tcBorders>
            <w:shd w:val="clear" w:color="auto" w:fill="auto"/>
            <w:noWrap/>
            <w:vAlign w:val="bottom"/>
            <w:hideMark/>
          </w:tcPr>
          <w:p w14:paraId="79B0DC67"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13 392</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14:paraId="110464FD"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951" w:type="dxa"/>
            <w:tcBorders>
              <w:top w:val="single" w:sz="4" w:space="0" w:color="auto"/>
              <w:left w:val="nil"/>
              <w:bottom w:val="single" w:sz="4" w:space="0" w:color="auto"/>
              <w:right w:val="nil"/>
            </w:tcBorders>
            <w:shd w:val="clear" w:color="auto" w:fill="auto"/>
            <w:noWrap/>
            <w:vAlign w:val="bottom"/>
            <w:hideMark/>
          </w:tcPr>
          <w:p w14:paraId="70A30444"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3 598</w:t>
            </w:r>
          </w:p>
        </w:tc>
        <w:tc>
          <w:tcPr>
            <w:tcW w:w="825" w:type="dxa"/>
            <w:tcBorders>
              <w:top w:val="single" w:sz="4" w:space="0" w:color="auto"/>
              <w:left w:val="nil"/>
              <w:bottom w:val="single" w:sz="4" w:space="0" w:color="auto"/>
              <w:right w:val="single" w:sz="4" w:space="0" w:color="auto"/>
            </w:tcBorders>
            <w:shd w:val="clear" w:color="auto" w:fill="auto"/>
            <w:noWrap/>
            <w:vAlign w:val="center"/>
            <w:hideMark/>
          </w:tcPr>
          <w:p w14:paraId="38E7940C"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539" w:type="dxa"/>
            <w:tcBorders>
              <w:top w:val="nil"/>
              <w:left w:val="nil"/>
              <w:bottom w:val="single" w:sz="4" w:space="0" w:color="auto"/>
              <w:right w:val="nil"/>
            </w:tcBorders>
            <w:shd w:val="clear" w:color="auto" w:fill="auto"/>
            <w:noWrap/>
            <w:vAlign w:val="center"/>
            <w:hideMark/>
          </w:tcPr>
          <w:p w14:paraId="27276734" w14:textId="6FDDE0B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100,2 %</w:t>
            </w:r>
          </w:p>
        </w:tc>
      </w:tr>
      <w:tr w:rsidR="00B64E96" w:rsidRPr="00730B1E" w14:paraId="38DE5A82" w14:textId="77777777" w:rsidTr="00DD1C79">
        <w:trPr>
          <w:trHeight w:val="315"/>
        </w:trPr>
        <w:tc>
          <w:tcPr>
            <w:tcW w:w="2020" w:type="dxa"/>
            <w:tcBorders>
              <w:top w:val="nil"/>
              <w:left w:val="nil"/>
              <w:bottom w:val="single" w:sz="4" w:space="0" w:color="auto"/>
              <w:right w:val="nil"/>
            </w:tcBorders>
            <w:shd w:val="clear" w:color="auto" w:fill="auto"/>
            <w:noWrap/>
            <w:vAlign w:val="bottom"/>
            <w:hideMark/>
          </w:tcPr>
          <w:p w14:paraId="2D3B0A4B"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Praha</w:t>
            </w:r>
          </w:p>
        </w:tc>
        <w:tc>
          <w:tcPr>
            <w:tcW w:w="1065" w:type="dxa"/>
            <w:tcBorders>
              <w:top w:val="nil"/>
              <w:left w:val="nil"/>
              <w:bottom w:val="single" w:sz="4" w:space="0" w:color="auto"/>
              <w:right w:val="nil"/>
            </w:tcBorders>
            <w:shd w:val="clear" w:color="auto" w:fill="auto"/>
            <w:noWrap/>
            <w:vAlign w:val="bottom"/>
            <w:hideMark/>
          </w:tcPr>
          <w:p w14:paraId="4D069E7C"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20 198</w:t>
            </w:r>
          </w:p>
        </w:tc>
        <w:tc>
          <w:tcPr>
            <w:tcW w:w="825" w:type="dxa"/>
            <w:tcBorders>
              <w:top w:val="nil"/>
              <w:left w:val="nil"/>
              <w:bottom w:val="single" w:sz="4" w:space="0" w:color="auto"/>
              <w:right w:val="nil"/>
            </w:tcBorders>
            <w:shd w:val="clear" w:color="auto" w:fill="auto"/>
            <w:noWrap/>
            <w:vAlign w:val="center"/>
            <w:hideMark/>
          </w:tcPr>
          <w:p w14:paraId="11FAE094"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90" w:type="dxa"/>
            <w:tcBorders>
              <w:top w:val="nil"/>
              <w:left w:val="single" w:sz="4" w:space="0" w:color="auto"/>
              <w:bottom w:val="single" w:sz="4" w:space="0" w:color="auto"/>
              <w:right w:val="nil"/>
            </w:tcBorders>
            <w:shd w:val="clear" w:color="auto" w:fill="auto"/>
            <w:noWrap/>
            <w:vAlign w:val="bottom"/>
            <w:hideMark/>
          </w:tcPr>
          <w:p w14:paraId="608645F6"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20 030</w:t>
            </w:r>
          </w:p>
        </w:tc>
        <w:tc>
          <w:tcPr>
            <w:tcW w:w="825" w:type="dxa"/>
            <w:tcBorders>
              <w:top w:val="nil"/>
              <w:left w:val="nil"/>
              <w:bottom w:val="single" w:sz="4" w:space="0" w:color="auto"/>
              <w:right w:val="single" w:sz="4" w:space="0" w:color="auto"/>
            </w:tcBorders>
            <w:shd w:val="clear" w:color="auto" w:fill="auto"/>
            <w:noWrap/>
            <w:vAlign w:val="center"/>
            <w:hideMark/>
          </w:tcPr>
          <w:p w14:paraId="1A36D10D"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51" w:type="dxa"/>
            <w:tcBorders>
              <w:top w:val="nil"/>
              <w:left w:val="nil"/>
              <w:bottom w:val="single" w:sz="4" w:space="0" w:color="auto"/>
              <w:right w:val="nil"/>
            </w:tcBorders>
            <w:shd w:val="clear" w:color="auto" w:fill="auto"/>
            <w:noWrap/>
            <w:vAlign w:val="bottom"/>
            <w:hideMark/>
          </w:tcPr>
          <w:p w14:paraId="43FE9BAA"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4 372</w:t>
            </w:r>
          </w:p>
        </w:tc>
        <w:tc>
          <w:tcPr>
            <w:tcW w:w="825" w:type="dxa"/>
            <w:tcBorders>
              <w:top w:val="nil"/>
              <w:left w:val="nil"/>
              <w:bottom w:val="single" w:sz="4" w:space="0" w:color="auto"/>
              <w:right w:val="single" w:sz="4" w:space="0" w:color="auto"/>
            </w:tcBorders>
            <w:shd w:val="clear" w:color="auto" w:fill="auto"/>
            <w:noWrap/>
            <w:vAlign w:val="center"/>
            <w:hideMark/>
          </w:tcPr>
          <w:p w14:paraId="19A6AE97"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1539" w:type="dxa"/>
            <w:tcBorders>
              <w:top w:val="nil"/>
              <w:left w:val="nil"/>
              <w:bottom w:val="single" w:sz="4" w:space="0" w:color="auto"/>
              <w:right w:val="nil"/>
            </w:tcBorders>
            <w:shd w:val="clear" w:color="auto" w:fill="auto"/>
            <w:noWrap/>
            <w:vAlign w:val="center"/>
            <w:hideMark/>
          </w:tcPr>
          <w:p w14:paraId="2A848490" w14:textId="397969AB"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99,2 %</w:t>
            </w:r>
          </w:p>
        </w:tc>
      </w:tr>
      <w:tr w:rsidR="00B64E96" w:rsidRPr="00730B1E" w14:paraId="375AB0F8" w14:textId="77777777" w:rsidTr="00DD1C79">
        <w:trPr>
          <w:trHeight w:val="315"/>
        </w:trPr>
        <w:tc>
          <w:tcPr>
            <w:tcW w:w="2020" w:type="dxa"/>
            <w:tcBorders>
              <w:top w:val="nil"/>
              <w:left w:val="nil"/>
              <w:bottom w:val="single" w:sz="4" w:space="0" w:color="auto"/>
              <w:right w:val="nil"/>
            </w:tcBorders>
            <w:shd w:val="clear" w:color="auto" w:fill="auto"/>
            <w:noWrap/>
            <w:vAlign w:val="bottom"/>
            <w:hideMark/>
          </w:tcPr>
          <w:p w14:paraId="45431108"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Č. Budějovice</w:t>
            </w:r>
          </w:p>
        </w:tc>
        <w:tc>
          <w:tcPr>
            <w:tcW w:w="1065" w:type="dxa"/>
            <w:tcBorders>
              <w:top w:val="nil"/>
              <w:left w:val="nil"/>
              <w:bottom w:val="single" w:sz="4" w:space="0" w:color="auto"/>
              <w:right w:val="nil"/>
            </w:tcBorders>
            <w:shd w:val="clear" w:color="auto" w:fill="auto"/>
            <w:noWrap/>
            <w:vAlign w:val="bottom"/>
            <w:hideMark/>
          </w:tcPr>
          <w:p w14:paraId="38F137A6"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9 302</w:t>
            </w:r>
          </w:p>
        </w:tc>
        <w:tc>
          <w:tcPr>
            <w:tcW w:w="825" w:type="dxa"/>
            <w:tcBorders>
              <w:top w:val="nil"/>
              <w:left w:val="nil"/>
              <w:bottom w:val="single" w:sz="4" w:space="0" w:color="auto"/>
              <w:right w:val="nil"/>
            </w:tcBorders>
            <w:shd w:val="clear" w:color="auto" w:fill="auto"/>
            <w:noWrap/>
            <w:vAlign w:val="center"/>
            <w:hideMark/>
          </w:tcPr>
          <w:p w14:paraId="18F0A9AF"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090" w:type="dxa"/>
            <w:tcBorders>
              <w:top w:val="nil"/>
              <w:left w:val="single" w:sz="4" w:space="0" w:color="auto"/>
              <w:bottom w:val="single" w:sz="4" w:space="0" w:color="auto"/>
              <w:right w:val="nil"/>
            </w:tcBorders>
            <w:shd w:val="clear" w:color="auto" w:fill="auto"/>
            <w:noWrap/>
            <w:vAlign w:val="bottom"/>
            <w:hideMark/>
          </w:tcPr>
          <w:p w14:paraId="63AA51E6"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9 246</w:t>
            </w:r>
          </w:p>
        </w:tc>
        <w:tc>
          <w:tcPr>
            <w:tcW w:w="825" w:type="dxa"/>
            <w:tcBorders>
              <w:top w:val="nil"/>
              <w:left w:val="nil"/>
              <w:bottom w:val="single" w:sz="4" w:space="0" w:color="auto"/>
              <w:right w:val="single" w:sz="4" w:space="0" w:color="auto"/>
            </w:tcBorders>
            <w:shd w:val="clear" w:color="auto" w:fill="auto"/>
            <w:noWrap/>
            <w:vAlign w:val="center"/>
            <w:hideMark/>
          </w:tcPr>
          <w:p w14:paraId="1814CEA8"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951" w:type="dxa"/>
            <w:tcBorders>
              <w:top w:val="nil"/>
              <w:left w:val="nil"/>
              <w:bottom w:val="single" w:sz="4" w:space="0" w:color="auto"/>
              <w:right w:val="nil"/>
            </w:tcBorders>
            <w:shd w:val="clear" w:color="auto" w:fill="auto"/>
            <w:noWrap/>
            <w:vAlign w:val="bottom"/>
            <w:hideMark/>
          </w:tcPr>
          <w:p w14:paraId="7148BE4C"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2 006</w:t>
            </w:r>
          </w:p>
        </w:tc>
        <w:tc>
          <w:tcPr>
            <w:tcW w:w="825" w:type="dxa"/>
            <w:tcBorders>
              <w:top w:val="nil"/>
              <w:left w:val="nil"/>
              <w:bottom w:val="single" w:sz="4" w:space="0" w:color="auto"/>
              <w:right w:val="single" w:sz="4" w:space="0" w:color="auto"/>
            </w:tcBorders>
            <w:shd w:val="clear" w:color="auto" w:fill="auto"/>
            <w:noWrap/>
            <w:vAlign w:val="center"/>
            <w:hideMark/>
          </w:tcPr>
          <w:p w14:paraId="0EB95D74"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539" w:type="dxa"/>
            <w:tcBorders>
              <w:top w:val="nil"/>
              <w:left w:val="nil"/>
              <w:bottom w:val="single" w:sz="4" w:space="0" w:color="auto"/>
              <w:right w:val="nil"/>
            </w:tcBorders>
            <w:shd w:val="clear" w:color="auto" w:fill="auto"/>
            <w:noWrap/>
            <w:vAlign w:val="center"/>
            <w:hideMark/>
          </w:tcPr>
          <w:p w14:paraId="7842D7B8" w14:textId="46EEC111"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99,4 %</w:t>
            </w:r>
          </w:p>
        </w:tc>
      </w:tr>
      <w:tr w:rsidR="00B64E96" w:rsidRPr="00730B1E" w14:paraId="637662AC" w14:textId="77777777" w:rsidTr="00DD1C79">
        <w:trPr>
          <w:trHeight w:val="315"/>
        </w:trPr>
        <w:tc>
          <w:tcPr>
            <w:tcW w:w="2020" w:type="dxa"/>
            <w:tcBorders>
              <w:top w:val="nil"/>
              <w:left w:val="nil"/>
              <w:bottom w:val="single" w:sz="4" w:space="0" w:color="auto"/>
              <w:right w:val="nil"/>
            </w:tcBorders>
            <w:shd w:val="clear" w:color="auto" w:fill="auto"/>
            <w:noWrap/>
            <w:vAlign w:val="bottom"/>
            <w:hideMark/>
          </w:tcPr>
          <w:p w14:paraId="2D43EF24"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Plzeň</w:t>
            </w:r>
          </w:p>
        </w:tc>
        <w:tc>
          <w:tcPr>
            <w:tcW w:w="1065" w:type="dxa"/>
            <w:tcBorders>
              <w:top w:val="nil"/>
              <w:left w:val="nil"/>
              <w:bottom w:val="single" w:sz="4" w:space="0" w:color="auto"/>
              <w:right w:val="nil"/>
            </w:tcBorders>
            <w:shd w:val="clear" w:color="auto" w:fill="auto"/>
            <w:noWrap/>
            <w:vAlign w:val="bottom"/>
            <w:hideMark/>
          </w:tcPr>
          <w:p w14:paraId="2239F1C6"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13 482</w:t>
            </w:r>
          </w:p>
        </w:tc>
        <w:tc>
          <w:tcPr>
            <w:tcW w:w="825" w:type="dxa"/>
            <w:tcBorders>
              <w:top w:val="nil"/>
              <w:left w:val="nil"/>
              <w:bottom w:val="single" w:sz="4" w:space="0" w:color="auto"/>
              <w:right w:val="nil"/>
            </w:tcBorders>
            <w:shd w:val="clear" w:color="auto" w:fill="auto"/>
            <w:noWrap/>
            <w:vAlign w:val="center"/>
            <w:hideMark/>
          </w:tcPr>
          <w:p w14:paraId="23FD0D87"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90" w:type="dxa"/>
            <w:tcBorders>
              <w:top w:val="nil"/>
              <w:left w:val="single" w:sz="4" w:space="0" w:color="auto"/>
              <w:bottom w:val="single" w:sz="4" w:space="0" w:color="auto"/>
              <w:right w:val="nil"/>
            </w:tcBorders>
            <w:shd w:val="clear" w:color="auto" w:fill="auto"/>
            <w:noWrap/>
            <w:vAlign w:val="bottom"/>
            <w:hideMark/>
          </w:tcPr>
          <w:p w14:paraId="3DFCAA4B"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13 138</w:t>
            </w:r>
          </w:p>
        </w:tc>
        <w:tc>
          <w:tcPr>
            <w:tcW w:w="825" w:type="dxa"/>
            <w:tcBorders>
              <w:top w:val="nil"/>
              <w:left w:val="nil"/>
              <w:bottom w:val="single" w:sz="4" w:space="0" w:color="auto"/>
              <w:right w:val="single" w:sz="4" w:space="0" w:color="auto"/>
            </w:tcBorders>
            <w:shd w:val="clear" w:color="auto" w:fill="auto"/>
            <w:noWrap/>
            <w:vAlign w:val="center"/>
            <w:hideMark/>
          </w:tcPr>
          <w:p w14:paraId="211DC635"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951" w:type="dxa"/>
            <w:tcBorders>
              <w:top w:val="nil"/>
              <w:left w:val="nil"/>
              <w:bottom w:val="single" w:sz="4" w:space="0" w:color="auto"/>
              <w:right w:val="nil"/>
            </w:tcBorders>
            <w:shd w:val="clear" w:color="auto" w:fill="auto"/>
            <w:noWrap/>
            <w:vAlign w:val="bottom"/>
            <w:hideMark/>
          </w:tcPr>
          <w:p w14:paraId="0E499342"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3 781</w:t>
            </w:r>
          </w:p>
        </w:tc>
        <w:tc>
          <w:tcPr>
            <w:tcW w:w="825" w:type="dxa"/>
            <w:tcBorders>
              <w:top w:val="nil"/>
              <w:left w:val="nil"/>
              <w:bottom w:val="single" w:sz="4" w:space="0" w:color="auto"/>
              <w:right w:val="single" w:sz="4" w:space="0" w:color="auto"/>
            </w:tcBorders>
            <w:shd w:val="clear" w:color="auto" w:fill="auto"/>
            <w:noWrap/>
            <w:vAlign w:val="center"/>
            <w:hideMark/>
          </w:tcPr>
          <w:p w14:paraId="37A300B3"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539" w:type="dxa"/>
            <w:tcBorders>
              <w:top w:val="nil"/>
              <w:left w:val="nil"/>
              <w:bottom w:val="single" w:sz="4" w:space="0" w:color="auto"/>
              <w:right w:val="nil"/>
            </w:tcBorders>
            <w:shd w:val="clear" w:color="auto" w:fill="auto"/>
            <w:noWrap/>
            <w:vAlign w:val="center"/>
            <w:hideMark/>
          </w:tcPr>
          <w:p w14:paraId="035EB5F0" w14:textId="2D9C7A8D"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97,4 %</w:t>
            </w:r>
          </w:p>
        </w:tc>
      </w:tr>
      <w:tr w:rsidR="00B64E96" w:rsidRPr="00730B1E" w14:paraId="0044D502" w14:textId="77777777" w:rsidTr="00DD1C79">
        <w:trPr>
          <w:trHeight w:val="315"/>
        </w:trPr>
        <w:tc>
          <w:tcPr>
            <w:tcW w:w="2020" w:type="dxa"/>
            <w:tcBorders>
              <w:top w:val="nil"/>
              <w:left w:val="nil"/>
              <w:bottom w:val="single" w:sz="4" w:space="0" w:color="auto"/>
              <w:right w:val="nil"/>
            </w:tcBorders>
            <w:shd w:val="clear" w:color="auto" w:fill="auto"/>
            <w:noWrap/>
            <w:vAlign w:val="bottom"/>
            <w:hideMark/>
          </w:tcPr>
          <w:p w14:paraId="4FB439F3"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Ústí n. Labem</w:t>
            </w:r>
          </w:p>
        </w:tc>
        <w:tc>
          <w:tcPr>
            <w:tcW w:w="1065" w:type="dxa"/>
            <w:tcBorders>
              <w:top w:val="nil"/>
              <w:left w:val="nil"/>
              <w:bottom w:val="single" w:sz="4" w:space="0" w:color="auto"/>
              <w:right w:val="nil"/>
            </w:tcBorders>
            <w:shd w:val="clear" w:color="auto" w:fill="auto"/>
            <w:noWrap/>
            <w:vAlign w:val="bottom"/>
            <w:hideMark/>
          </w:tcPr>
          <w:p w14:paraId="501FF478"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19 439</w:t>
            </w:r>
          </w:p>
        </w:tc>
        <w:tc>
          <w:tcPr>
            <w:tcW w:w="825" w:type="dxa"/>
            <w:tcBorders>
              <w:top w:val="nil"/>
              <w:left w:val="nil"/>
              <w:bottom w:val="single" w:sz="4" w:space="0" w:color="auto"/>
              <w:right w:val="nil"/>
            </w:tcBorders>
            <w:shd w:val="clear" w:color="auto" w:fill="auto"/>
            <w:noWrap/>
            <w:vAlign w:val="center"/>
            <w:hideMark/>
          </w:tcPr>
          <w:p w14:paraId="74F28D96"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90" w:type="dxa"/>
            <w:tcBorders>
              <w:top w:val="nil"/>
              <w:left w:val="single" w:sz="4" w:space="0" w:color="auto"/>
              <w:bottom w:val="single" w:sz="4" w:space="0" w:color="auto"/>
              <w:right w:val="nil"/>
            </w:tcBorders>
            <w:shd w:val="clear" w:color="auto" w:fill="auto"/>
            <w:noWrap/>
            <w:vAlign w:val="bottom"/>
            <w:hideMark/>
          </w:tcPr>
          <w:p w14:paraId="182EA636"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19 344</w:t>
            </w:r>
          </w:p>
        </w:tc>
        <w:tc>
          <w:tcPr>
            <w:tcW w:w="825" w:type="dxa"/>
            <w:tcBorders>
              <w:top w:val="nil"/>
              <w:left w:val="nil"/>
              <w:bottom w:val="single" w:sz="4" w:space="0" w:color="auto"/>
              <w:right w:val="single" w:sz="4" w:space="0" w:color="auto"/>
            </w:tcBorders>
            <w:shd w:val="clear" w:color="auto" w:fill="auto"/>
            <w:noWrap/>
            <w:vAlign w:val="center"/>
            <w:hideMark/>
          </w:tcPr>
          <w:p w14:paraId="50AB1CB0"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951" w:type="dxa"/>
            <w:tcBorders>
              <w:top w:val="nil"/>
              <w:left w:val="nil"/>
              <w:bottom w:val="single" w:sz="4" w:space="0" w:color="auto"/>
              <w:right w:val="nil"/>
            </w:tcBorders>
            <w:shd w:val="clear" w:color="auto" w:fill="auto"/>
            <w:noWrap/>
            <w:vAlign w:val="bottom"/>
            <w:hideMark/>
          </w:tcPr>
          <w:p w14:paraId="4F78792F"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5 334</w:t>
            </w:r>
          </w:p>
        </w:tc>
        <w:tc>
          <w:tcPr>
            <w:tcW w:w="825" w:type="dxa"/>
            <w:tcBorders>
              <w:top w:val="nil"/>
              <w:left w:val="nil"/>
              <w:bottom w:val="single" w:sz="4" w:space="0" w:color="auto"/>
              <w:right w:val="single" w:sz="4" w:space="0" w:color="auto"/>
            </w:tcBorders>
            <w:shd w:val="clear" w:color="auto" w:fill="auto"/>
            <w:noWrap/>
            <w:vAlign w:val="center"/>
            <w:hideMark/>
          </w:tcPr>
          <w:p w14:paraId="5BCDD378"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539" w:type="dxa"/>
            <w:tcBorders>
              <w:top w:val="nil"/>
              <w:left w:val="nil"/>
              <w:bottom w:val="single" w:sz="4" w:space="0" w:color="auto"/>
              <w:right w:val="nil"/>
            </w:tcBorders>
            <w:shd w:val="clear" w:color="auto" w:fill="auto"/>
            <w:noWrap/>
            <w:vAlign w:val="center"/>
            <w:hideMark/>
          </w:tcPr>
          <w:p w14:paraId="023682CE" w14:textId="5D3574E1"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99,5 %</w:t>
            </w:r>
          </w:p>
        </w:tc>
      </w:tr>
      <w:tr w:rsidR="00B64E96" w:rsidRPr="00730B1E" w14:paraId="2E6AE7EE" w14:textId="77777777" w:rsidTr="00DD1C79">
        <w:trPr>
          <w:trHeight w:val="315"/>
        </w:trPr>
        <w:tc>
          <w:tcPr>
            <w:tcW w:w="2020" w:type="dxa"/>
            <w:tcBorders>
              <w:top w:val="nil"/>
              <w:left w:val="nil"/>
              <w:bottom w:val="single" w:sz="4" w:space="0" w:color="auto"/>
              <w:right w:val="nil"/>
            </w:tcBorders>
            <w:shd w:val="clear" w:color="auto" w:fill="auto"/>
            <w:noWrap/>
            <w:vAlign w:val="bottom"/>
            <w:hideMark/>
          </w:tcPr>
          <w:p w14:paraId="6BAC5BBC"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Hr. Králové</w:t>
            </w:r>
          </w:p>
        </w:tc>
        <w:tc>
          <w:tcPr>
            <w:tcW w:w="1065" w:type="dxa"/>
            <w:tcBorders>
              <w:top w:val="nil"/>
              <w:left w:val="nil"/>
              <w:bottom w:val="single" w:sz="4" w:space="0" w:color="auto"/>
              <w:right w:val="nil"/>
            </w:tcBorders>
            <w:shd w:val="clear" w:color="auto" w:fill="auto"/>
            <w:noWrap/>
            <w:vAlign w:val="bottom"/>
            <w:hideMark/>
          </w:tcPr>
          <w:p w14:paraId="4E481A00"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16 568</w:t>
            </w:r>
          </w:p>
        </w:tc>
        <w:tc>
          <w:tcPr>
            <w:tcW w:w="825" w:type="dxa"/>
            <w:tcBorders>
              <w:top w:val="nil"/>
              <w:left w:val="nil"/>
              <w:bottom w:val="single" w:sz="4" w:space="0" w:color="auto"/>
              <w:right w:val="nil"/>
            </w:tcBorders>
            <w:shd w:val="clear" w:color="auto" w:fill="auto"/>
            <w:noWrap/>
            <w:vAlign w:val="center"/>
            <w:hideMark/>
          </w:tcPr>
          <w:p w14:paraId="3F1A526F"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1090" w:type="dxa"/>
            <w:tcBorders>
              <w:top w:val="nil"/>
              <w:left w:val="single" w:sz="4" w:space="0" w:color="auto"/>
              <w:bottom w:val="single" w:sz="4" w:space="0" w:color="auto"/>
              <w:right w:val="nil"/>
            </w:tcBorders>
            <w:shd w:val="clear" w:color="auto" w:fill="auto"/>
            <w:noWrap/>
            <w:vAlign w:val="bottom"/>
            <w:hideMark/>
          </w:tcPr>
          <w:p w14:paraId="6FD93D65"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15 752</w:t>
            </w:r>
          </w:p>
        </w:tc>
        <w:tc>
          <w:tcPr>
            <w:tcW w:w="825" w:type="dxa"/>
            <w:tcBorders>
              <w:top w:val="nil"/>
              <w:left w:val="nil"/>
              <w:bottom w:val="single" w:sz="4" w:space="0" w:color="auto"/>
              <w:right w:val="single" w:sz="4" w:space="0" w:color="auto"/>
            </w:tcBorders>
            <w:shd w:val="clear" w:color="auto" w:fill="auto"/>
            <w:noWrap/>
            <w:vAlign w:val="center"/>
            <w:hideMark/>
          </w:tcPr>
          <w:p w14:paraId="7C153A0F"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951" w:type="dxa"/>
            <w:tcBorders>
              <w:top w:val="nil"/>
              <w:left w:val="nil"/>
              <w:bottom w:val="single" w:sz="4" w:space="0" w:color="auto"/>
              <w:right w:val="nil"/>
            </w:tcBorders>
            <w:shd w:val="clear" w:color="auto" w:fill="auto"/>
            <w:noWrap/>
            <w:vAlign w:val="bottom"/>
            <w:hideMark/>
          </w:tcPr>
          <w:p w14:paraId="556140B7"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4 797</w:t>
            </w:r>
          </w:p>
        </w:tc>
        <w:tc>
          <w:tcPr>
            <w:tcW w:w="825" w:type="dxa"/>
            <w:tcBorders>
              <w:top w:val="nil"/>
              <w:left w:val="nil"/>
              <w:bottom w:val="single" w:sz="4" w:space="0" w:color="auto"/>
              <w:right w:val="single" w:sz="4" w:space="0" w:color="auto"/>
            </w:tcBorders>
            <w:shd w:val="clear" w:color="auto" w:fill="auto"/>
            <w:noWrap/>
            <w:vAlign w:val="center"/>
            <w:hideMark/>
          </w:tcPr>
          <w:p w14:paraId="0EFCA2A5"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+21 %  </w:t>
            </w:r>
          </w:p>
        </w:tc>
        <w:tc>
          <w:tcPr>
            <w:tcW w:w="1539" w:type="dxa"/>
            <w:tcBorders>
              <w:top w:val="nil"/>
              <w:left w:val="nil"/>
              <w:bottom w:val="single" w:sz="4" w:space="0" w:color="auto"/>
              <w:right w:val="nil"/>
            </w:tcBorders>
            <w:shd w:val="clear" w:color="auto" w:fill="auto"/>
            <w:noWrap/>
            <w:vAlign w:val="center"/>
            <w:hideMark/>
          </w:tcPr>
          <w:p w14:paraId="0CF85894" w14:textId="19DE9605"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95,1 %</w:t>
            </w:r>
          </w:p>
        </w:tc>
      </w:tr>
      <w:tr w:rsidR="00B64E96" w:rsidRPr="00730B1E" w14:paraId="4FB9C521" w14:textId="77777777" w:rsidTr="00DD1C79">
        <w:trPr>
          <w:trHeight w:val="315"/>
        </w:trPr>
        <w:tc>
          <w:tcPr>
            <w:tcW w:w="2020" w:type="dxa"/>
            <w:tcBorders>
              <w:top w:val="nil"/>
              <w:left w:val="nil"/>
              <w:bottom w:val="single" w:sz="4" w:space="0" w:color="auto"/>
              <w:right w:val="nil"/>
            </w:tcBorders>
            <w:shd w:val="clear" w:color="auto" w:fill="auto"/>
            <w:noWrap/>
            <w:vAlign w:val="bottom"/>
            <w:hideMark/>
          </w:tcPr>
          <w:p w14:paraId="565057D9"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Brno</w:t>
            </w:r>
          </w:p>
        </w:tc>
        <w:tc>
          <w:tcPr>
            <w:tcW w:w="1065" w:type="dxa"/>
            <w:tcBorders>
              <w:top w:val="nil"/>
              <w:left w:val="nil"/>
              <w:bottom w:val="single" w:sz="4" w:space="0" w:color="auto"/>
              <w:right w:val="nil"/>
            </w:tcBorders>
            <w:shd w:val="clear" w:color="auto" w:fill="auto"/>
            <w:noWrap/>
            <w:vAlign w:val="bottom"/>
            <w:hideMark/>
          </w:tcPr>
          <w:p w14:paraId="6346F71F"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23 345</w:t>
            </w:r>
          </w:p>
        </w:tc>
        <w:tc>
          <w:tcPr>
            <w:tcW w:w="825" w:type="dxa"/>
            <w:tcBorders>
              <w:top w:val="nil"/>
              <w:left w:val="nil"/>
              <w:bottom w:val="single" w:sz="4" w:space="0" w:color="auto"/>
              <w:right w:val="nil"/>
            </w:tcBorders>
            <w:shd w:val="clear" w:color="auto" w:fill="auto"/>
            <w:noWrap/>
            <w:vAlign w:val="center"/>
            <w:hideMark/>
          </w:tcPr>
          <w:p w14:paraId="3483518E"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090" w:type="dxa"/>
            <w:tcBorders>
              <w:top w:val="nil"/>
              <w:left w:val="single" w:sz="4" w:space="0" w:color="auto"/>
              <w:bottom w:val="single" w:sz="4" w:space="0" w:color="auto"/>
              <w:right w:val="nil"/>
            </w:tcBorders>
            <w:shd w:val="clear" w:color="auto" w:fill="auto"/>
            <w:noWrap/>
            <w:vAlign w:val="bottom"/>
            <w:hideMark/>
          </w:tcPr>
          <w:p w14:paraId="2CDC80A4"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22 330</w:t>
            </w:r>
          </w:p>
        </w:tc>
        <w:tc>
          <w:tcPr>
            <w:tcW w:w="825" w:type="dxa"/>
            <w:tcBorders>
              <w:top w:val="nil"/>
              <w:left w:val="nil"/>
              <w:bottom w:val="single" w:sz="4" w:space="0" w:color="auto"/>
              <w:right w:val="single" w:sz="4" w:space="0" w:color="auto"/>
            </w:tcBorders>
            <w:shd w:val="clear" w:color="auto" w:fill="auto"/>
            <w:noWrap/>
            <w:vAlign w:val="center"/>
            <w:hideMark/>
          </w:tcPr>
          <w:p w14:paraId="223FD511"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51" w:type="dxa"/>
            <w:tcBorders>
              <w:top w:val="nil"/>
              <w:left w:val="nil"/>
              <w:bottom w:val="single" w:sz="4" w:space="0" w:color="auto"/>
              <w:right w:val="nil"/>
            </w:tcBorders>
            <w:shd w:val="clear" w:color="auto" w:fill="auto"/>
            <w:noWrap/>
            <w:vAlign w:val="bottom"/>
            <w:hideMark/>
          </w:tcPr>
          <w:p w14:paraId="05DDBD94"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8 098</w:t>
            </w:r>
          </w:p>
        </w:tc>
        <w:tc>
          <w:tcPr>
            <w:tcW w:w="825" w:type="dxa"/>
            <w:tcBorders>
              <w:top w:val="nil"/>
              <w:left w:val="nil"/>
              <w:bottom w:val="single" w:sz="4" w:space="0" w:color="auto"/>
              <w:right w:val="single" w:sz="4" w:space="0" w:color="auto"/>
            </w:tcBorders>
            <w:shd w:val="clear" w:color="auto" w:fill="auto"/>
            <w:noWrap/>
            <w:vAlign w:val="center"/>
            <w:hideMark/>
          </w:tcPr>
          <w:p w14:paraId="26BE866C"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1539" w:type="dxa"/>
            <w:tcBorders>
              <w:top w:val="nil"/>
              <w:left w:val="nil"/>
              <w:bottom w:val="single" w:sz="4" w:space="0" w:color="auto"/>
              <w:right w:val="nil"/>
            </w:tcBorders>
            <w:shd w:val="clear" w:color="auto" w:fill="auto"/>
            <w:noWrap/>
            <w:vAlign w:val="center"/>
            <w:hideMark/>
          </w:tcPr>
          <w:p w14:paraId="7637A4CA" w14:textId="00E42A01"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95,7 %</w:t>
            </w:r>
          </w:p>
        </w:tc>
      </w:tr>
      <w:tr w:rsidR="00B64E96" w:rsidRPr="00730B1E" w14:paraId="2EB1140A" w14:textId="77777777" w:rsidTr="00DD1C79">
        <w:trPr>
          <w:trHeight w:val="330"/>
        </w:trPr>
        <w:tc>
          <w:tcPr>
            <w:tcW w:w="2020" w:type="dxa"/>
            <w:tcBorders>
              <w:top w:val="nil"/>
              <w:left w:val="nil"/>
              <w:bottom w:val="double" w:sz="6" w:space="0" w:color="auto"/>
              <w:right w:val="nil"/>
            </w:tcBorders>
            <w:shd w:val="clear" w:color="auto" w:fill="auto"/>
            <w:noWrap/>
            <w:vAlign w:val="bottom"/>
            <w:hideMark/>
          </w:tcPr>
          <w:p w14:paraId="24CC649F"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Ostrava</w:t>
            </w:r>
          </w:p>
        </w:tc>
        <w:tc>
          <w:tcPr>
            <w:tcW w:w="1065" w:type="dxa"/>
            <w:tcBorders>
              <w:top w:val="nil"/>
              <w:left w:val="nil"/>
              <w:bottom w:val="double" w:sz="6" w:space="0" w:color="auto"/>
              <w:right w:val="nil"/>
            </w:tcBorders>
            <w:shd w:val="clear" w:color="auto" w:fill="auto"/>
            <w:noWrap/>
            <w:vAlign w:val="bottom"/>
            <w:hideMark/>
          </w:tcPr>
          <w:p w14:paraId="503CF53D"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26 143</w:t>
            </w:r>
          </w:p>
        </w:tc>
        <w:tc>
          <w:tcPr>
            <w:tcW w:w="825" w:type="dxa"/>
            <w:tcBorders>
              <w:top w:val="nil"/>
              <w:left w:val="nil"/>
              <w:bottom w:val="double" w:sz="6" w:space="0" w:color="auto"/>
              <w:right w:val="nil"/>
            </w:tcBorders>
            <w:shd w:val="clear" w:color="auto" w:fill="auto"/>
            <w:noWrap/>
            <w:vAlign w:val="center"/>
            <w:hideMark/>
          </w:tcPr>
          <w:p w14:paraId="4D98F7F5"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1090" w:type="dxa"/>
            <w:tcBorders>
              <w:top w:val="nil"/>
              <w:left w:val="single" w:sz="4" w:space="0" w:color="auto"/>
              <w:bottom w:val="double" w:sz="6" w:space="0" w:color="auto"/>
              <w:right w:val="nil"/>
            </w:tcBorders>
            <w:shd w:val="clear" w:color="auto" w:fill="auto"/>
            <w:noWrap/>
            <w:vAlign w:val="bottom"/>
            <w:hideMark/>
          </w:tcPr>
          <w:p w14:paraId="006D40D5"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25 970</w:t>
            </w:r>
          </w:p>
        </w:tc>
        <w:tc>
          <w:tcPr>
            <w:tcW w:w="825" w:type="dxa"/>
            <w:tcBorders>
              <w:top w:val="nil"/>
              <w:left w:val="nil"/>
              <w:bottom w:val="double" w:sz="6" w:space="0" w:color="auto"/>
              <w:right w:val="single" w:sz="4" w:space="0" w:color="auto"/>
            </w:tcBorders>
            <w:shd w:val="clear" w:color="auto" w:fill="auto"/>
            <w:noWrap/>
            <w:vAlign w:val="center"/>
            <w:hideMark/>
          </w:tcPr>
          <w:p w14:paraId="7A5CE226"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951" w:type="dxa"/>
            <w:tcBorders>
              <w:top w:val="nil"/>
              <w:left w:val="nil"/>
              <w:bottom w:val="double" w:sz="6" w:space="0" w:color="auto"/>
              <w:right w:val="nil"/>
            </w:tcBorders>
            <w:shd w:val="clear" w:color="auto" w:fill="auto"/>
            <w:noWrap/>
            <w:vAlign w:val="bottom"/>
            <w:hideMark/>
          </w:tcPr>
          <w:p w14:paraId="585CC38A"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8 059</w:t>
            </w:r>
          </w:p>
        </w:tc>
        <w:tc>
          <w:tcPr>
            <w:tcW w:w="825" w:type="dxa"/>
            <w:tcBorders>
              <w:top w:val="nil"/>
              <w:left w:val="nil"/>
              <w:bottom w:val="double" w:sz="6" w:space="0" w:color="auto"/>
              <w:right w:val="single" w:sz="4" w:space="0" w:color="auto"/>
            </w:tcBorders>
            <w:shd w:val="clear" w:color="auto" w:fill="auto"/>
            <w:noWrap/>
            <w:vAlign w:val="center"/>
            <w:hideMark/>
          </w:tcPr>
          <w:p w14:paraId="79C6748C"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539" w:type="dxa"/>
            <w:tcBorders>
              <w:top w:val="nil"/>
              <w:left w:val="nil"/>
              <w:bottom w:val="nil"/>
              <w:right w:val="nil"/>
            </w:tcBorders>
            <w:shd w:val="clear" w:color="auto" w:fill="auto"/>
            <w:noWrap/>
            <w:vAlign w:val="center"/>
            <w:hideMark/>
          </w:tcPr>
          <w:p w14:paraId="4D7222E2" w14:textId="50777855"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99,3 %</w:t>
            </w:r>
          </w:p>
        </w:tc>
      </w:tr>
      <w:tr w:rsidR="00B64E96" w:rsidRPr="00730B1E" w14:paraId="5AA9D66C" w14:textId="77777777" w:rsidTr="00DD1C79">
        <w:trPr>
          <w:trHeight w:val="345"/>
        </w:trPr>
        <w:tc>
          <w:tcPr>
            <w:tcW w:w="2020" w:type="dxa"/>
            <w:tcBorders>
              <w:top w:val="nil"/>
              <w:left w:val="nil"/>
              <w:bottom w:val="double" w:sz="6" w:space="0" w:color="auto"/>
              <w:right w:val="nil"/>
            </w:tcBorders>
            <w:shd w:val="clear" w:color="auto" w:fill="auto"/>
            <w:noWrap/>
            <w:vAlign w:val="bottom"/>
            <w:hideMark/>
          </w:tcPr>
          <w:p w14:paraId="5A5A989A" w14:textId="77777777" w:rsidR="00DD1C79" w:rsidRPr="00730B1E" w:rsidRDefault="00DD1C79" w:rsidP="00DD1C79">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65" w:type="dxa"/>
            <w:tcBorders>
              <w:top w:val="nil"/>
              <w:left w:val="nil"/>
              <w:bottom w:val="double" w:sz="6" w:space="0" w:color="auto"/>
              <w:right w:val="nil"/>
            </w:tcBorders>
            <w:shd w:val="clear" w:color="auto" w:fill="auto"/>
            <w:noWrap/>
            <w:vAlign w:val="bottom"/>
            <w:hideMark/>
          </w:tcPr>
          <w:p w14:paraId="609D2509"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141 843</w:t>
            </w:r>
          </w:p>
        </w:tc>
        <w:tc>
          <w:tcPr>
            <w:tcW w:w="825" w:type="dxa"/>
            <w:tcBorders>
              <w:top w:val="nil"/>
              <w:left w:val="nil"/>
              <w:bottom w:val="double" w:sz="6" w:space="0" w:color="auto"/>
              <w:right w:val="nil"/>
            </w:tcBorders>
            <w:shd w:val="clear" w:color="auto" w:fill="auto"/>
            <w:noWrap/>
            <w:vAlign w:val="center"/>
            <w:hideMark/>
          </w:tcPr>
          <w:p w14:paraId="07A2A2FD" w14:textId="77777777" w:rsidR="00DD1C79" w:rsidRPr="00730B1E" w:rsidRDefault="00DD1C79" w:rsidP="00DD1C7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+6 %  </w:t>
            </w:r>
          </w:p>
        </w:tc>
        <w:tc>
          <w:tcPr>
            <w:tcW w:w="1090" w:type="dxa"/>
            <w:tcBorders>
              <w:top w:val="nil"/>
              <w:left w:val="single" w:sz="4" w:space="0" w:color="auto"/>
              <w:bottom w:val="double" w:sz="6" w:space="0" w:color="auto"/>
              <w:right w:val="nil"/>
            </w:tcBorders>
            <w:shd w:val="clear" w:color="auto" w:fill="auto"/>
            <w:noWrap/>
            <w:vAlign w:val="bottom"/>
            <w:hideMark/>
          </w:tcPr>
          <w:p w14:paraId="055379CA"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139 202</w:t>
            </w:r>
          </w:p>
        </w:tc>
        <w:tc>
          <w:tcPr>
            <w:tcW w:w="825" w:type="dxa"/>
            <w:tcBorders>
              <w:top w:val="nil"/>
              <w:left w:val="nil"/>
              <w:bottom w:val="double" w:sz="6" w:space="0" w:color="auto"/>
              <w:right w:val="single" w:sz="4" w:space="0" w:color="auto"/>
            </w:tcBorders>
            <w:shd w:val="clear" w:color="auto" w:fill="auto"/>
            <w:noWrap/>
            <w:vAlign w:val="center"/>
            <w:hideMark/>
          </w:tcPr>
          <w:p w14:paraId="6E73DE7F" w14:textId="77777777" w:rsidR="00DD1C79" w:rsidRPr="00730B1E" w:rsidRDefault="00DD1C79" w:rsidP="00DD1C7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+5 %  </w:t>
            </w:r>
          </w:p>
        </w:tc>
        <w:tc>
          <w:tcPr>
            <w:tcW w:w="951" w:type="dxa"/>
            <w:tcBorders>
              <w:top w:val="nil"/>
              <w:left w:val="nil"/>
              <w:bottom w:val="double" w:sz="6" w:space="0" w:color="auto"/>
              <w:right w:val="nil"/>
            </w:tcBorders>
            <w:shd w:val="clear" w:color="auto" w:fill="auto"/>
            <w:noWrap/>
            <w:vAlign w:val="bottom"/>
            <w:hideMark/>
          </w:tcPr>
          <w:p w14:paraId="6E2B9D1A"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40 045</w:t>
            </w:r>
          </w:p>
        </w:tc>
        <w:tc>
          <w:tcPr>
            <w:tcW w:w="825" w:type="dxa"/>
            <w:tcBorders>
              <w:top w:val="nil"/>
              <w:left w:val="nil"/>
              <w:bottom w:val="double" w:sz="6" w:space="0" w:color="auto"/>
              <w:right w:val="single" w:sz="4" w:space="0" w:color="auto"/>
            </w:tcBorders>
            <w:shd w:val="clear" w:color="auto" w:fill="auto"/>
            <w:noWrap/>
            <w:vAlign w:val="center"/>
            <w:hideMark/>
          </w:tcPr>
          <w:p w14:paraId="1A36EF1A" w14:textId="77777777" w:rsidR="00DD1C79" w:rsidRPr="00730B1E" w:rsidRDefault="00DD1C79" w:rsidP="00DD1C7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+7 %  </w:t>
            </w:r>
          </w:p>
        </w:tc>
        <w:tc>
          <w:tcPr>
            <w:tcW w:w="1539" w:type="dxa"/>
            <w:tcBorders>
              <w:top w:val="double" w:sz="6" w:space="0" w:color="auto"/>
              <w:left w:val="nil"/>
              <w:bottom w:val="double" w:sz="6" w:space="0" w:color="auto"/>
              <w:right w:val="nil"/>
            </w:tcBorders>
            <w:shd w:val="clear" w:color="auto" w:fill="auto"/>
            <w:noWrap/>
            <w:vAlign w:val="center"/>
            <w:hideMark/>
          </w:tcPr>
          <w:p w14:paraId="487F6746" w14:textId="2BFA198A"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98,1 %</w:t>
            </w:r>
          </w:p>
        </w:tc>
      </w:tr>
      <w:tr w:rsidR="00B64E96" w:rsidRPr="00730B1E" w14:paraId="56080440" w14:textId="77777777" w:rsidTr="00DD1C79">
        <w:trPr>
          <w:trHeight w:val="330"/>
        </w:trPr>
        <w:tc>
          <w:tcPr>
            <w:tcW w:w="2020" w:type="dxa"/>
            <w:tcBorders>
              <w:top w:val="nil"/>
              <w:left w:val="nil"/>
              <w:bottom w:val="nil"/>
              <w:right w:val="nil"/>
            </w:tcBorders>
            <w:shd w:val="clear" w:color="auto" w:fill="auto"/>
            <w:noWrap/>
            <w:vAlign w:val="bottom"/>
            <w:hideMark/>
          </w:tcPr>
          <w:p w14:paraId="4093DFF3" w14:textId="77777777" w:rsidR="00DD1C79" w:rsidRPr="00730B1E" w:rsidRDefault="00DD1C79" w:rsidP="00DD1C79">
            <w:pPr>
              <w:spacing w:line="240" w:lineRule="auto"/>
              <w:jc w:val="center"/>
              <w:rPr>
                <w:rFonts w:eastAsia="Times New Roman"/>
                <w:b/>
                <w:bCs/>
                <w:szCs w:val="24"/>
                <w:lang w:eastAsia="cs-CZ"/>
              </w:rPr>
            </w:pPr>
          </w:p>
        </w:tc>
        <w:tc>
          <w:tcPr>
            <w:tcW w:w="1065" w:type="dxa"/>
            <w:tcBorders>
              <w:top w:val="nil"/>
              <w:left w:val="nil"/>
              <w:bottom w:val="nil"/>
              <w:right w:val="nil"/>
            </w:tcBorders>
            <w:shd w:val="clear" w:color="auto" w:fill="auto"/>
            <w:noWrap/>
            <w:vAlign w:val="bottom"/>
            <w:hideMark/>
          </w:tcPr>
          <w:p w14:paraId="04034AA4" w14:textId="77777777" w:rsidR="00DD1C79" w:rsidRPr="00DF07F3" w:rsidRDefault="00DD1C79" w:rsidP="00DD1C79">
            <w:pPr>
              <w:spacing w:line="240" w:lineRule="auto"/>
              <w:jc w:val="left"/>
              <w:rPr>
                <w:sz w:val="20"/>
              </w:rPr>
            </w:pPr>
          </w:p>
        </w:tc>
        <w:tc>
          <w:tcPr>
            <w:tcW w:w="825" w:type="dxa"/>
            <w:tcBorders>
              <w:top w:val="nil"/>
              <w:left w:val="nil"/>
              <w:bottom w:val="nil"/>
              <w:right w:val="nil"/>
            </w:tcBorders>
            <w:shd w:val="clear" w:color="auto" w:fill="auto"/>
            <w:noWrap/>
            <w:vAlign w:val="bottom"/>
            <w:hideMark/>
          </w:tcPr>
          <w:p w14:paraId="0D53357F" w14:textId="77777777" w:rsidR="00DD1C79" w:rsidRPr="00DF07F3" w:rsidRDefault="00DD1C79" w:rsidP="00DD1C79">
            <w:pPr>
              <w:spacing w:line="240" w:lineRule="auto"/>
              <w:jc w:val="left"/>
              <w:rPr>
                <w:sz w:val="20"/>
              </w:rPr>
            </w:pPr>
          </w:p>
        </w:tc>
        <w:tc>
          <w:tcPr>
            <w:tcW w:w="1090" w:type="dxa"/>
            <w:tcBorders>
              <w:top w:val="nil"/>
              <w:left w:val="nil"/>
              <w:bottom w:val="nil"/>
              <w:right w:val="nil"/>
            </w:tcBorders>
            <w:shd w:val="clear" w:color="auto" w:fill="auto"/>
            <w:noWrap/>
            <w:vAlign w:val="bottom"/>
            <w:hideMark/>
          </w:tcPr>
          <w:p w14:paraId="4C37FA4A" w14:textId="77777777" w:rsidR="00DD1C79" w:rsidRPr="00DF07F3" w:rsidRDefault="00DD1C79" w:rsidP="00DD1C79">
            <w:pPr>
              <w:spacing w:line="240" w:lineRule="auto"/>
              <w:jc w:val="left"/>
              <w:rPr>
                <w:sz w:val="20"/>
              </w:rPr>
            </w:pPr>
          </w:p>
        </w:tc>
        <w:tc>
          <w:tcPr>
            <w:tcW w:w="825" w:type="dxa"/>
            <w:tcBorders>
              <w:top w:val="nil"/>
              <w:left w:val="nil"/>
              <w:bottom w:val="nil"/>
              <w:right w:val="nil"/>
            </w:tcBorders>
            <w:shd w:val="clear" w:color="auto" w:fill="auto"/>
            <w:noWrap/>
            <w:vAlign w:val="bottom"/>
            <w:hideMark/>
          </w:tcPr>
          <w:p w14:paraId="1A89C8B8" w14:textId="77777777" w:rsidR="00DD1C79" w:rsidRPr="00DF07F3" w:rsidRDefault="00DD1C79" w:rsidP="00DD1C79">
            <w:pPr>
              <w:spacing w:line="240" w:lineRule="auto"/>
              <w:jc w:val="left"/>
              <w:rPr>
                <w:sz w:val="20"/>
              </w:rPr>
            </w:pPr>
          </w:p>
        </w:tc>
        <w:tc>
          <w:tcPr>
            <w:tcW w:w="951" w:type="dxa"/>
            <w:tcBorders>
              <w:top w:val="nil"/>
              <w:left w:val="nil"/>
              <w:bottom w:val="nil"/>
              <w:right w:val="nil"/>
            </w:tcBorders>
            <w:shd w:val="clear" w:color="auto" w:fill="auto"/>
            <w:noWrap/>
            <w:vAlign w:val="bottom"/>
            <w:hideMark/>
          </w:tcPr>
          <w:p w14:paraId="32E5FA89" w14:textId="77777777" w:rsidR="00DD1C79" w:rsidRPr="00DF07F3" w:rsidRDefault="00DD1C79" w:rsidP="00DD1C79">
            <w:pPr>
              <w:spacing w:line="240" w:lineRule="auto"/>
              <w:jc w:val="left"/>
              <w:rPr>
                <w:sz w:val="20"/>
              </w:rPr>
            </w:pPr>
          </w:p>
        </w:tc>
        <w:tc>
          <w:tcPr>
            <w:tcW w:w="825" w:type="dxa"/>
            <w:tcBorders>
              <w:top w:val="nil"/>
              <w:left w:val="nil"/>
              <w:bottom w:val="nil"/>
              <w:right w:val="nil"/>
            </w:tcBorders>
            <w:shd w:val="clear" w:color="auto" w:fill="auto"/>
            <w:noWrap/>
            <w:vAlign w:val="bottom"/>
            <w:hideMark/>
          </w:tcPr>
          <w:p w14:paraId="3BC91C62" w14:textId="77777777" w:rsidR="00DD1C79" w:rsidRPr="00DF07F3" w:rsidRDefault="00DD1C79" w:rsidP="00DD1C79">
            <w:pPr>
              <w:spacing w:line="240" w:lineRule="auto"/>
              <w:jc w:val="left"/>
              <w:rPr>
                <w:sz w:val="20"/>
              </w:rPr>
            </w:pPr>
          </w:p>
        </w:tc>
        <w:tc>
          <w:tcPr>
            <w:tcW w:w="1539" w:type="dxa"/>
            <w:tcBorders>
              <w:top w:val="nil"/>
              <w:left w:val="nil"/>
              <w:bottom w:val="nil"/>
              <w:right w:val="nil"/>
            </w:tcBorders>
            <w:shd w:val="clear" w:color="auto" w:fill="auto"/>
            <w:noWrap/>
            <w:vAlign w:val="bottom"/>
            <w:hideMark/>
          </w:tcPr>
          <w:p w14:paraId="2D52A170" w14:textId="77777777" w:rsidR="00DD1C79" w:rsidRPr="00DF07F3" w:rsidRDefault="00DD1C79" w:rsidP="00DD1C79">
            <w:pPr>
              <w:spacing w:line="240" w:lineRule="auto"/>
              <w:jc w:val="left"/>
              <w:rPr>
                <w:sz w:val="20"/>
              </w:rPr>
            </w:pPr>
          </w:p>
        </w:tc>
      </w:tr>
    </w:tbl>
    <w:p w14:paraId="7E2810FE" w14:textId="28187A10" w:rsidR="00DD1C79" w:rsidRPr="00730B1E" w:rsidRDefault="00DD1C79" w:rsidP="00DD1C79">
      <w:bookmarkStart w:id="580" w:name="_Toc106092740"/>
      <w:r w:rsidRPr="00730B1E">
        <w:t>V tabulce vidíme, že druhý rok po sobě vzrostl počet příchozích věcí ve všech krajích s výjimkou Prahy. Praha je pak jediný kraj, kde byla míra vyřizování přes 100 %.</w:t>
      </w:r>
    </w:p>
    <w:p w14:paraId="0363F3E3" w14:textId="61A68A7B" w:rsidR="008430BD" w:rsidRPr="00730B1E" w:rsidRDefault="008430BD" w:rsidP="008430BD">
      <w:pPr>
        <w:pStyle w:val="Nadpis3"/>
        <w:numPr>
          <w:ilvl w:val="2"/>
          <w:numId w:val="1"/>
        </w:numPr>
        <w:rPr>
          <w:color w:val="auto"/>
        </w:rPr>
      </w:pPr>
      <w:bookmarkStart w:id="581" w:name="_Toc169250820"/>
      <w:bookmarkStart w:id="582" w:name="_Toc174080856"/>
      <w:r w:rsidRPr="00730B1E">
        <w:rPr>
          <w:color w:val="auto"/>
        </w:rPr>
        <w:t>Vyřizování v přepočtu na soudce</w:t>
      </w:r>
      <w:bookmarkEnd w:id="580"/>
      <w:bookmarkEnd w:id="581"/>
      <w:bookmarkEnd w:id="582"/>
    </w:p>
    <w:p w14:paraId="1B9B0165" w14:textId="4D72ECD6" w:rsidR="00DD1C79" w:rsidRPr="00730B1E" w:rsidRDefault="00DD1C79" w:rsidP="00DD1C79">
      <w:r w:rsidRPr="00730B1E">
        <w:t xml:space="preserve">Díky datům získávaným od roku 2020 je možné provést přepočet na soudce i u opatrovnické agendy. Jak vidíme v tabulce níže, celkový počet úvazků v opatrovnické agendě je asi </w:t>
      </w:r>
      <w:r w:rsidR="00CD34D7" w:rsidRPr="00730B1E">
        <w:t>367</w:t>
      </w:r>
      <w:r w:rsidRPr="00730B1E">
        <w:t>. Bližší informace k těmto datům o počtu soudcovských úvazků se nacházejí v podkapitole 2.2.3.</w:t>
      </w:r>
    </w:p>
    <w:p w14:paraId="3571D8D2" w14:textId="04634326" w:rsidR="00DD1C79" w:rsidRPr="00730B1E" w:rsidRDefault="00DD1C79" w:rsidP="00DD1C79">
      <w:pPr>
        <w:pStyle w:val="Podnadpis"/>
        <w:numPr>
          <w:ilvl w:val="0"/>
          <w:numId w:val="0"/>
        </w:numPr>
        <w:rPr>
          <w:color w:val="auto"/>
        </w:rPr>
      </w:pPr>
      <w:bookmarkStart w:id="583" w:name="_Toc75952335"/>
      <w:bookmarkStart w:id="584" w:name="_Toc106106792"/>
      <w:bookmarkStart w:id="585" w:name="_Toc144104271"/>
      <w:bookmarkStart w:id="586" w:name="_Toc169251087"/>
      <w:bookmarkStart w:id="587" w:name="_Toc174080773"/>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30</w:t>
      </w:r>
      <w:r w:rsidRPr="00730B1E">
        <w:rPr>
          <w:color w:val="auto"/>
        </w:rPr>
        <w:fldChar w:fldCharType="end"/>
      </w:r>
      <w:r w:rsidRPr="00730B1E">
        <w:rPr>
          <w:color w:val="auto"/>
        </w:rPr>
        <w:t>: OS – vyřizování opatrovnických věcí na skutečný úvazek dle krajů</w:t>
      </w:r>
      <w:bookmarkEnd w:id="583"/>
      <w:bookmarkEnd w:id="584"/>
      <w:bookmarkEnd w:id="585"/>
      <w:bookmarkEnd w:id="586"/>
      <w:bookmarkEnd w:id="587"/>
    </w:p>
    <w:tbl>
      <w:tblPr>
        <w:tblW w:w="9072" w:type="dxa"/>
        <w:tblCellMar>
          <w:left w:w="70" w:type="dxa"/>
          <w:right w:w="70" w:type="dxa"/>
        </w:tblCellMar>
        <w:tblLook w:val="04A0" w:firstRow="1" w:lastRow="0" w:firstColumn="1" w:lastColumn="0" w:noHBand="0" w:noVBand="1"/>
      </w:tblPr>
      <w:tblGrid>
        <w:gridCol w:w="1820"/>
        <w:gridCol w:w="1299"/>
        <w:gridCol w:w="992"/>
        <w:gridCol w:w="992"/>
        <w:gridCol w:w="993"/>
        <w:gridCol w:w="992"/>
        <w:gridCol w:w="992"/>
        <w:gridCol w:w="992"/>
      </w:tblGrid>
      <w:tr w:rsidR="00B64E96" w:rsidRPr="00730B1E" w14:paraId="7E6C8CDD" w14:textId="77777777" w:rsidTr="002263C3">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0E517FD4" w14:textId="77777777" w:rsidR="00DD1C79" w:rsidRPr="00730B1E" w:rsidRDefault="00DD1C79" w:rsidP="00DD1C79">
            <w:pPr>
              <w:spacing w:line="240" w:lineRule="auto"/>
              <w:jc w:val="left"/>
              <w:rPr>
                <w:rFonts w:eastAsia="Times New Roman"/>
                <w:b/>
                <w:bCs/>
                <w:szCs w:val="24"/>
                <w:lang w:eastAsia="cs-CZ"/>
              </w:rPr>
            </w:pPr>
            <w:r w:rsidRPr="00730B1E">
              <w:rPr>
                <w:rFonts w:eastAsia="Times New Roman"/>
                <w:b/>
                <w:bCs/>
                <w:szCs w:val="24"/>
                <w:lang w:eastAsia="cs-CZ"/>
              </w:rPr>
              <w:t>Nadřízený soud</w:t>
            </w:r>
          </w:p>
        </w:tc>
        <w:tc>
          <w:tcPr>
            <w:tcW w:w="1299" w:type="dxa"/>
            <w:vMerge w:val="restart"/>
            <w:tcBorders>
              <w:top w:val="double" w:sz="6" w:space="0" w:color="auto"/>
              <w:left w:val="nil"/>
              <w:bottom w:val="double" w:sz="6" w:space="0" w:color="000000"/>
              <w:right w:val="nil"/>
            </w:tcBorders>
            <w:shd w:val="clear" w:color="auto" w:fill="auto"/>
            <w:vAlign w:val="center"/>
            <w:hideMark/>
          </w:tcPr>
          <w:p w14:paraId="67A19E30"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5953" w:type="dxa"/>
            <w:gridSpan w:val="6"/>
            <w:tcBorders>
              <w:top w:val="double" w:sz="6" w:space="0" w:color="auto"/>
              <w:left w:val="nil"/>
              <w:bottom w:val="nil"/>
              <w:right w:val="nil"/>
            </w:tcBorders>
            <w:shd w:val="clear" w:color="auto" w:fill="auto"/>
            <w:noWrap/>
            <w:vAlign w:val="center"/>
            <w:hideMark/>
          </w:tcPr>
          <w:p w14:paraId="3E3E7DCA"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33BE2F64" w14:textId="77777777" w:rsidTr="002263C3">
        <w:trPr>
          <w:trHeight w:val="330"/>
        </w:trPr>
        <w:tc>
          <w:tcPr>
            <w:tcW w:w="1820" w:type="dxa"/>
            <w:vMerge/>
            <w:tcBorders>
              <w:top w:val="double" w:sz="6" w:space="0" w:color="auto"/>
              <w:left w:val="nil"/>
              <w:bottom w:val="double" w:sz="6" w:space="0" w:color="000000"/>
              <w:right w:val="nil"/>
            </w:tcBorders>
            <w:vAlign w:val="center"/>
            <w:hideMark/>
          </w:tcPr>
          <w:p w14:paraId="2564FC5D" w14:textId="77777777" w:rsidR="00DD1C79" w:rsidRPr="00730B1E" w:rsidRDefault="00DD1C79" w:rsidP="00DD1C79">
            <w:pPr>
              <w:spacing w:line="240" w:lineRule="auto"/>
              <w:jc w:val="left"/>
              <w:rPr>
                <w:rFonts w:eastAsia="Times New Roman"/>
                <w:b/>
                <w:bCs/>
                <w:szCs w:val="24"/>
                <w:lang w:eastAsia="cs-CZ"/>
              </w:rPr>
            </w:pPr>
          </w:p>
        </w:tc>
        <w:tc>
          <w:tcPr>
            <w:tcW w:w="1299" w:type="dxa"/>
            <w:vMerge/>
            <w:tcBorders>
              <w:top w:val="double" w:sz="6" w:space="0" w:color="auto"/>
              <w:left w:val="nil"/>
              <w:bottom w:val="double" w:sz="6" w:space="0" w:color="000000"/>
              <w:right w:val="nil"/>
            </w:tcBorders>
            <w:vAlign w:val="center"/>
            <w:hideMark/>
          </w:tcPr>
          <w:p w14:paraId="2E323BDA" w14:textId="77777777" w:rsidR="00DD1C79" w:rsidRPr="00730B1E" w:rsidRDefault="00DD1C79" w:rsidP="00DD1C79">
            <w:pPr>
              <w:spacing w:line="240" w:lineRule="auto"/>
              <w:jc w:val="left"/>
              <w:rPr>
                <w:rFonts w:eastAsia="Times New Roman"/>
                <w:b/>
                <w:bCs/>
                <w:szCs w:val="24"/>
                <w:lang w:eastAsia="cs-CZ"/>
              </w:rPr>
            </w:pPr>
          </w:p>
        </w:tc>
        <w:tc>
          <w:tcPr>
            <w:tcW w:w="1984" w:type="dxa"/>
            <w:gridSpan w:val="2"/>
            <w:tcBorders>
              <w:top w:val="nil"/>
              <w:left w:val="nil"/>
              <w:bottom w:val="double" w:sz="6" w:space="0" w:color="auto"/>
              <w:right w:val="nil"/>
            </w:tcBorders>
            <w:shd w:val="clear" w:color="auto" w:fill="auto"/>
            <w:noWrap/>
            <w:vAlign w:val="center"/>
            <w:hideMark/>
          </w:tcPr>
          <w:p w14:paraId="582ED949" w14:textId="1BFE5BB4"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8529D1D"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984" w:type="dxa"/>
            <w:gridSpan w:val="2"/>
            <w:tcBorders>
              <w:top w:val="nil"/>
              <w:left w:val="nil"/>
              <w:bottom w:val="double" w:sz="6" w:space="0" w:color="auto"/>
              <w:right w:val="nil"/>
            </w:tcBorders>
            <w:shd w:val="clear" w:color="auto" w:fill="auto"/>
            <w:noWrap/>
            <w:vAlign w:val="center"/>
            <w:hideMark/>
          </w:tcPr>
          <w:p w14:paraId="346221F9"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7D915204" w14:textId="77777777" w:rsidTr="00BB1AD0">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222CD251"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MS Praha</w:t>
            </w:r>
          </w:p>
        </w:tc>
        <w:tc>
          <w:tcPr>
            <w:tcW w:w="1299" w:type="dxa"/>
            <w:tcBorders>
              <w:top w:val="single" w:sz="4" w:space="0" w:color="auto"/>
              <w:left w:val="nil"/>
              <w:bottom w:val="single" w:sz="4" w:space="0" w:color="auto"/>
              <w:right w:val="nil"/>
            </w:tcBorders>
            <w:shd w:val="clear" w:color="auto" w:fill="auto"/>
            <w:noWrap/>
            <w:vAlign w:val="bottom"/>
            <w:hideMark/>
          </w:tcPr>
          <w:p w14:paraId="2C8D2FBD" w14:textId="062FCDEF"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43</w:t>
            </w:r>
            <w:r w:rsidR="00CD34D7" w:rsidRPr="00730B1E">
              <w:rPr>
                <w:rFonts w:eastAsia="Times New Roman"/>
                <w:szCs w:val="24"/>
                <w:lang w:eastAsia="cs-CZ"/>
              </w:rPr>
              <w:t>,</w:t>
            </w:r>
            <w:r w:rsidRPr="00730B1E">
              <w:rPr>
                <w:rFonts w:eastAsia="Times New Roman"/>
                <w:szCs w:val="24"/>
                <w:lang w:eastAsia="cs-CZ"/>
              </w:rPr>
              <w:t>5</w:t>
            </w:r>
          </w:p>
        </w:tc>
        <w:tc>
          <w:tcPr>
            <w:tcW w:w="992" w:type="dxa"/>
            <w:tcBorders>
              <w:top w:val="single" w:sz="4" w:space="0" w:color="auto"/>
              <w:left w:val="nil"/>
              <w:bottom w:val="single" w:sz="4" w:space="0" w:color="auto"/>
              <w:right w:val="nil"/>
            </w:tcBorders>
            <w:shd w:val="clear" w:color="auto" w:fill="auto"/>
            <w:noWrap/>
            <w:vAlign w:val="bottom"/>
            <w:hideMark/>
          </w:tcPr>
          <w:p w14:paraId="3F6D35FC" w14:textId="72FC017E"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307</w:t>
            </w:r>
            <w:r w:rsidR="00CD34D7" w:rsidRPr="00730B1E">
              <w:rPr>
                <w:rFonts w:eastAsia="Times New Roman"/>
                <w:szCs w:val="24"/>
                <w:lang w:eastAsia="cs-CZ"/>
              </w:rPr>
              <w:t>,</w:t>
            </w:r>
            <w:r w:rsidRPr="00730B1E">
              <w:rPr>
                <w:rFonts w:eastAsia="Times New Roman"/>
                <w:szCs w:val="24"/>
                <w:lang w:eastAsia="cs-CZ"/>
              </w:rPr>
              <w:t>26</w:t>
            </w:r>
          </w:p>
        </w:tc>
        <w:tc>
          <w:tcPr>
            <w:tcW w:w="992" w:type="dxa"/>
            <w:tcBorders>
              <w:top w:val="single" w:sz="4" w:space="0" w:color="auto"/>
              <w:left w:val="nil"/>
              <w:bottom w:val="single" w:sz="4" w:space="0" w:color="auto"/>
              <w:right w:val="nil"/>
            </w:tcBorders>
            <w:shd w:val="clear" w:color="auto" w:fill="auto"/>
            <w:noWrap/>
            <w:vAlign w:val="center"/>
            <w:hideMark/>
          </w:tcPr>
          <w:p w14:paraId="5BBCD398"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993" w:type="dxa"/>
            <w:tcBorders>
              <w:top w:val="nil"/>
              <w:left w:val="single" w:sz="4" w:space="0" w:color="auto"/>
              <w:bottom w:val="single" w:sz="4" w:space="0" w:color="auto"/>
              <w:right w:val="nil"/>
            </w:tcBorders>
            <w:shd w:val="clear" w:color="auto" w:fill="auto"/>
            <w:noWrap/>
            <w:vAlign w:val="bottom"/>
            <w:hideMark/>
          </w:tcPr>
          <w:p w14:paraId="760E6042" w14:textId="48D23D6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307</w:t>
            </w:r>
            <w:r w:rsidR="00CD34D7" w:rsidRPr="00730B1E">
              <w:rPr>
                <w:rFonts w:eastAsia="Times New Roman"/>
                <w:szCs w:val="24"/>
                <w:lang w:eastAsia="cs-CZ"/>
              </w:rPr>
              <w:t>,</w:t>
            </w:r>
            <w:r w:rsidRPr="00730B1E">
              <w:rPr>
                <w:rFonts w:eastAsia="Times New Roman"/>
                <w:szCs w:val="24"/>
                <w:lang w:eastAsia="cs-CZ"/>
              </w:rPr>
              <w:t>86</w:t>
            </w:r>
          </w:p>
        </w:tc>
        <w:tc>
          <w:tcPr>
            <w:tcW w:w="992" w:type="dxa"/>
            <w:tcBorders>
              <w:top w:val="nil"/>
              <w:left w:val="nil"/>
              <w:bottom w:val="single" w:sz="4" w:space="0" w:color="auto"/>
              <w:right w:val="single" w:sz="4" w:space="0" w:color="auto"/>
            </w:tcBorders>
            <w:shd w:val="clear" w:color="auto" w:fill="auto"/>
            <w:noWrap/>
            <w:vAlign w:val="center"/>
            <w:hideMark/>
          </w:tcPr>
          <w:p w14:paraId="208FAF5A"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c>
          <w:tcPr>
            <w:tcW w:w="992" w:type="dxa"/>
            <w:tcBorders>
              <w:top w:val="single" w:sz="4" w:space="0" w:color="auto"/>
              <w:left w:val="nil"/>
              <w:bottom w:val="single" w:sz="4" w:space="0" w:color="auto"/>
              <w:right w:val="nil"/>
            </w:tcBorders>
            <w:shd w:val="clear" w:color="auto" w:fill="auto"/>
            <w:noWrap/>
            <w:vAlign w:val="bottom"/>
            <w:hideMark/>
          </w:tcPr>
          <w:p w14:paraId="4346CE69" w14:textId="448A715C"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82</w:t>
            </w:r>
            <w:r w:rsidR="00CD34D7" w:rsidRPr="00730B1E">
              <w:rPr>
                <w:rFonts w:eastAsia="Times New Roman"/>
                <w:szCs w:val="24"/>
                <w:lang w:eastAsia="cs-CZ"/>
              </w:rPr>
              <w:t>,</w:t>
            </w:r>
            <w:r w:rsidRPr="00730B1E">
              <w:rPr>
                <w:rFonts w:eastAsia="Times New Roman"/>
                <w:szCs w:val="24"/>
                <w:lang w:eastAsia="cs-CZ"/>
              </w:rPr>
              <w:t>71</w:t>
            </w:r>
          </w:p>
        </w:tc>
        <w:tc>
          <w:tcPr>
            <w:tcW w:w="992" w:type="dxa"/>
            <w:tcBorders>
              <w:top w:val="single" w:sz="4" w:space="0" w:color="auto"/>
              <w:left w:val="nil"/>
              <w:bottom w:val="single" w:sz="4" w:space="0" w:color="auto"/>
              <w:right w:val="nil"/>
            </w:tcBorders>
            <w:shd w:val="clear" w:color="auto" w:fill="auto"/>
            <w:noWrap/>
            <w:vAlign w:val="center"/>
            <w:hideMark/>
          </w:tcPr>
          <w:p w14:paraId="0E696D43"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498ECBE3" w14:textId="77777777" w:rsidTr="00BB1AD0">
        <w:trPr>
          <w:trHeight w:val="315"/>
        </w:trPr>
        <w:tc>
          <w:tcPr>
            <w:tcW w:w="1820" w:type="dxa"/>
            <w:tcBorders>
              <w:top w:val="nil"/>
              <w:left w:val="nil"/>
              <w:bottom w:val="single" w:sz="4" w:space="0" w:color="auto"/>
              <w:right w:val="nil"/>
            </w:tcBorders>
            <w:shd w:val="clear" w:color="auto" w:fill="auto"/>
            <w:noWrap/>
            <w:vAlign w:val="bottom"/>
            <w:hideMark/>
          </w:tcPr>
          <w:p w14:paraId="4B0469E0"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Praha</w:t>
            </w:r>
          </w:p>
        </w:tc>
        <w:tc>
          <w:tcPr>
            <w:tcW w:w="1299" w:type="dxa"/>
            <w:tcBorders>
              <w:top w:val="nil"/>
              <w:left w:val="nil"/>
              <w:bottom w:val="single" w:sz="4" w:space="0" w:color="auto"/>
              <w:right w:val="nil"/>
            </w:tcBorders>
            <w:shd w:val="clear" w:color="auto" w:fill="auto"/>
            <w:noWrap/>
            <w:vAlign w:val="bottom"/>
            <w:hideMark/>
          </w:tcPr>
          <w:p w14:paraId="035E8B1F" w14:textId="0E2BA134"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49</w:t>
            </w:r>
            <w:r w:rsidR="00CD34D7" w:rsidRPr="00730B1E">
              <w:rPr>
                <w:rFonts w:eastAsia="Times New Roman"/>
                <w:szCs w:val="24"/>
                <w:lang w:eastAsia="cs-CZ"/>
              </w:rPr>
              <w:t>,</w:t>
            </w:r>
            <w:r w:rsidRPr="00730B1E">
              <w:rPr>
                <w:rFonts w:eastAsia="Times New Roman"/>
                <w:szCs w:val="24"/>
                <w:lang w:eastAsia="cs-CZ"/>
              </w:rPr>
              <w:t>88</w:t>
            </w:r>
          </w:p>
        </w:tc>
        <w:tc>
          <w:tcPr>
            <w:tcW w:w="992" w:type="dxa"/>
            <w:tcBorders>
              <w:top w:val="nil"/>
              <w:left w:val="nil"/>
              <w:bottom w:val="single" w:sz="4" w:space="0" w:color="auto"/>
              <w:right w:val="nil"/>
            </w:tcBorders>
            <w:shd w:val="clear" w:color="auto" w:fill="auto"/>
            <w:noWrap/>
            <w:vAlign w:val="bottom"/>
            <w:hideMark/>
          </w:tcPr>
          <w:p w14:paraId="5D0BE872" w14:textId="3AD40602"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404</w:t>
            </w:r>
            <w:r w:rsidR="00CD34D7" w:rsidRPr="00730B1E">
              <w:rPr>
                <w:rFonts w:eastAsia="Times New Roman"/>
                <w:szCs w:val="24"/>
                <w:lang w:eastAsia="cs-CZ"/>
              </w:rPr>
              <w:t>,</w:t>
            </w:r>
            <w:r w:rsidRPr="00730B1E">
              <w:rPr>
                <w:rFonts w:eastAsia="Times New Roman"/>
                <w:szCs w:val="24"/>
                <w:lang w:eastAsia="cs-CZ"/>
              </w:rPr>
              <w:t>93</w:t>
            </w:r>
          </w:p>
        </w:tc>
        <w:tc>
          <w:tcPr>
            <w:tcW w:w="992" w:type="dxa"/>
            <w:tcBorders>
              <w:top w:val="nil"/>
              <w:left w:val="nil"/>
              <w:bottom w:val="single" w:sz="4" w:space="0" w:color="auto"/>
              <w:right w:val="nil"/>
            </w:tcBorders>
            <w:shd w:val="clear" w:color="auto" w:fill="auto"/>
            <w:noWrap/>
            <w:vAlign w:val="center"/>
            <w:hideMark/>
          </w:tcPr>
          <w:p w14:paraId="2CE1427E"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993" w:type="dxa"/>
            <w:tcBorders>
              <w:top w:val="nil"/>
              <w:left w:val="single" w:sz="4" w:space="0" w:color="auto"/>
              <w:bottom w:val="single" w:sz="4" w:space="0" w:color="auto"/>
              <w:right w:val="nil"/>
            </w:tcBorders>
            <w:shd w:val="clear" w:color="auto" w:fill="auto"/>
            <w:noWrap/>
            <w:vAlign w:val="bottom"/>
            <w:hideMark/>
          </w:tcPr>
          <w:p w14:paraId="58C0B6E3" w14:textId="7E389090"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401</w:t>
            </w:r>
            <w:r w:rsidR="00CD34D7" w:rsidRPr="00730B1E">
              <w:rPr>
                <w:rFonts w:eastAsia="Times New Roman"/>
                <w:szCs w:val="24"/>
                <w:lang w:eastAsia="cs-CZ"/>
              </w:rPr>
              <w:t>,</w:t>
            </w:r>
            <w:r w:rsidRPr="00730B1E">
              <w:rPr>
                <w:rFonts w:eastAsia="Times New Roman"/>
                <w:szCs w:val="24"/>
                <w:lang w:eastAsia="cs-CZ"/>
              </w:rPr>
              <w:t>56</w:t>
            </w:r>
          </w:p>
        </w:tc>
        <w:tc>
          <w:tcPr>
            <w:tcW w:w="992" w:type="dxa"/>
            <w:tcBorders>
              <w:top w:val="nil"/>
              <w:left w:val="nil"/>
              <w:bottom w:val="single" w:sz="4" w:space="0" w:color="auto"/>
              <w:right w:val="single" w:sz="4" w:space="0" w:color="auto"/>
            </w:tcBorders>
            <w:shd w:val="clear" w:color="auto" w:fill="auto"/>
            <w:noWrap/>
            <w:vAlign w:val="center"/>
            <w:hideMark/>
          </w:tcPr>
          <w:p w14:paraId="7434F781"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92" w:type="dxa"/>
            <w:tcBorders>
              <w:top w:val="nil"/>
              <w:left w:val="nil"/>
              <w:bottom w:val="single" w:sz="4" w:space="0" w:color="auto"/>
              <w:right w:val="nil"/>
            </w:tcBorders>
            <w:shd w:val="clear" w:color="auto" w:fill="auto"/>
            <w:noWrap/>
            <w:vAlign w:val="bottom"/>
            <w:hideMark/>
          </w:tcPr>
          <w:p w14:paraId="2F081649" w14:textId="5B0EE4D0"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87</w:t>
            </w:r>
            <w:r w:rsidR="00CD34D7" w:rsidRPr="00730B1E">
              <w:rPr>
                <w:rFonts w:eastAsia="Times New Roman"/>
                <w:szCs w:val="24"/>
                <w:lang w:eastAsia="cs-CZ"/>
              </w:rPr>
              <w:t>,</w:t>
            </w:r>
            <w:r w:rsidRPr="00730B1E">
              <w:rPr>
                <w:rFonts w:eastAsia="Times New Roman"/>
                <w:szCs w:val="24"/>
                <w:lang w:eastAsia="cs-CZ"/>
              </w:rPr>
              <w:t>65</w:t>
            </w:r>
          </w:p>
        </w:tc>
        <w:tc>
          <w:tcPr>
            <w:tcW w:w="992" w:type="dxa"/>
            <w:tcBorders>
              <w:top w:val="nil"/>
              <w:left w:val="nil"/>
              <w:bottom w:val="single" w:sz="4" w:space="0" w:color="auto"/>
              <w:right w:val="nil"/>
            </w:tcBorders>
            <w:shd w:val="clear" w:color="auto" w:fill="auto"/>
            <w:noWrap/>
            <w:vAlign w:val="center"/>
            <w:hideMark/>
          </w:tcPr>
          <w:p w14:paraId="644BC343"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r>
      <w:tr w:rsidR="00B64E96" w:rsidRPr="00730B1E" w14:paraId="3FE70806" w14:textId="77777777" w:rsidTr="00BB1AD0">
        <w:trPr>
          <w:trHeight w:val="315"/>
        </w:trPr>
        <w:tc>
          <w:tcPr>
            <w:tcW w:w="1820" w:type="dxa"/>
            <w:tcBorders>
              <w:top w:val="nil"/>
              <w:left w:val="nil"/>
              <w:bottom w:val="single" w:sz="4" w:space="0" w:color="auto"/>
              <w:right w:val="nil"/>
            </w:tcBorders>
            <w:shd w:val="clear" w:color="auto" w:fill="auto"/>
            <w:noWrap/>
            <w:vAlign w:val="bottom"/>
            <w:hideMark/>
          </w:tcPr>
          <w:p w14:paraId="0630A88C"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Č. Budějovice</w:t>
            </w:r>
          </w:p>
        </w:tc>
        <w:tc>
          <w:tcPr>
            <w:tcW w:w="1299" w:type="dxa"/>
            <w:tcBorders>
              <w:top w:val="nil"/>
              <w:left w:val="nil"/>
              <w:bottom w:val="single" w:sz="4" w:space="0" w:color="auto"/>
              <w:right w:val="nil"/>
            </w:tcBorders>
            <w:shd w:val="clear" w:color="auto" w:fill="auto"/>
            <w:noWrap/>
            <w:vAlign w:val="bottom"/>
            <w:hideMark/>
          </w:tcPr>
          <w:p w14:paraId="13BEB79D" w14:textId="7777777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23</w:t>
            </w:r>
          </w:p>
        </w:tc>
        <w:tc>
          <w:tcPr>
            <w:tcW w:w="992" w:type="dxa"/>
            <w:tcBorders>
              <w:top w:val="nil"/>
              <w:left w:val="nil"/>
              <w:bottom w:val="single" w:sz="4" w:space="0" w:color="auto"/>
              <w:right w:val="nil"/>
            </w:tcBorders>
            <w:shd w:val="clear" w:color="auto" w:fill="auto"/>
            <w:noWrap/>
            <w:vAlign w:val="bottom"/>
            <w:hideMark/>
          </w:tcPr>
          <w:p w14:paraId="1696B0B8" w14:textId="43217091"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404</w:t>
            </w:r>
            <w:r w:rsidR="00CD34D7" w:rsidRPr="00730B1E">
              <w:rPr>
                <w:rFonts w:eastAsia="Times New Roman"/>
                <w:szCs w:val="24"/>
                <w:lang w:eastAsia="cs-CZ"/>
              </w:rPr>
              <w:t>,</w:t>
            </w:r>
            <w:r w:rsidRPr="00730B1E">
              <w:rPr>
                <w:rFonts w:eastAsia="Times New Roman"/>
                <w:szCs w:val="24"/>
                <w:lang w:eastAsia="cs-CZ"/>
              </w:rPr>
              <w:t>43</w:t>
            </w:r>
          </w:p>
        </w:tc>
        <w:tc>
          <w:tcPr>
            <w:tcW w:w="992" w:type="dxa"/>
            <w:tcBorders>
              <w:top w:val="nil"/>
              <w:left w:val="nil"/>
              <w:bottom w:val="single" w:sz="4" w:space="0" w:color="auto"/>
              <w:right w:val="nil"/>
            </w:tcBorders>
            <w:shd w:val="clear" w:color="auto" w:fill="auto"/>
            <w:noWrap/>
            <w:vAlign w:val="center"/>
            <w:hideMark/>
          </w:tcPr>
          <w:p w14:paraId="2E063C8A"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93" w:type="dxa"/>
            <w:tcBorders>
              <w:top w:val="nil"/>
              <w:left w:val="single" w:sz="4" w:space="0" w:color="auto"/>
              <w:bottom w:val="single" w:sz="4" w:space="0" w:color="auto"/>
              <w:right w:val="nil"/>
            </w:tcBorders>
            <w:shd w:val="clear" w:color="auto" w:fill="auto"/>
            <w:noWrap/>
            <w:vAlign w:val="bottom"/>
            <w:hideMark/>
          </w:tcPr>
          <w:p w14:paraId="404D4EBA" w14:textId="74E8336E"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402</w:t>
            </w:r>
            <w:r w:rsidR="00CD34D7" w:rsidRPr="00730B1E">
              <w:rPr>
                <w:rFonts w:eastAsia="Times New Roman"/>
                <w:szCs w:val="24"/>
                <w:lang w:eastAsia="cs-CZ"/>
              </w:rPr>
              <w:t>,</w:t>
            </w:r>
            <w:r w:rsidRPr="00730B1E">
              <w:rPr>
                <w:rFonts w:eastAsia="Times New Roman"/>
                <w:szCs w:val="24"/>
                <w:lang w:eastAsia="cs-CZ"/>
              </w:rPr>
              <w:t>00</w:t>
            </w:r>
          </w:p>
        </w:tc>
        <w:tc>
          <w:tcPr>
            <w:tcW w:w="992" w:type="dxa"/>
            <w:tcBorders>
              <w:top w:val="nil"/>
              <w:left w:val="nil"/>
              <w:bottom w:val="single" w:sz="4" w:space="0" w:color="auto"/>
              <w:right w:val="single" w:sz="4" w:space="0" w:color="auto"/>
            </w:tcBorders>
            <w:shd w:val="clear" w:color="auto" w:fill="auto"/>
            <w:noWrap/>
            <w:vAlign w:val="center"/>
            <w:hideMark/>
          </w:tcPr>
          <w:p w14:paraId="70D2122E"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992" w:type="dxa"/>
            <w:tcBorders>
              <w:top w:val="nil"/>
              <w:left w:val="nil"/>
              <w:bottom w:val="single" w:sz="4" w:space="0" w:color="auto"/>
              <w:right w:val="nil"/>
            </w:tcBorders>
            <w:shd w:val="clear" w:color="auto" w:fill="auto"/>
            <w:noWrap/>
            <w:vAlign w:val="bottom"/>
            <w:hideMark/>
          </w:tcPr>
          <w:p w14:paraId="46105C08" w14:textId="0B09EB1D"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87</w:t>
            </w:r>
            <w:r w:rsidR="00CD34D7" w:rsidRPr="00730B1E">
              <w:rPr>
                <w:rFonts w:eastAsia="Times New Roman"/>
                <w:szCs w:val="24"/>
                <w:lang w:eastAsia="cs-CZ"/>
              </w:rPr>
              <w:t>,</w:t>
            </w:r>
            <w:r w:rsidRPr="00730B1E">
              <w:rPr>
                <w:rFonts w:eastAsia="Times New Roman"/>
                <w:szCs w:val="24"/>
                <w:lang w:eastAsia="cs-CZ"/>
              </w:rPr>
              <w:t>22</w:t>
            </w:r>
          </w:p>
        </w:tc>
        <w:tc>
          <w:tcPr>
            <w:tcW w:w="992" w:type="dxa"/>
            <w:tcBorders>
              <w:top w:val="nil"/>
              <w:left w:val="nil"/>
              <w:bottom w:val="single" w:sz="4" w:space="0" w:color="auto"/>
              <w:right w:val="nil"/>
            </w:tcBorders>
            <w:shd w:val="clear" w:color="auto" w:fill="auto"/>
            <w:noWrap/>
            <w:vAlign w:val="center"/>
            <w:hideMark/>
          </w:tcPr>
          <w:p w14:paraId="7CA77957"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19ADB1D3" w14:textId="77777777" w:rsidTr="00BB1AD0">
        <w:trPr>
          <w:trHeight w:val="315"/>
        </w:trPr>
        <w:tc>
          <w:tcPr>
            <w:tcW w:w="1820" w:type="dxa"/>
            <w:tcBorders>
              <w:top w:val="nil"/>
              <w:left w:val="nil"/>
              <w:bottom w:val="single" w:sz="4" w:space="0" w:color="auto"/>
              <w:right w:val="nil"/>
            </w:tcBorders>
            <w:shd w:val="clear" w:color="auto" w:fill="auto"/>
            <w:noWrap/>
            <w:vAlign w:val="bottom"/>
            <w:hideMark/>
          </w:tcPr>
          <w:p w14:paraId="1D2BAD1E"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Plzeň</w:t>
            </w:r>
          </w:p>
        </w:tc>
        <w:tc>
          <w:tcPr>
            <w:tcW w:w="1299" w:type="dxa"/>
            <w:tcBorders>
              <w:top w:val="nil"/>
              <w:left w:val="nil"/>
              <w:bottom w:val="single" w:sz="4" w:space="0" w:color="auto"/>
              <w:right w:val="nil"/>
            </w:tcBorders>
            <w:shd w:val="clear" w:color="auto" w:fill="auto"/>
            <w:noWrap/>
            <w:vAlign w:val="bottom"/>
            <w:hideMark/>
          </w:tcPr>
          <w:p w14:paraId="2F9D10B2" w14:textId="168D7D99"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30</w:t>
            </w:r>
            <w:r w:rsidR="00CD34D7" w:rsidRPr="00730B1E">
              <w:rPr>
                <w:rFonts w:eastAsia="Times New Roman"/>
                <w:szCs w:val="24"/>
                <w:lang w:eastAsia="cs-CZ"/>
              </w:rPr>
              <w:t>,</w:t>
            </w:r>
            <w:r w:rsidRPr="00730B1E">
              <w:rPr>
                <w:rFonts w:eastAsia="Times New Roman"/>
                <w:szCs w:val="24"/>
                <w:lang w:eastAsia="cs-CZ"/>
              </w:rPr>
              <w:t>6</w:t>
            </w:r>
          </w:p>
        </w:tc>
        <w:tc>
          <w:tcPr>
            <w:tcW w:w="992" w:type="dxa"/>
            <w:tcBorders>
              <w:top w:val="nil"/>
              <w:left w:val="nil"/>
              <w:bottom w:val="single" w:sz="4" w:space="0" w:color="auto"/>
              <w:right w:val="nil"/>
            </w:tcBorders>
            <w:shd w:val="clear" w:color="auto" w:fill="auto"/>
            <w:noWrap/>
            <w:vAlign w:val="bottom"/>
            <w:hideMark/>
          </w:tcPr>
          <w:p w14:paraId="37964A5E" w14:textId="4D1803B0"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440</w:t>
            </w:r>
            <w:r w:rsidR="00CD34D7" w:rsidRPr="00730B1E">
              <w:rPr>
                <w:rFonts w:eastAsia="Times New Roman"/>
                <w:szCs w:val="24"/>
                <w:lang w:eastAsia="cs-CZ"/>
              </w:rPr>
              <w:t>,</w:t>
            </w:r>
            <w:r w:rsidRPr="00730B1E">
              <w:rPr>
                <w:rFonts w:eastAsia="Times New Roman"/>
                <w:szCs w:val="24"/>
                <w:lang w:eastAsia="cs-CZ"/>
              </w:rPr>
              <w:t>59</w:t>
            </w:r>
          </w:p>
        </w:tc>
        <w:tc>
          <w:tcPr>
            <w:tcW w:w="992" w:type="dxa"/>
            <w:tcBorders>
              <w:top w:val="nil"/>
              <w:left w:val="nil"/>
              <w:bottom w:val="single" w:sz="4" w:space="0" w:color="auto"/>
              <w:right w:val="nil"/>
            </w:tcBorders>
            <w:shd w:val="clear" w:color="auto" w:fill="auto"/>
            <w:noWrap/>
            <w:vAlign w:val="center"/>
            <w:hideMark/>
          </w:tcPr>
          <w:p w14:paraId="1BAFB97D"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993" w:type="dxa"/>
            <w:tcBorders>
              <w:top w:val="nil"/>
              <w:left w:val="single" w:sz="4" w:space="0" w:color="auto"/>
              <w:bottom w:val="single" w:sz="4" w:space="0" w:color="auto"/>
              <w:right w:val="nil"/>
            </w:tcBorders>
            <w:shd w:val="clear" w:color="auto" w:fill="auto"/>
            <w:noWrap/>
            <w:vAlign w:val="bottom"/>
            <w:hideMark/>
          </w:tcPr>
          <w:p w14:paraId="3F6BB2DF" w14:textId="1A4F372D"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429</w:t>
            </w:r>
            <w:r w:rsidR="00CD34D7" w:rsidRPr="00730B1E">
              <w:rPr>
                <w:rFonts w:eastAsia="Times New Roman"/>
                <w:szCs w:val="24"/>
                <w:lang w:eastAsia="cs-CZ"/>
              </w:rPr>
              <w:t>,</w:t>
            </w:r>
            <w:r w:rsidRPr="00730B1E">
              <w:rPr>
                <w:rFonts w:eastAsia="Times New Roman"/>
                <w:szCs w:val="24"/>
                <w:lang w:eastAsia="cs-CZ"/>
              </w:rPr>
              <w:t>35</w:t>
            </w:r>
          </w:p>
        </w:tc>
        <w:tc>
          <w:tcPr>
            <w:tcW w:w="992" w:type="dxa"/>
            <w:tcBorders>
              <w:top w:val="nil"/>
              <w:left w:val="nil"/>
              <w:bottom w:val="single" w:sz="4" w:space="0" w:color="auto"/>
              <w:right w:val="single" w:sz="4" w:space="0" w:color="auto"/>
            </w:tcBorders>
            <w:shd w:val="clear" w:color="auto" w:fill="auto"/>
            <w:noWrap/>
            <w:vAlign w:val="center"/>
            <w:hideMark/>
          </w:tcPr>
          <w:p w14:paraId="21B9F346"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992" w:type="dxa"/>
            <w:tcBorders>
              <w:top w:val="nil"/>
              <w:left w:val="nil"/>
              <w:bottom w:val="single" w:sz="4" w:space="0" w:color="auto"/>
              <w:right w:val="nil"/>
            </w:tcBorders>
            <w:shd w:val="clear" w:color="auto" w:fill="auto"/>
            <w:noWrap/>
            <w:vAlign w:val="bottom"/>
            <w:hideMark/>
          </w:tcPr>
          <w:p w14:paraId="75B68B3C" w14:textId="6C04730A"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123</w:t>
            </w:r>
            <w:r w:rsidR="00CD34D7" w:rsidRPr="00730B1E">
              <w:rPr>
                <w:rFonts w:eastAsia="Times New Roman"/>
                <w:szCs w:val="24"/>
                <w:lang w:eastAsia="cs-CZ"/>
              </w:rPr>
              <w:t>,</w:t>
            </w:r>
            <w:r w:rsidRPr="00730B1E">
              <w:rPr>
                <w:rFonts w:eastAsia="Times New Roman"/>
                <w:szCs w:val="24"/>
                <w:lang w:eastAsia="cs-CZ"/>
              </w:rPr>
              <w:t>56</w:t>
            </w:r>
          </w:p>
        </w:tc>
        <w:tc>
          <w:tcPr>
            <w:tcW w:w="992" w:type="dxa"/>
            <w:tcBorders>
              <w:top w:val="nil"/>
              <w:left w:val="nil"/>
              <w:bottom w:val="single" w:sz="4" w:space="0" w:color="auto"/>
              <w:right w:val="nil"/>
            </w:tcBorders>
            <w:shd w:val="clear" w:color="auto" w:fill="auto"/>
            <w:noWrap/>
            <w:vAlign w:val="center"/>
            <w:hideMark/>
          </w:tcPr>
          <w:p w14:paraId="77086F95"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r>
      <w:tr w:rsidR="00B64E96" w:rsidRPr="00730B1E" w14:paraId="253B3989" w14:textId="77777777" w:rsidTr="00BB1AD0">
        <w:trPr>
          <w:trHeight w:val="315"/>
        </w:trPr>
        <w:tc>
          <w:tcPr>
            <w:tcW w:w="1820" w:type="dxa"/>
            <w:tcBorders>
              <w:top w:val="nil"/>
              <w:left w:val="nil"/>
              <w:bottom w:val="single" w:sz="4" w:space="0" w:color="auto"/>
              <w:right w:val="nil"/>
            </w:tcBorders>
            <w:shd w:val="clear" w:color="auto" w:fill="auto"/>
            <w:noWrap/>
            <w:vAlign w:val="bottom"/>
            <w:hideMark/>
          </w:tcPr>
          <w:p w14:paraId="378BA785"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Ústí n. Labem</w:t>
            </w:r>
          </w:p>
        </w:tc>
        <w:tc>
          <w:tcPr>
            <w:tcW w:w="1299" w:type="dxa"/>
            <w:tcBorders>
              <w:top w:val="nil"/>
              <w:left w:val="nil"/>
              <w:bottom w:val="single" w:sz="4" w:space="0" w:color="auto"/>
              <w:right w:val="nil"/>
            </w:tcBorders>
            <w:shd w:val="clear" w:color="auto" w:fill="auto"/>
            <w:noWrap/>
            <w:vAlign w:val="bottom"/>
            <w:hideMark/>
          </w:tcPr>
          <w:p w14:paraId="03A6782E" w14:textId="01BE4198"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48</w:t>
            </w:r>
            <w:r w:rsidR="00CD34D7" w:rsidRPr="00730B1E">
              <w:rPr>
                <w:rFonts w:eastAsia="Times New Roman"/>
                <w:szCs w:val="24"/>
                <w:lang w:eastAsia="cs-CZ"/>
              </w:rPr>
              <w:t>,</w:t>
            </w:r>
            <w:r w:rsidRPr="00730B1E">
              <w:rPr>
                <w:rFonts w:eastAsia="Times New Roman"/>
                <w:szCs w:val="24"/>
                <w:lang w:eastAsia="cs-CZ"/>
              </w:rPr>
              <w:t>87</w:t>
            </w:r>
          </w:p>
        </w:tc>
        <w:tc>
          <w:tcPr>
            <w:tcW w:w="992" w:type="dxa"/>
            <w:tcBorders>
              <w:top w:val="nil"/>
              <w:left w:val="nil"/>
              <w:bottom w:val="single" w:sz="4" w:space="0" w:color="auto"/>
              <w:right w:val="nil"/>
            </w:tcBorders>
            <w:shd w:val="clear" w:color="auto" w:fill="auto"/>
            <w:noWrap/>
            <w:vAlign w:val="bottom"/>
            <w:hideMark/>
          </w:tcPr>
          <w:p w14:paraId="245D2E8A" w14:textId="7AE71A8A"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397</w:t>
            </w:r>
            <w:r w:rsidR="00CD34D7" w:rsidRPr="00730B1E">
              <w:rPr>
                <w:rFonts w:eastAsia="Times New Roman"/>
                <w:szCs w:val="24"/>
                <w:lang w:eastAsia="cs-CZ"/>
              </w:rPr>
              <w:t>,</w:t>
            </w:r>
            <w:r w:rsidRPr="00730B1E">
              <w:rPr>
                <w:rFonts w:eastAsia="Times New Roman"/>
                <w:szCs w:val="24"/>
                <w:lang w:eastAsia="cs-CZ"/>
              </w:rPr>
              <w:t>77</w:t>
            </w:r>
          </w:p>
        </w:tc>
        <w:tc>
          <w:tcPr>
            <w:tcW w:w="992" w:type="dxa"/>
            <w:tcBorders>
              <w:top w:val="nil"/>
              <w:left w:val="nil"/>
              <w:bottom w:val="single" w:sz="4" w:space="0" w:color="auto"/>
              <w:right w:val="nil"/>
            </w:tcBorders>
            <w:shd w:val="clear" w:color="auto" w:fill="auto"/>
            <w:noWrap/>
            <w:vAlign w:val="center"/>
            <w:hideMark/>
          </w:tcPr>
          <w:p w14:paraId="25CF35F5"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93" w:type="dxa"/>
            <w:tcBorders>
              <w:top w:val="nil"/>
              <w:left w:val="single" w:sz="4" w:space="0" w:color="auto"/>
              <w:bottom w:val="single" w:sz="4" w:space="0" w:color="auto"/>
              <w:right w:val="nil"/>
            </w:tcBorders>
            <w:shd w:val="clear" w:color="auto" w:fill="auto"/>
            <w:noWrap/>
            <w:vAlign w:val="bottom"/>
            <w:hideMark/>
          </w:tcPr>
          <w:p w14:paraId="1955B8F8" w14:textId="0EF2146D"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395</w:t>
            </w:r>
            <w:r w:rsidR="00CD34D7" w:rsidRPr="00730B1E">
              <w:rPr>
                <w:rFonts w:eastAsia="Times New Roman"/>
                <w:szCs w:val="24"/>
                <w:lang w:eastAsia="cs-CZ"/>
              </w:rPr>
              <w:t>,</w:t>
            </w:r>
            <w:r w:rsidRPr="00730B1E">
              <w:rPr>
                <w:rFonts w:eastAsia="Times New Roman"/>
                <w:szCs w:val="24"/>
                <w:lang w:eastAsia="cs-CZ"/>
              </w:rPr>
              <w:t>83</w:t>
            </w:r>
          </w:p>
        </w:tc>
        <w:tc>
          <w:tcPr>
            <w:tcW w:w="992" w:type="dxa"/>
            <w:tcBorders>
              <w:top w:val="nil"/>
              <w:left w:val="nil"/>
              <w:bottom w:val="single" w:sz="4" w:space="0" w:color="auto"/>
              <w:right w:val="single" w:sz="4" w:space="0" w:color="auto"/>
            </w:tcBorders>
            <w:shd w:val="clear" w:color="auto" w:fill="auto"/>
            <w:noWrap/>
            <w:vAlign w:val="center"/>
            <w:hideMark/>
          </w:tcPr>
          <w:p w14:paraId="08A5C815"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992" w:type="dxa"/>
            <w:tcBorders>
              <w:top w:val="nil"/>
              <w:left w:val="nil"/>
              <w:bottom w:val="single" w:sz="4" w:space="0" w:color="auto"/>
              <w:right w:val="nil"/>
            </w:tcBorders>
            <w:shd w:val="clear" w:color="auto" w:fill="auto"/>
            <w:noWrap/>
            <w:vAlign w:val="bottom"/>
            <w:hideMark/>
          </w:tcPr>
          <w:p w14:paraId="5AF973C4" w14:textId="7FC235C0"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109</w:t>
            </w:r>
            <w:r w:rsidR="00CD34D7" w:rsidRPr="00730B1E">
              <w:rPr>
                <w:rFonts w:eastAsia="Times New Roman"/>
                <w:szCs w:val="24"/>
                <w:lang w:eastAsia="cs-CZ"/>
              </w:rPr>
              <w:t>,</w:t>
            </w:r>
            <w:r w:rsidRPr="00730B1E">
              <w:rPr>
                <w:rFonts w:eastAsia="Times New Roman"/>
                <w:szCs w:val="24"/>
                <w:lang w:eastAsia="cs-CZ"/>
              </w:rPr>
              <w:t>15</w:t>
            </w:r>
          </w:p>
        </w:tc>
        <w:tc>
          <w:tcPr>
            <w:tcW w:w="992" w:type="dxa"/>
            <w:tcBorders>
              <w:top w:val="nil"/>
              <w:left w:val="nil"/>
              <w:bottom w:val="single" w:sz="4" w:space="0" w:color="auto"/>
              <w:right w:val="nil"/>
            </w:tcBorders>
            <w:shd w:val="clear" w:color="auto" w:fill="auto"/>
            <w:noWrap/>
            <w:vAlign w:val="center"/>
            <w:hideMark/>
          </w:tcPr>
          <w:p w14:paraId="2EDB1180"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5E6656B7" w14:textId="77777777" w:rsidTr="00BB1AD0">
        <w:trPr>
          <w:trHeight w:val="315"/>
        </w:trPr>
        <w:tc>
          <w:tcPr>
            <w:tcW w:w="1820" w:type="dxa"/>
            <w:tcBorders>
              <w:top w:val="nil"/>
              <w:left w:val="nil"/>
              <w:bottom w:val="single" w:sz="4" w:space="0" w:color="auto"/>
              <w:right w:val="nil"/>
            </w:tcBorders>
            <w:shd w:val="clear" w:color="auto" w:fill="auto"/>
            <w:noWrap/>
            <w:vAlign w:val="bottom"/>
            <w:hideMark/>
          </w:tcPr>
          <w:p w14:paraId="6C1B1508"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Hr. Králové</w:t>
            </w:r>
          </w:p>
        </w:tc>
        <w:tc>
          <w:tcPr>
            <w:tcW w:w="1299" w:type="dxa"/>
            <w:tcBorders>
              <w:top w:val="nil"/>
              <w:left w:val="nil"/>
              <w:bottom w:val="single" w:sz="4" w:space="0" w:color="auto"/>
              <w:right w:val="nil"/>
            </w:tcBorders>
            <w:shd w:val="clear" w:color="auto" w:fill="auto"/>
            <w:noWrap/>
            <w:vAlign w:val="bottom"/>
            <w:hideMark/>
          </w:tcPr>
          <w:p w14:paraId="6602D30F" w14:textId="5894F21F"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43</w:t>
            </w:r>
            <w:r w:rsidR="00CD34D7" w:rsidRPr="00730B1E">
              <w:rPr>
                <w:rFonts w:eastAsia="Times New Roman"/>
                <w:szCs w:val="24"/>
                <w:lang w:eastAsia="cs-CZ"/>
              </w:rPr>
              <w:t>,</w:t>
            </w:r>
            <w:r w:rsidRPr="00730B1E">
              <w:rPr>
                <w:rFonts w:eastAsia="Times New Roman"/>
                <w:szCs w:val="24"/>
                <w:lang w:eastAsia="cs-CZ"/>
              </w:rPr>
              <w:t>35</w:t>
            </w:r>
          </w:p>
        </w:tc>
        <w:tc>
          <w:tcPr>
            <w:tcW w:w="992" w:type="dxa"/>
            <w:tcBorders>
              <w:top w:val="nil"/>
              <w:left w:val="nil"/>
              <w:bottom w:val="single" w:sz="4" w:space="0" w:color="auto"/>
              <w:right w:val="nil"/>
            </w:tcBorders>
            <w:shd w:val="clear" w:color="auto" w:fill="auto"/>
            <w:noWrap/>
            <w:vAlign w:val="bottom"/>
            <w:hideMark/>
          </w:tcPr>
          <w:p w14:paraId="1567C9BB" w14:textId="62F3E42C"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382</w:t>
            </w:r>
            <w:r w:rsidR="00CD34D7" w:rsidRPr="00730B1E">
              <w:rPr>
                <w:rFonts w:eastAsia="Times New Roman"/>
                <w:szCs w:val="24"/>
                <w:lang w:eastAsia="cs-CZ"/>
              </w:rPr>
              <w:t>,</w:t>
            </w:r>
            <w:r w:rsidRPr="00730B1E">
              <w:rPr>
                <w:rFonts w:eastAsia="Times New Roman"/>
                <w:szCs w:val="24"/>
                <w:lang w:eastAsia="cs-CZ"/>
              </w:rPr>
              <w:t>19</w:t>
            </w:r>
          </w:p>
        </w:tc>
        <w:tc>
          <w:tcPr>
            <w:tcW w:w="992" w:type="dxa"/>
            <w:tcBorders>
              <w:top w:val="nil"/>
              <w:left w:val="nil"/>
              <w:bottom w:val="single" w:sz="4" w:space="0" w:color="auto"/>
              <w:right w:val="nil"/>
            </w:tcBorders>
            <w:shd w:val="clear" w:color="auto" w:fill="auto"/>
            <w:noWrap/>
            <w:vAlign w:val="center"/>
            <w:hideMark/>
          </w:tcPr>
          <w:p w14:paraId="49B2D842"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93" w:type="dxa"/>
            <w:tcBorders>
              <w:top w:val="nil"/>
              <w:left w:val="single" w:sz="4" w:space="0" w:color="auto"/>
              <w:bottom w:val="single" w:sz="4" w:space="0" w:color="auto"/>
              <w:right w:val="nil"/>
            </w:tcBorders>
            <w:shd w:val="clear" w:color="auto" w:fill="auto"/>
            <w:noWrap/>
            <w:vAlign w:val="bottom"/>
            <w:hideMark/>
          </w:tcPr>
          <w:p w14:paraId="6D1F4732" w14:textId="41856106"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363</w:t>
            </w:r>
            <w:r w:rsidR="00CD34D7" w:rsidRPr="00730B1E">
              <w:rPr>
                <w:rFonts w:eastAsia="Times New Roman"/>
                <w:szCs w:val="24"/>
                <w:lang w:eastAsia="cs-CZ"/>
              </w:rPr>
              <w:t>,</w:t>
            </w:r>
            <w:r w:rsidRPr="00730B1E">
              <w:rPr>
                <w:rFonts w:eastAsia="Times New Roman"/>
                <w:szCs w:val="24"/>
                <w:lang w:eastAsia="cs-CZ"/>
              </w:rPr>
              <w:t>37</w:t>
            </w:r>
          </w:p>
        </w:tc>
        <w:tc>
          <w:tcPr>
            <w:tcW w:w="992" w:type="dxa"/>
            <w:tcBorders>
              <w:top w:val="nil"/>
              <w:left w:val="nil"/>
              <w:bottom w:val="single" w:sz="4" w:space="0" w:color="auto"/>
              <w:right w:val="single" w:sz="4" w:space="0" w:color="auto"/>
            </w:tcBorders>
            <w:shd w:val="clear" w:color="auto" w:fill="auto"/>
            <w:noWrap/>
            <w:vAlign w:val="center"/>
            <w:hideMark/>
          </w:tcPr>
          <w:p w14:paraId="63FB4698"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992" w:type="dxa"/>
            <w:tcBorders>
              <w:top w:val="nil"/>
              <w:left w:val="nil"/>
              <w:bottom w:val="single" w:sz="4" w:space="0" w:color="auto"/>
              <w:right w:val="nil"/>
            </w:tcBorders>
            <w:shd w:val="clear" w:color="auto" w:fill="auto"/>
            <w:noWrap/>
            <w:vAlign w:val="bottom"/>
            <w:hideMark/>
          </w:tcPr>
          <w:p w14:paraId="39D011C2" w14:textId="34E7F261"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110</w:t>
            </w:r>
            <w:r w:rsidR="00CD34D7" w:rsidRPr="00730B1E">
              <w:rPr>
                <w:rFonts w:eastAsia="Times New Roman"/>
                <w:szCs w:val="24"/>
                <w:lang w:eastAsia="cs-CZ"/>
              </w:rPr>
              <w:t>,</w:t>
            </w:r>
            <w:r w:rsidRPr="00730B1E">
              <w:rPr>
                <w:rFonts w:eastAsia="Times New Roman"/>
                <w:szCs w:val="24"/>
                <w:lang w:eastAsia="cs-CZ"/>
              </w:rPr>
              <w:t>66</w:t>
            </w:r>
          </w:p>
        </w:tc>
        <w:tc>
          <w:tcPr>
            <w:tcW w:w="992" w:type="dxa"/>
            <w:tcBorders>
              <w:top w:val="nil"/>
              <w:left w:val="nil"/>
              <w:bottom w:val="single" w:sz="4" w:space="0" w:color="auto"/>
              <w:right w:val="nil"/>
            </w:tcBorders>
            <w:shd w:val="clear" w:color="auto" w:fill="auto"/>
            <w:noWrap/>
            <w:vAlign w:val="center"/>
            <w:hideMark/>
          </w:tcPr>
          <w:p w14:paraId="7E45FF76"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r>
      <w:tr w:rsidR="00B64E96" w:rsidRPr="00730B1E" w14:paraId="67F9D2F0" w14:textId="77777777" w:rsidTr="00BB1AD0">
        <w:trPr>
          <w:trHeight w:val="315"/>
        </w:trPr>
        <w:tc>
          <w:tcPr>
            <w:tcW w:w="1820" w:type="dxa"/>
            <w:tcBorders>
              <w:top w:val="nil"/>
              <w:left w:val="nil"/>
              <w:bottom w:val="single" w:sz="4" w:space="0" w:color="auto"/>
              <w:right w:val="nil"/>
            </w:tcBorders>
            <w:shd w:val="clear" w:color="auto" w:fill="auto"/>
            <w:noWrap/>
            <w:vAlign w:val="bottom"/>
            <w:hideMark/>
          </w:tcPr>
          <w:p w14:paraId="17198645"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Brno</w:t>
            </w:r>
          </w:p>
        </w:tc>
        <w:tc>
          <w:tcPr>
            <w:tcW w:w="1299" w:type="dxa"/>
            <w:tcBorders>
              <w:top w:val="nil"/>
              <w:left w:val="nil"/>
              <w:bottom w:val="single" w:sz="4" w:space="0" w:color="auto"/>
              <w:right w:val="nil"/>
            </w:tcBorders>
            <w:shd w:val="clear" w:color="auto" w:fill="auto"/>
            <w:noWrap/>
            <w:vAlign w:val="bottom"/>
            <w:hideMark/>
          </w:tcPr>
          <w:p w14:paraId="4940CC19" w14:textId="414A4CDA"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55</w:t>
            </w:r>
            <w:r w:rsidR="00CD34D7" w:rsidRPr="00730B1E">
              <w:rPr>
                <w:rFonts w:eastAsia="Times New Roman"/>
                <w:szCs w:val="24"/>
                <w:lang w:eastAsia="cs-CZ"/>
              </w:rPr>
              <w:t>,</w:t>
            </w:r>
            <w:r w:rsidRPr="00730B1E">
              <w:rPr>
                <w:rFonts w:eastAsia="Times New Roman"/>
                <w:szCs w:val="24"/>
                <w:lang w:eastAsia="cs-CZ"/>
              </w:rPr>
              <w:t>2</w:t>
            </w:r>
          </w:p>
        </w:tc>
        <w:tc>
          <w:tcPr>
            <w:tcW w:w="992" w:type="dxa"/>
            <w:tcBorders>
              <w:top w:val="nil"/>
              <w:left w:val="nil"/>
              <w:bottom w:val="single" w:sz="4" w:space="0" w:color="auto"/>
              <w:right w:val="nil"/>
            </w:tcBorders>
            <w:shd w:val="clear" w:color="auto" w:fill="auto"/>
            <w:noWrap/>
            <w:vAlign w:val="bottom"/>
            <w:hideMark/>
          </w:tcPr>
          <w:p w14:paraId="55E2BC6A" w14:textId="5A732A53"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422</w:t>
            </w:r>
            <w:r w:rsidR="00CD34D7" w:rsidRPr="00730B1E">
              <w:rPr>
                <w:rFonts w:eastAsia="Times New Roman"/>
                <w:szCs w:val="24"/>
                <w:lang w:eastAsia="cs-CZ"/>
              </w:rPr>
              <w:t>,</w:t>
            </w:r>
            <w:r w:rsidRPr="00730B1E">
              <w:rPr>
                <w:rFonts w:eastAsia="Times New Roman"/>
                <w:szCs w:val="24"/>
                <w:lang w:eastAsia="cs-CZ"/>
              </w:rPr>
              <w:t>92</w:t>
            </w:r>
          </w:p>
        </w:tc>
        <w:tc>
          <w:tcPr>
            <w:tcW w:w="992" w:type="dxa"/>
            <w:tcBorders>
              <w:top w:val="nil"/>
              <w:left w:val="nil"/>
              <w:bottom w:val="single" w:sz="4" w:space="0" w:color="auto"/>
              <w:right w:val="nil"/>
            </w:tcBorders>
            <w:shd w:val="clear" w:color="auto" w:fill="auto"/>
            <w:noWrap/>
            <w:vAlign w:val="center"/>
            <w:hideMark/>
          </w:tcPr>
          <w:p w14:paraId="76630678"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993" w:type="dxa"/>
            <w:tcBorders>
              <w:top w:val="nil"/>
              <w:left w:val="single" w:sz="4" w:space="0" w:color="auto"/>
              <w:bottom w:val="single" w:sz="4" w:space="0" w:color="auto"/>
              <w:right w:val="nil"/>
            </w:tcBorders>
            <w:shd w:val="clear" w:color="auto" w:fill="auto"/>
            <w:noWrap/>
            <w:vAlign w:val="bottom"/>
            <w:hideMark/>
          </w:tcPr>
          <w:p w14:paraId="4FFC333D" w14:textId="0F2B97E9"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404</w:t>
            </w:r>
            <w:r w:rsidR="00CD34D7" w:rsidRPr="00730B1E">
              <w:rPr>
                <w:rFonts w:eastAsia="Times New Roman"/>
                <w:szCs w:val="24"/>
                <w:lang w:eastAsia="cs-CZ"/>
              </w:rPr>
              <w:t>,</w:t>
            </w:r>
            <w:r w:rsidRPr="00730B1E">
              <w:rPr>
                <w:rFonts w:eastAsia="Times New Roman"/>
                <w:szCs w:val="24"/>
                <w:lang w:eastAsia="cs-CZ"/>
              </w:rPr>
              <w:t>53</w:t>
            </w:r>
          </w:p>
        </w:tc>
        <w:tc>
          <w:tcPr>
            <w:tcW w:w="992" w:type="dxa"/>
            <w:tcBorders>
              <w:top w:val="nil"/>
              <w:left w:val="nil"/>
              <w:bottom w:val="single" w:sz="4" w:space="0" w:color="auto"/>
              <w:right w:val="single" w:sz="4" w:space="0" w:color="auto"/>
            </w:tcBorders>
            <w:shd w:val="clear" w:color="auto" w:fill="auto"/>
            <w:noWrap/>
            <w:vAlign w:val="center"/>
            <w:hideMark/>
          </w:tcPr>
          <w:p w14:paraId="19467890"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c>
          <w:tcPr>
            <w:tcW w:w="992" w:type="dxa"/>
            <w:tcBorders>
              <w:top w:val="nil"/>
              <w:left w:val="nil"/>
              <w:bottom w:val="single" w:sz="4" w:space="0" w:color="auto"/>
              <w:right w:val="nil"/>
            </w:tcBorders>
            <w:shd w:val="clear" w:color="auto" w:fill="auto"/>
            <w:noWrap/>
            <w:vAlign w:val="bottom"/>
            <w:hideMark/>
          </w:tcPr>
          <w:p w14:paraId="3F8BF824" w14:textId="166F6C63"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146</w:t>
            </w:r>
            <w:r w:rsidR="00CD34D7" w:rsidRPr="00730B1E">
              <w:rPr>
                <w:rFonts w:eastAsia="Times New Roman"/>
                <w:szCs w:val="24"/>
                <w:lang w:eastAsia="cs-CZ"/>
              </w:rPr>
              <w:t>,</w:t>
            </w:r>
            <w:r w:rsidRPr="00730B1E">
              <w:rPr>
                <w:rFonts w:eastAsia="Times New Roman"/>
                <w:szCs w:val="24"/>
                <w:lang w:eastAsia="cs-CZ"/>
              </w:rPr>
              <w:t>70</w:t>
            </w:r>
          </w:p>
        </w:tc>
        <w:tc>
          <w:tcPr>
            <w:tcW w:w="992" w:type="dxa"/>
            <w:tcBorders>
              <w:top w:val="nil"/>
              <w:left w:val="nil"/>
              <w:bottom w:val="single" w:sz="4" w:space="0" w:color="auto"/>
              <w:right w:val="nil"/>
            </w:tcBorders>
            <w:shd w:val="clear" w:color="auto" w:fill="auto"/>
            <w:noWrap/>
            <w:vAlign w:val="center"/>
            <w:hideMark/>
          </w:tcPr>
          <w:p w14:paraId="77BB5005"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r>
      <w:tr w:rsidR="00B64E96" w:rsidRPr="00730B1E" w14:paraId="6E6374AA" w14:textId="77777777" w:rsidTr="00BB1AD0">
        <w:trPr>
          <w:trHeight w:val="330"/>
        </w:trPr>
        <w:tc>
          <w:tcPr>
            <w:tcW w:w="1820" w:type="dxa"/>
            <w:tcBorders>
              <w:top w:val="nil"/>
              <w:left w:val="nil"/>
              <w:bottom w:val="double" w:sz="6" w:space="0" w:color="auto"/>
              <w:right w:val="nil"/>
            </w:tcBorders>
            <w:shd w:val="clear" w:color="auto" w:fill="auto"/>
            <w:noWrap/>
            <w:vAlign w:val="bottom"/>
            <w:hideMark/>
          </w:tcPr>
          <w:p w14:paraId="761E3C97" w14:textId="77777777" w:rsidR="00DD1C79" w:rsidRPr="00730B1E" w:rsidRDefault="00DD1C79" w:rsidP="00DD1C79">
            <w:pPr>
              <w:spacing w:line="240" w:lineRule="auto"/>
              <w:jc w:val="left"/>
              <w:rPr>
                <w:rFonts w:eastAsia="Times New Roman"/>
                <w:szCs w:val="24"/>
                <w:lang w:eastAsia="cs-CZ"/>
              </w:rPr>
            </w:pPr>
            <w:r w:rsidRPr="00730B1E">
              <w:rPr>
                <w:rFonts w:eastAsia="Times New Roman"/>
                <w:szCs w:val="24"/>
                <w:lang w:eastAsia="cs-CZ"/>
              </w:rPr>
              <w:t>KS Ostrava</w:t>
            </w:r>
          </w:p>
        </w:tc>
        <w:tc>
          <w:tcPr>
            <w:tcW w:w="1299" w:type="dxa"/>
            <w:tcBorders>
              <w:top w:val="nil"/>
              <w:left w:val="nil"/>
              <w:bottom w:val="double" w:sz="6" w:space="0" w:color="auto"/>
              <w:right w:val="nil"/>
            </w:tcBorders>
            <w:shd w:val="clear" w:color="auto" w:fill="auto"/>
            <w:noWrap/>
            <w:vAlign w:val="bottom"/>
            <w:hideMark/>
          </w:tcPr>
          <w:p w14:paraId="01077348" w14:textId="4B9DC1EB"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72</w:t>
            </w:r>
            <w:r w:rsidR="00CD34D7" w:rsidRPr="00730B1E">
              <w:rPr>
                <w:rFonts w:eastAsia="Times New Roman"/>
                <w:szCs w:val="24"/>
                <w:lang w:eastAsia="cs-CZ"/>
              </w:rPr>
              <w:t>,</w:t>
            </w:r>
            <w:r w:rsidRPr="00730B1E">
              <w:rPr>
                <w:rFonts w:eastAsia="Times New Roman"/>
                <w:szCs w:val="24"/>
                <w:lang w:eastAsia="cs-CZ"/>
              </w:rPr>
              <w:t>6</w:t>
            </w:r>
          </w:p>
        </w:tc>
        <w:tc>
          <w:tcPr>
            <w:tcW w:w="992" w:type="dxa"/>
            <w:tcBorders>
              <w:top w:val="nil"/>
              <w:left w:val="nil"/>
              <w:bottom w:val="double" w:sz="6" w:space="0" w:color="auto"/>
              <w:right w:val="nil"/>
            </w:tcBorders>
            <w:shd w:val="clear" w:color="auto" w:fill="auto"/>
            <w:noWrap/>
            <w:vAlign w:val="bottom"/>
            <w:hideMark/>
          </w:tcPr>
          <w:p w14:paraId="15DE3F8A" w14:textId="7E2537CC"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360</w:t>
            </w:r>
            <w:r w:rsidR="00CD34D7" w:rsidRPr="00730B1E">
              <w:rPr>
                <w:rFonts w:eastAsia="Times New Roman"/>
                <w:szCs w:val="24"/>
                <w:lang w:eastAsia="cs-CZ"/>
              </w:rPr>
              <w:t>,</w:t>
            </w:r>
            <w:r w:rsidRPr="00730B1E">
              <w:rPr>
                <w:rFonts w:eastAsia="Times New Roman"/>
                <w:szCs w:val="24"/>
                <w:lang w:eastAsia="cs-CZ"/>
              </w:rPr>
              <w:t>10</w:t>
            </w:r>
          </w:p>
        </w:tc>
        <w:tc>
          <w:tcPr>
            <w:tcW w:w="992" w:type="dxa"/>
            <w:tcBorders>
              <w:top w:val="nil"/>
              <w:left w:val="nil"/>
              <w:bottom w:val="double" w:sz="6" w:space="0" w:color="auto"/>
              <w:right w:val="nil"/>
            </w:tcBorders>
            <w:shd w:val="clear" w:color="auto" w:fill="auto"/>
            <w:noWrap/>
            <w:vAlign w:val="center"/>
            <w:hideMark/>
          </w:tcPr>
          <w:p w14:paraId="0A385553"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993" w:type="dxa"/>
            <w:tcBorders>
              <w:top w:val="nil"/>
              <w:left w:val="single" w:sz="4" w:space="0" w:color="auto"/>
              <w:bottom w:val="double" w:sz="6" w:space="0" w:color="auto"/>
              <w:right w:val="nil"/>
            </w:tcBorders>
            <w:shd w:val="clear" w:color="auto" w:fill="auto"/>
            <w:noWrap/>
            <w:vAlign w:val="bottom"/>
            <w:hideMark/>
          </w:tcPr>
          <w:p w14:paraId="2E2DF502" w14:textId="5E17B7F7"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357</w:t>
            </w:r>
            <w:r w:rsidR="00CD34D7" w:rsidRPr="00730B1E">
              <w:rPr>
                <w:rFonts w:eastAsia="Times New Roman"/>
                <w:szCs w:val="24"/>
                <w:lang w:eastAsia="cs-CZ"/>
              </w:rPr>
              <w:t>,</w:t>
            </w:r>
            <w:r w:rsidRPr="00730B1E">
              <w:rPr>
                <w:rFonts w:eastAsia="Times New Roman"/>
                <w:szCs w:val="24"/>
                <w:lang w:eastAsia="cs-CZ"/>
              </w:rPr>
              <w:t>71</w:t>
            </w:r>
          </w:p>
        </w:tc>
        <w:tc>
          <w:tcPr>
            <w:tcW w:w="992" w:type="dxa"/>
            <w:tcBorders>
              <w:top w:val="nil"/>
              <w:left w:val="nil"/>
              <w:bottom w:val="double" w:sz="6" w:space="0" w:color="auto"/>
              <w:right w:val="single" w:sz="4" w:space="0" w:color="auto"/>
            </w:tcBorders>
            <w:shd w:val="clear" w:color="auto" w:fill="auto"/>
            <w:noWrap/>
            <w:vAlign w:val="center"/>
            <w:hideMark/>
          </w:tcPr>
          <w:p w14:paraId="341D1120"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992" w:type="dxa"/>
            <w:tcBorders>
              <w:top w:val="nil"/>
              <w:left w:val="nil"/>
              <w:bottom w:val="double" w:sz="6" w:space="0" w:color="auto"/>
              <w:right w:val="nil"/>
            </w:tcBorders>
            <w:shd w:val="clear" w:color="auto" w:fill="auto"/>
            <w:noWrap/>
            <w:vAlign w:val="bottom"/>
            <w:hideMark/>
          </w:tcPr>
          <w:p w14:paraId="5A26CE14" w14:textId="4EF959FE" w:rsidR="00DD1C79" w:rsidRPr="00730B1E" w:rsidRDefault="00DD1C79" w:rsidP="00DD1C79">
            <w:pPr>
              <w:spacing w:line="240" w:lineRule="auto"/>
              <w:jc w:val="center"/>
              <w:rPr>
                <w:rFonts w:eastAsia="Times New Roman"/>
                <w:szCs w:val="24"/>
                <w:lang w:eastAsia="cs-CZ"/>
              </w:rPr>
            </w:pPr>
            <w:r w:rsidRPr="00730B1E">
              <w:rPr>
                <w:rFonts w:eastAsia="Times New Roman"/>
                <w:szCs w:val="24"/>
                <w:lang w:eastAsia="cs-CZ"/>
              </w:rPr>
              <w:t>111</w:t>
            </w:r>
            <w:r w:rsidR="00CD34D7" w:rsidRPr="00730B1E">
              <w:rPr>
                <w:rFonts w:eastAsia="Times New Roman"/>
                <w:szCs w:val="24"/>
                <w:lang w:eastAsia="cs-CZ"/>
              </w:rPr>
              <w:t>,</w:t>
            </w:r>
            <w:r w:rsidRPr="00730B1E">
              <w:rPr>
                <w:rFonts w:eastAsia="Times New Roman"/>
                <w:szCs w:val="24"/>
                <w:lang w:eastAsia="cs-CZ"/>
              </w:rPr>
              <w:t>01</w:t>
            </w:r>
          </w:p>
        </w:tc>
        <w:tc>
          <w:tcPr>
            <w:tcW w:w="992" w:type="dxa"/>
            <w:tcBorders>
              <w:top w:val="nil"/>
              <w:left w:val="nil"/>
              <w:bottom w:val="double" w:sz="6" w:space="0" w:color="auto"/>
              <w:right w:val="nil"/>
            </w:tcBorders>
            <w:shd w:val="clear" w:color="auto" w:fill="auto"/>
            <w:noWrap/>
            <w:vAlign w:val="center"/>
            <w:hideMark/>
          </w:tcPr>
          <w:p w14:paraId="1DBCC878" w14:textId="77777777" w:rsidR="00DD1C79" w:rsidRPr="00730B1E" w:rsidRDefault="00DD1C79" w:rsidP="00DD1C7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29742F6D" w14:textId="77777777" w:rsidTr="00BB1AD0">
        <w:trPr>
          <w:trHeight w:val="345"/>
        </w:trPr>
        <w:tc>
          <w:tcPr>
            <w:tcW w:w="1820" w:type="dxa"/>
            <w:tcBorders>
              <w:top w:val="nil"/>
              <w:left w:val="nil"/>
              <w:bottom w:val="double" w:sz="6" w:space="0" w:color="auto"/>
              <w:right w:val="nil"/>
            </w:tcBorders>
            <w:shd w:val="clear" w:color="auto" w:fill="auto"/>
            <w:noWrap/>
            <w:vAlign w:val="bottom"/>
            <w:hideMark/>
          </w:tcPr>
          <w:p w14:paraId="787F8C20" w14:textId="77777777" w:rsidR="00DD1C79" w:rsidRPr="00730B1E" w:rsidRDefault="00DD1C79" w:rsidP="00DD1C79">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299" w:type="dxa"/>
            <w:tcBorders>
              <w:top w:val="nil"/>
              <w:left w:val="nil"/>
              <w:bottom w:val="double" w:sz="6" w:space="0" w:color="auto"/>
              <w:right w:val="nil"/>
            </w:tcBorders>
            <w:shd w:val="clear" w:color="auto" w:fill="auto"/>
            <w:noWrap/>
            <w:vAlign w:val="bottom"/>
            <w:hideMark/>
          </w:tcPr>
          <w:p w14:paraId="502F96E5" w14:textId="77777777"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367</w:t>
            </w:r>
          </w:p>
        </w:tc>
        <w:tc>
          <w:tcPr>
            <w:tcW w:w="992" w:type="dxa"/>
            <w:tcBorders>
              <w:top w:val="nil"/>
              <w:left w:val="nil"/>
              <w:bottom w:val="double" w:sz="6" w:space="0" w:color="auto"/>
              <w:right w:val="nil"/>
            </w:tcBorders>
            <w:shd w:val="clear" w:color="auto" w:fill="auto"/>
            <w:noWrap/>
            <w:vAlign w:val="bottom"/>
            <w:hideMark/>
          </w:tcPr>
          <w:p w14:paraId="4CBC9EFD" w14:textId="4EFE4841"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386</w:t>
            </w:r>
            <w:r w:rsidR="00CD34D7" w:rsidRPr="00730B1E">
              <w:rPr>
                <w:rFonts w:eastAsia="Times New Roman"/>
                <w:b/>
                <w:bCs/>
                <w:szCs w:val="24"/>
                <w:lang w:eastAsia="cs-CZ"/>
              </w:rPr>
              <w:t>,</w:t>
            </w:r>
            <w:r w:rsidRPr="00730B1E">
              <w:rPr>
                <w:rFonts w:eastAsia="Times New Roman"/>
                <w:b/>
                <w:bCs/>
                <w:szCs w:val="24"/>
                <w:lang w:eastAsia="cs-CZ"/>
              </w:rPr>
              <w:t>49</w:t>
            </w:r>
          </w:p>
        </w:tc>
        <w:tc>
          <w:tcPr>
            <w:tcW w:w="992" w:type="dxa"/>
            <w:tcBorders>
              <w:top w:val="nil"/>
              <w:left w:val="nil"/>
              <w:bottom w:val="double" w:sz="6" w:space="0" w:color="auto"/>
              <w:right w:val="nil"/>
            </w:tcBorders>
            <w:shd w:val="clear" w:color="auto" w:fill="auto"/>
            <w:noWrap/>
            <w:vAlign w:val="center"/>
            <w:hideMark/>
          </w:tcPr>
          <w:p w14:paraId="7B2C3AE8" w14:textId="77777777" w:rsidR="00DD1C79" w:rsidRPr="00730B1E" w:rsidRDefault="00DD1C79" w:rsidP="00DD1C7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+3 %  </w:t>
            </w:r>
          </w:p>
        </w:tc>
        <w:tc>
          <w:tcPr>
            <w:tcW w:w="993" w:type="dxa"/>
            <w:tcBorders>
              <w:top w:val="nil"/>
              <w:left w:val="single" w:sz="4" w:space="0" w:color="auto"/>
              <w:bottom w:val="double" w:sz="6" w:space="0" w:color="auto"/>
              <w:right w:val="nil"/>
            </w:tcBorders>
            <w:shd w:val="clear" w:color="auto" w:fill="auto"/>
            <w:noWrap/>
            <w:vAlign w:val="bottom"/>
            <w:hideMark/>
          </w:tcPr>
          <w:p w14:paraId="6ADCBECE" w14:textId="0C26BD6F"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379</w:t>
            </w:r>
            <w:r w:rsidR="00CD34D7" w:rsidRPr="00730B1E">
              <w:rPr>
                <w:rFonts w:eastAsia="Times New Roman"/>
                <w:b/>
                <w:bCs/>
                <w:szCs w:val="24"/>
                <w:lang w:eastAsia="cs-CZ"/>
              </w:rPr>
              <w:t>,</w:t>
            </w:r>
            <w:r w:rsidRPr="00730B1E">
              <w:rPr>
                <w:rFonts w:eastAsia="Times New Roman"/>
                <w:b/>
                <w:bCs/>
                <w:szCs w:val="24"/>
                <w:lang w:eastAsia="cs-CZ"/>
              </w:rPr>
              <w:t>30</w:t>
            </w:r>
          </w:p>
        </w:tc>
        <w:tc>
          <w:tcPr>
            <w:tcW w:w="992" w:type="dxa"/>
            <w:tcBorders>
              <w:top w:val="nil"/>
              <w:left w:val="nil"/>
              <w:bottom w:val="double" w:sz="6" w:space="0" w:color="auto"/>
              <w:right w:val="single" w:sz="4" w:space="0" w:color="auto"/>
            </w:tcBorders>
            <w:shd w:val="clear" w:color="auto" w:fill="auto"/>
            <w:noWrap/>
            <w:vAlign w:val="center"/>
            <w:hideMark/>
          </w:tcPr>
          <w:p w14:paraId="3190CDA9" w14:textId="77777777" w:rsidR="00DD1C79" w:rsidRPr="00730B1E" w:rsidRDefault="00DD1C79" w:rsidP="00DD1C7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+3 %  </w:t>
            </w:r>
          </w:p>
        </w:tc>
        <w:tc>
          <w:tcPr>
            <w:tcW w:w="992" w:type="dxa"/>
            <w:tcBorders>
              <w:top w:val="nil"/>
              <w:left w:val="nil"/>
              <w:bottom w:val="double" w:sz="6" w:space="0" w:color="auto"/>
              <w:right w:val="nil"/>
            </w:tcBorders>
            <w:shd w:val="clear" w:color="auto" w:fill="auto"/>
            <w:noWrap/>
            <w:vAlign w:val="bottom"/>
            <w:hideMark/>
          </w:tcPr>
          <w:p w14:paraId="1B2EAABB" w14:textId="453DFA4E" w:rsidR="00DD1C79" w:rsidRPr="00730B1E" w:rsidRDefault="00DD1C79" w:rsidP="00DD1C79">
            <w:pPr>
              <w:spacing w:line="240" w:lineRule="auto"/>
              <w:jc w:val="center"/>
              <w:rPr>
                <w:rFonts w:eastAsia="Times New Roman"/>
                <w:b/>
                <w:bCs/>
                <w:szCs w:val="24"/>
                <w:lang w:eastAsia="cs-CZ"/>
              </w:rPr>
            </w:pPr>
            <w:r w:rsidRPr="00730B1E">
              <w:rPr>
                <w:rFonts w:eastAsia="Times New Roman"/>
                <w:b/>
                <w:bCs/>
                <w:szCs w:val="24"/>
                <w:lang w:eastAsia="cs-CZ"/>
              </w:rPr>
              <w:t>109</w:t>
            </w:r>
            <w:r w:rsidR="00CD34D7" w:rsidRPr="00730B1E">
              <w:rPr>
                <w:rFonts w:eastAsia="Times New Roman"/>
                <w:b/>
                <w:bCs/>
                <w:szCs w:val="24"/>
                <w:lang w:eastAsia="cs-CZ"/>
              </w:rPr>
              <w:t>,</w:t>
            </w:r>
            <w:r w:rsidRPr="00730B1E">
              <w:rPr>
                <w:rFonts w:eastAsia="Times New Roman"/>
                <w:b/>
                <w:bCs/>
                <w:szCs w:val="24"/>
                <w:lang w:eastAsia="cs-CZ"/>
              </w:rPr>
              <w:t>11</w:t>
            </w:r>
          </w:p>
        </w:tc>
        <w:tc>
          <w:tcPr>
            <w:tcW w:w="992" w:type="dxa"/>
            <w:tcBorders>
              <w:top w:val="nil"/>
              <w:left w:val="nil"/>
              <w:bottom w:val="double" w:sz="6" w:space="0" w:color="auto"/>
              <w:right w:val="nil"/>
            </w:tcBorders>
            <w:shd w:val="clear" w:color="auto" w:fill="auto"/>
            <w:noWrap/>
            <w:vAlign w:val="center"/>
            <w:hideMark/>
          </w:tcPr>
          <w:p w14:paraId="685895B5" w14:textId="77777777" w:rsidR="00DD1C79" w:rsidRPr="00730B1E" w:rsidRDefault="00DD1C79" w:rsidP="00DD1C7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+5 %  </w:t>
            </w:r>
          </w:p>
        </w:tc>
      </w:tr>
      <w:tr w:rsidR="00B64E96" w:rsidRPr="00730B1E" w14:paraId="4172746E" w14:textId="77777777" w:rsidTr="00BB1AD0">
        <w:trPr>
          <w:trHeight w:val="330"/>
        </w:trPr>
        <w:tc>
          <w:tcPr>
            <w:tcW w:w="1820" w:type="dxa"/>
            <w:tcBorders>
              <w:top w:val="nil"/>
              <w:left w:val="nil"/>
              <w:bottom w:val="nil"/>
              <w:right w:val="nil"/>
            </w:tcBorders>
            <w:shd w:val="clear" w:color="auto" w:fill="auto"/>
            <w:noWrap/>
            <w:vAlign w:val="bottom"/>
            <w:hideMark/>
          </w:tcPr>
          <w:p w14:paraId="694C26F0" w14:textId="77777777" w:rsidR="00DD1C79" w:rsidRPr="00730B1E" w:rsidRDefault="00DD1C79" w:rsidP="00DD1C79">
            <w:pPr>
              <w:spacing w:line="240" w:lineRule="auto"/>
              <w:jc w:val="center"/>
              <w:rPr>
                <w:rFonts w:eastAsia="Times New Roman"/>
                <w:b/>
                <w:bCs/>
                <w:sz w:val="20"/>
                <w:szCs w:val="20"/>
                <w:lang w:eastAsia="cs-CZ"/>
              </w:rPr>
            </w:pPr>
          </w:p>
        </w:tc>
        <w:tc>
          <w:tcPr>
            <w:tcW w:w="1299" w:type="dxa"/>
            <w:tcBorders>
              <w:top w:val="nil"/>
              <w:left w:val="nil"/>
              <w:bottom w:val="nil"/>
              <w:right w:val="nil"/>
            </w:tcBorders>
            <w:shd w:val="clear" w:color="auto" w:fill="auto"/>
            <w:noWrap/>
            <w:vAlign w:val="bottom"/>
            <w:hideMark/>
          </w:tcPr>
          <w:p w14:paraId="297EA3D3" w14:textId="77777777" w:rsidR="00DD1C79" w:rsidRPr="00730B1E" w:rsidRDefault="00DD1C79" w:rsidP="00DD1C79">
            <w:pPr>
              <w:spacing w:line="240" w:lineRule="auto"/>
              <w:jc w:val="left"/>
              <w:rPr>
                <w:rFonts w:eastAsia="Times New Roman"/>
                <w:sz w:val="20"/>
                <w:szCs w:val="20"/>
                <w:lang w:eastAsia="cs-CZ"/>
              </w:rPr>
            </w:pPr>
          </w:p>
        </w:tc>
        <w:tc>
          <w:tcPr>
            <w:tcW w:w="992" w:type="dxa"/>
            <w:tcBorders>
              <w:top w:val="nil"/>
              <w:left w:val="nil"/>
              <w:bottom w:val="nil"/>
              <w:right w:val="nil"/>
            </w:tcBorders>
            <w:shd w:val="clear" w:color="auto" w:fill="auto"/>
            <w:noWrap/>
            <w:vAlign w:val="bottom"/>
            <w:hideMark/>
          </w:tcPr>
          <w:p w14:paraId="7A5F98EF" w14:textId="77777777" w:rsidR="00DD1C79" w:rsidRPr="00730B1E" w:rsidRDefault="00DD1C79" w:rsidP="00DD1C79">
            <w:pPr>
              <w:spacing w:line="240" w:lineRule="auto"/>
              <w:jc w:val="left"/>
              <w:rPr>
                <w:rFonts w:eastAsia="Times New Roman"/>
                <w:sz w:val="20"/>
                <w:szCs w:val="20"/>
                <w:lang w:eastAsia="cs-CZ"/>
              </w:rPr>
            </w:pPr>
          </w:p>
        </w:tc>
        <w:tc>
          <w:tcPr>
            <w:tcW w:w="992" w:type="dxa"/>
            <w:tcBorders>
              <w:top w:val="nil"/>
              <w:left w:val="nil"/>
              <w:bottom w:val="nil"/>
              <w:right w:val="nil"/>
            </w:tcBorders>
            <w:shd w:val="clear" w:color="auto" w:fill="auto"/>
            <w:noWrap/>
            <w:vAlign w:val="bottom"/>
            <w:hideMark/>
          </w:tcPr>
          <w:p w14:paraId="407B0D5F" w14:textId="77777777" w:rsidR="00DD1C79" w:rsidRPr="00730B1E" w:rsidRDefault="00DD1C79" w:rsidP="00DD1C79">
            <w:pPr>
              <w:spacing w:line="240" w:lineRule="auto"/>
              <w:jc w:val="left"/>
              <w:rPr>
                <w:rFonts w:eastAsia="Times New Roman"/>
                <w:sz w:val="20"/>
                <w:szCs w:val="20"/>
                <w:lang w:eastAsia="cs-CZ"/>
              </w:rPr>
            </w:pPr>
          </w:p>
        </w:tc>
        <w:tc>
          <w:tcPr>
            <w:tcW w:w="993" w:type="dxa"/>
            <w:tcBorders>
              <w:top w:val="nil"/>
              <w:left w:val="nil"/>
              <w:bottom w:val="nil"/>
              <w:right w:val="nil"/>
            </w:tcBorders>
            <w:shd w:val="clear" w:color="auto" w:fill="auto"/>
            <w:noWrap/>
            <w:vAlign w:val="bottom"/>
            <w:hideMark/>
          </w:tcPr>
          <w:p w14:paraId="4BBCDBCA" w14:textId="77777777" w:rsidR="00DD1C79" w:rsidRPr="00730B1E" w:rsidRDefault="00DD1C79" w:rsidP="00DD1C79">
            <w:pPr>
              <w:spacing w:line="240" w:lineRule="auto"/>
              <w:jc w:val="left"/>
              <w:rPr>
                <w:rFonts w:eastAsia="Times New Roman"/>
                <w:sz w:val="20"/>
                <w:szCs w:val="20"/>
                <w:lang w:eastAsia="cs-CZ"/>
              </w:rPr>
            </w:pPr>
          </w:p>
        </w:tc>
        <w:tc>
          <w:tcPr>
            <w:tcW w:w="992" w:type="dxa"/>
            <w:tcBorders>
              <w:top w:val="nil"/>
              <w:left w:val="nil"/>
              <w:bottom w:val="nil"/>
              <w:right w:val="nil"/>
            </w:tcBorders>
            <w:shd w:val="clear" w:color="auto" w:fill="auto"/>
            <w:noWrap/>
            <w:vAlign w:val="bottom"/>
            <w:hideMark/>
          </w:tcPr>
          <w:p w14:paraId="2748ABE7" w14:textId="77777777" w:rsidR="00DD1C79" w:rsidRPr="00730B1E" w:rsidRDefault="00DD1C79" w:rsidP="00DD1C79">
            <w:pPr>
              <w:spacing w:line="240" w:lineRule="auto"/>
              <w:jc w:val="left"/>
              <w:rPr>
                <w:rFonts w:eastAsia="Times New Roman"/>
                <w:sz w:val="20"/>
                <w:szCs w:val="20"/>
                <w:lang w:eastAsia="cs-CZ"/>
              </w:rPr>
            </w:pPr>
          </w:p>
        </w:tc>
        <w:tc>
          <w:tcPr>
            <w:tcW w:w="992" w:type="dxa"/>
            <w:tcBorders>
              <w:top w:val="nil"/>
              <w:left w:val="nil"/>
              <w:bottom w:val="nil"/>
              <w:right w:val="nil"/>
            </w:tcBorders>
            <w:shd w:val="clear" w:color="auto" w:fill="auto"/>
            <w:noWrap/>
            <w:vAlign w:val="bottom"/>
            <w:hideMark/>
          </w:tcPr>
          <w:p w14:paraId="29F77664" w14:textId="77777777" w:rsidR="00DD1C79" w:rsidRPr="00730B1E" w:rsidRDefault="00DD1C79" w:rsidP="00DD1C79">
            <w:pPr>
              <w:spacing w:line="240" w:lineRule="auto"/>
              <w:jc w:val="left"/>
              <w:rPr>
                <w:rFonts w:eastAsia="Times New Roman"/>
                <w:sz w:val="20"/>
                <w:szCs w:val="20"/>
                <w:lang w:eastAsia="cs-CZ"/>
              </w:rPr>
            </w:pPr>
          </w:p>
        </w:tc>
        <w:tc>
          <w:tcPr>
            <w:tcW w:w="992" w:type="dxa"/>
            <w:tcBorders>
              <w:top w:val="nil"/>
              <w:left w:val="nil"/>
              <w:bottom w:val="nil"/>
              <w:right w:val="nil"/>
            </w:tcBorders>
            <w:shd w:val="clear" w:color="auto" w:fill="auto"/>
            <w:noWrap/>
            <w:vAlign w:val="bottom"/>
            <w:hideMark/>
          </w:tcPr>
          <w:p w14:paraId="15859A05" w14:textId="77777777" w:rsidR="00DD1C79" w:rsidRPr="00730B1E" w:rsidRDefault="00DD1C79" w:rsidP="00DD1C79">
            <w:pPr>
              <w:spacing w:line="240" w:lineRule="auto"/>
              <w:jc w:val="left"/>
              <w:rPr>
                <w:rFonts w:eastAsia="Times New Roman"/>
                <w:sz w:val="20"/>
                <w:szCs w:val="20"/>
                <w:lang w:eastAsia="cs-CZ"/>
              </w:rPr>
            </w:pPr>
          </w:p>
        </w:tc>
      </w:tr>
    </w:tbl>
    <w:p w14:paraId="078B6283" w14:textId="77777777" w:rsidR="00DD1C79" w:rsidRPr="00730B1E" w:rsidRDefault="00DD1C79" w:rsidP="00DD1C79">
      <w:r w:rsidRPr="00730B1E">
        <w:t>Změny oproti předchozímu roku vyplývají spíše ze změn v počtu příchozích, vyřízených a nevyřízených věcí, protože celorepublikově zůstal počet soudců v téměř stejný. K menším změnám došlo na úrovni krajů a samozřejmě na úrovni jednotlivých okresních soudů.</w:t>
      </w:r>
    </w:p>
    <w:p w14:paraId="094EF8BC" w14:textId="1135B2B5" w:rsidR="00DD1C79" w:rsidRPr="00730B1E" w:rsidRDefault="00DD1C79" w:rsidP="00DD1C79">
      <w:pPr>
        <w:pStyle w:val="Podnadpis"/>
        <w:rPr>
          <w:color w:val="auto"/>
        </w:rPr>
      </w:pPr>
      <w:bookmarkStart w:id="588" w:name="_Toc43841419"/>
      <w:bookmarkStart w:id="589" w:name="_Toc75952223"/>
      <w:bookmarkStart w:id="590" w:name="_Toc106106675"/>
      <w:bookmarkStart w:id="591" w:name="_Toc109801999"/>
      <w:bookmarkStart w:id="592" w:name="_Toc144104150"/>
      <w:bookmarkStart w:id="593" w:name="_Toc169250961"/>
      <w:bookmarkStart w:id="594" w:name="_Toc174080647"/>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42</w:t>
      </w:r>
      <w:r w:rsidRPr="00730B1E">
        <w:rPr>
          <w:color w:val="auto"/>
        </w:rPr>
        <w:fldChar w:fldCharType="end"/>
      </w:r>
      <w:r w:rsidRPr="00730B1E">
        <w:rPr>
          <w:color w:val="auto"/>
        </w:rPr>
        <w:t>: OS – počet nevyř. opatrov. věcí na úvazek u </w:t>
      </w:r>
      <w:bookmarkEnd w:id="588"/>
      <w:bookmarkEnd w:id="589"/>
      <w:bookmarkEnd w:id="590"/>
      <w:bookmarkEnd w:id="591"/>
      <w:r w:rsidRPr="00730B1E">
        <w:rPr>
          <w:color w:val="auto"/>
        </w:rPr>
        <w:t>jednotlivých</w:t>
      </w:r>
      <w:r w:rsidRPr="00730B1E">
        <w:rPr>
          <w:b w:val="0"/>
          <w:iCs w:val="0"/>
          <w:color w:val="auto"/>
        </w:rPr>
        <w:t xml:space="preserve"> </w:t>
      </w:r>
      <w:r w:rsidRPr="00730B1E">
        <w:rPr>
          <w:color w:val="auto"/>
        </w:rPr>
        <w:t>soudů</w:t>
      </w:r>
      <w:bookmarkEnd w:id="592"/>
      <w:r w:rsidR="002263C3" w:rsidRPr="00730B1E">
        <w:rPr>
          <w:color w:val="auto"/>
        </w:rPr>
        <w:t>, 2023</w:t>
      </w:r>
      <w:bookmarkEnd w:id="593"/>
      <w:bookmarkEnd w:id="594"/>
    </w:p>
    <w:p w14:paraId="2B5DF6B0" w14:textId="0A7EA629" w:rsidR="00D97B99" w:rsidRPr="00730B1E" w:rsidRDefault="003E37DA" w:rsidP="00D97B99">
      <w:r w:rsidRPr="00730B1E">
        <w:rPr>
          <w:noProof/>
          <w:lang w:eastAsia="cs-CZ"/>
        </w:rPr>
        <w:drawing>
          <wp:anchor distT="0" distB="0" distL="114300" distR="114300" simplePos="0" relativeHeight="251674624" behindDoc="0" locked="0" layoutInCell="1" allowOverlap="1" wp14:anchorId="36765F1E" wp14:editId="028D6E55">
            <wp:simplePos x="0" y="0"/>
            <wp:positionH relativeFrom="margin">
              <wp:posOffset>4467225</wp:posOffset>
            </wp:positionH>
            <wp:positionV relativeFrom="paragraph">
              <wp:posOffset>13335</wp:posOffset>
            </wp:positionV>
            <wp:extent cx="1283494" cy="933450"/>
            <wp:effectExtent l="0" t="0" r="0" b="0"/>
            <wp:wrapNone/>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83494"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B1E">
        <w:rPr>
          <w:noProof/>
          <w:lang w:eastAsia="cs-CZ"/>
        </w:rPr>
        <w:drawing>
          <wp:inline distT="0" distB="0" distL="0" distR="0" wp14:anchorId="1317E89B" wp14:editId="6323972D">
            <wp:extent cx="5760720" cy="3296920"/>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77B67908" w14:textId="77777777" w:rsidR="00DD1C79" w:rsidRPr="00730B1E" w:rsidRDefault="00DD1C79" w:rsidP="00DD1C79"/>
    <w:p w14:paraId="39C2CC2F" w14:textId="77777777" w:rsidR="00D97B99" w:rsidRPr="00730B1E" w:rsidRDefault="00D97B99" w:rsidP="00D97B99">
      <w:bookmarkStart w:id="595" w:name="_Hlk160455262"/>
      <w:r w:rsidRPr="00730B1E">
        <w:t>Pokud jde o nevyřízené věci na soudce, nejlépe jsou na tom (obdobně jako u délek řízení) OS spadající pod KS České Budějovice. Celkově je ale situace poměrně vyrovnaná. Z jednotlivých soudů jsou pak na tom nejlépe Ústí nad Orlicí (50), Svitavy (53) a Praha 2 (57). Nejvyšší počet věcí na soudce naopak vykazují Brno (229), Cheb (207) a Hodonín (203).</w:t>
      </w:r>
    </w:p>
    <w:p w14:paraId="58F24227" w14:textId="1501B5CF" w:rsidR="008430BD" w:rsidRPr="00730B1E" w:rsidRDefault="008430BD" w:rsidP="004F2E3F">
      <w:pPr>
        <w:pStyle w:val="Nadpis3"/>
        <w:numPr>
          <w:ilvl w:val="2"/>
          <w:numId w:val="1"/>
        </w:numPr>
        <w:rPr>
          <w:color w:val="auto"/>
        </w:rPr>
      </w:pPr>
      <w:bookmarkStart w:id="596" w:name="_Toc515871369"/>
      <w:bookmarkStart w:id="597" w:name="_Toc106092741"/>
      <w:bookmarkStart w:id="598" w:name="_Toc169250821"/>
      <w:bookmarkStart w:id="599" w:name="_Toc174080857"/>
      <w:bookmarkEnd w:id="595"/>
      <w:r w:rsidRPr="00730B1E">
        <w:rPr>
          <w:color w:val="auto"/>
        </w:rPr>
        <w:t>Disposition time (dispoziční čas)</w:t>
      </w:r>
      <w:bookmarkStart w:id="600" w:name="_Toc43931204"/>
      <w:bookmarkEnd w:id="596"/>
      <w:bookmarkEnd w:id="597"/>
      <w:bookmarkEnd w:id="598"/>
      <w:bookmarkEnd w:id="599"/>
    </w:p>
    <w:p w14:paraId="026C38B0" w14:textId="1DA0C8B4" w:rsidR="006803CA" w:rsidRPr="00730B1E" w:rsidRDefault="00C47A6A" w:rsidP="006803CA">
      <w:pPr>
        <w:pStyle w:val="OdstavecASR"/>
      </w:pPr>
      <w:r w:rsidRPr="00730B1E">
        <w:t>Od roku 2014 do roku 2016 prudce klesal DT. To bylo dáno jeho obrovským nárůstem v roce 2014 spojený</w:t>
      </w:r>
      <w:r w:rsidR="00B80D87" w:rsidRPr="00730B1E">
        <w:t>m</w:t>
      </w:r>
      <w:r w:rsidRPr="00730B1E">
        <w:t xml:space="preserve"> s nabytím účinnosti nového občanského zákoníku od 1. 1. 2014. </w:t>
      </w:r>
      <w:r w:rsidR="006803CA" w:rsidRPr="00730B1E">
        <w:t>Počet vyřízených věcí vzrostl méně, což vedlo k</w:t>
      </w:r>
      <w:r w:rsidR="00B80D87" w:rsidRPr="00730B1E">
        <w:t> </w:t>
      </w:r>
      <w:r w:rsidR="006803CA" w:rsidRPr="00730B1E">
        <w:t>nárůstu DT. V roce 2015 vzrostl výrazněji počet vyřízených věcí, takže DT klesl. V roce 2016 pak klesl nápad a tím i nevyřízené věci. Došlo tedy k</w:t>
      </w:r>
      <w:r w:rsidR="00B80D87" w:rsidRPr="00730B1E">
        <w:t> </w:t>
      </w:r>
      <w:r w:rsidR="006803CA" w:rsidRPr="00730B1E">
        <w:t>poklesu DT na úroveň roku 2014. V roce 2017 poklesl počet vyřízených i nevyřízených věcí asi o 12 %. DT tím pádem zůstal stejný jako v</w:t>
      </w:r>
      <w:r w:rsidR="00B80D87" w:rsidRPr="00730B1E">
        <w:t> </w:t>
      </w:r>
      <w:r w:rsidR="006803CA" w:rsidRPr="00730B1E">
        <w:t>roce 2016. V roce 2018 se vyřídilo více věcí než v</w:t>
      </w:r>
      <w:r w:rsidR="00B80D87" w:rsidRPr="00730B1E">
        <w:t> </w:t>
      </w:r>
      <w:r w:rsidR="006803CA" w:rsidRPr="00730B1E">
        <w:t>roce 2017, přičemž počet nevyřízených věcí příliš neklesal – výsledkem byla do té doby nejlepší hodnota DT. V roce 2019 došlo spíše ke kosmetickému nárůstu na 106 – vzrostl počet nevyřízených i vyřízených věcí a nárůst v</w:t>
      </w:r>
      <w:r w:rsidR="00B80D87" w:rsidRPr="00730B1E">
        <w:t> </w:t>
      </w:r>
      <w:r w:rsidR="006803CA" w:rsidRPr="00730B1E">
        <w:t>počtu nevyřízených věcí velmi mírně převýšil nárůst v</w:t>
      </w:r>
      <w:r w:rsidR="00B80D87" w:rsidRPr="00730B1E">
        <w:t> </w:t>
      </w:r>
      <w:r w:rsidR="006803CA" w:rsidRPr="00730B1E">
        <w:t>počtu věcí vyřízených. V roce 2020 DT o 9 dnů narostl v</w:t>
      </w:r>
      <w:r w:rsidR="00B80D87" w:rsidRPr="00730B1E">
        <w:t> </w:t>
      </w:r>
      <w:r w:rsidR="006803CA" w:rsidRPr="00730B1E">
        <w:t>důsledku poklesu počtu vyřízených věcí. V roce 2021 klesl DT na nejnižší hodnotu (101) od roku 2008, což plyne z</w:t>
      </w:r>
      <w:r w:rsidR="00B80D87" w:rsidRPr="00730B1E">
        <w:t> </w:t>
      </w:r>
      <w:r w:rsidR="006803CA" w:rsidRPr="00730B1E">
        <w:t>citelného poklesu v</w:t>
      </w:r>
      <w:r w:rsidR="00B80D87" w:rsidRPr="00730B1E">
        <w:t> </w:t>
      </w:r>
      <w:r w:rsidR="006803CA" w:rsidRPr="00730B1E">
        <w:t>počtu nevyřízených věcí. V roce 2022 vzrostl počet vyřízených i nevyřízených věcí, a to tím způsobem, že to vedlo k</w:t>
      </w:r>
      <w:r w:rsidR="00B80D87" w:rsidRPr="00730B1E">
        <w:t> </w:t>
      </w:r>
      <w:r w:rsidR="006803CA" w:rsidRPr="00730B1E">
        <w:t>nepatrnému zvýšení DT.</w:t>
      </w:r>
      <w:bookmarkStart w:id="601" w:name="_Toc43841420"/>
      <w:bookmarkStart w:id="602" w:name="_Toc75952224"/>
      <w:bookmarkStart w:id="603" w:name="_Toc106106676"/>
      <w:bookmarkStart w:id="604" w:name="_Toc144104151"/>
      <w:r w:rsidR="000405B0" w:rsidRPr="00730B1E">
        <w:t xml:space="preserve"> To samé se pak stalo v</w:t>
      </w:r>
      <w:r w:rsidR="00B80D87" w:rsidRPr="00730B1E">
        <w:t> </w:t>
      </w:r>
      <w:r w:rsidR="000405B0" w:rsidRPr="00730B1E">
        <w:t xml:space="preserve">roce 2023. Celkově lze </w:t>
      </w:r>
      <w:r w:rsidR="00B80D87" w:rsidRPr="00730B1E">
        <w:t xml:space="preserve">nicméně </w:t>
      </w:r>
      <w:r w:rsidR="000405B0" w:rsidRPr="00730B1E">
        <w:t>DT v letech 2016 až 2023 označit za velmi stabilní.</w:t>
      </w:r>
    </w:p>
    <w:p w14:paraId="3FE79E69" w14:textId="78EC89C4" w:rsidR="006803CA" w:rsidRPr="00730B1E" w:rsidRDefault="006803CA" w:rsidP="006803CA">
      <w:pPr>
        <w:pStyle w:val="Podnadpis"/>
        <w:numPr>
          <w:ilvl w:val="0"/>
          <w:numId w:val="0"/>
        </w:numPr>
        <w:rPr>
          <w:color w:val="auto"/>
        </w:rPr>
      </w:pPr>
      <w:bookmarkStart w:id="605" w:name="_Toc169250962"/>
      <w:bookmarkStart w:id="606" w:name="_Toc174080648"/>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43</w:t>
      </w:r>
      <w:r w:rsidRPr="00730B1E">
        <w:rPr>
          <w:color w:val="auto"/>
        </w:rPr>
        <w:fldChar w:fldCharType="end"/>
      </w:r>
      <w:r w:rsidRPr="00730B1E">
        <w:rPr>
          <w:color w:val="auto"/>
        </w:rPr>
        <w:t>: OS – disposition time v opatrovnické agendě v letech 2014–20</w:t>
      </w:r>
      <w:bookmarkEnd w:id="601"/>
      <w:r w:rsidRPr="00730B1E">
        <w:rPr>
          <w:color w:val="auto"/>
        </w:rPr>
        <w:t>2</w:t>
      </w:r>
      <w:bookmarkEnd w:id="602"/>
      <w:bookmarkEnd w:id="603"/>
      <w:bookmarkEnd w:id="604"/>
      <w:r w:rsidRPr="00730B1E">
        <w:rPr>
          <w:color w:val="auto"/>
        </w:rPr>
        <w:t>3</w:t>
      </w:r>
      <w:bookmarkEnd w:id="605"/>
      <w:bookmarkEnd w:id="606"/>
    </w:p>
    <w:p w14:paraId="158527E4" w14:textId="77777777" w:rsidR="000405B0" w:rsidRPr="00730B1E" w:rsidRDefault="00C47A6A">
      <w:pPr>
        <w:spacing w:after="160" w:line="259" w:lineRule="auto"/>
        <w:jc w:val="left"/>
      </w:pPr>
      <w:r w:rsidRPr="00730B1E">
        <w:rPr>
          <w:noProof/>
          <w:lang w:eastAsia="cs-CZ"/>
        </w:rPr>
        <w:drawing>
          <wp:inline distT="0" distB="0" distL="0" distR="0" wp14:anchorId="03AD11A9" wp14:editId="2ED41BF5">
            <wp:extent cx="5029200" cy="3657600"/>
            <wp:effectExtent l="0" t="0" r="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AD7EFCF" w14:textId="2DAD91D0" w:rsidR="006803CA" w:rsidRPr="00730B1E" w:rsidRDefault="006803CA">
      <w:pPr>
        <w:spacing w:after="160" w:line="259" w:lineRule="auto"/>
        <w:jc w:val="left"/>
        <w:rPr>
          <w:rFonts w:eastAsia="Times New Roman"/>
          <w:b/>
          <w:iCs/>
          <w:spacing w:val="15"/>
          <w:szCs w:val="24"/>
        </w:rPr>
      </w:pPr>
    </w:p>
    <w:p w14:paraId="1CE762A0" w14:textId="69ABDABF" w:rsidR="006803CA" w:rsidRPr="00730B1E" w:rsidRDefault="006803CA" w:rsidP="006803CA">
      <w:pPr>
        <w:pStyle w:val="Podnadpis"/>
        <w:rPr>
          <w:color w:val="auto"/>
        </w:rPr>
      </w:pPr>
      <w:bookmarkStart w:id="607" w:name="_Toc515871370"/>
      <w:bookmarkStart w:id="608" w:name="_Toc11135102"/>
      <w:bookmarkStart w:id="609" w:name="_Toc43841421"/>
      <w:bookmarkStart w:id="610" w:name="_Toc75952225"/>
      <w:bookmarkStart w:id="611" w:name="_Toc106106677"/>
      <w:bookmarkStart w:id="612" w:name="_Toc109802001"/>
      <w:bookmarkStart w:id="613" w:name="_Toc144104152"/>
      <w:bookmarkStart w:id="614" w:name="_Toc169250963"/>
      <w:bookmarkStart w:id="615" w:name="_Toc174080649"/>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44</w:t>
      </w:r>
      <w:r w:rsidRPr="00730B1E">
        <w:rPr>
          <w:color w:val="auto"/>
        </w:rPr>
        <w:fldChar w:fldCharType="end"/>
      </w:r>
      <w:r w:rsidRPr="00730B1E">
        <w:rPr>
          <w:color w:val="auto"/>
        </w:rPr>
        <w:t>: OS – disposition time v</w:t>
      </w:r>
      <w:r w:rsidR="002263C3" w:rsidRPr="00730B1E">
        <w:rPr>
          <w:color w:val="auto"/>
        </w:rPr>
        <w:t> </w:t>
      </w:r>
      <w:r w:rsidRPr="00730B1E">
        <w:rPr>
          <w:color w:val="auto"/>
        </w:rPr>
        <w:t>opatrov</w:t>
      </w:r>
      <w:r w:rsidR="002263C3" w:rsidRPr="00730B1E">
        <w:rPr>
          <w:color w:val="auto"/>
        </w:rPr>
        <w:t>.</w:t>
      </w:r>
      <w:r w:rsidRPr="00730B1E">
        <w:rPr>
          <w:color w:val="auto"/>
        </w:rPr>
        <w:t xml:space="preserve"> agendě u jednotlivých soudů</w:t>
      </w:r>
      <w:bookmarkEnd w:id="607"/>
      <w:bookmarkEnd w:id="608"/>
      <w:bookmarkEnd w:id="609"/>
      <w:bookmarkEnd w:id="610"/>
      <w:bookmarkEnd w:id="611"/>
      <w:bookmarkEnd w:id="612"/>
      <w:bookmarkEnd w:id="613"/>
      <w:r w:rsidR="002263C3" w:rsidRPr="00730B1E">
        <w:rPr>
          <w:color w:val="auto"/>
        </w:rPr>
        <w:t>, 2023</w:t>
      </w:r>
      <w:bookmarkEnd w:id="614"/>
      <w:bookmarkEnd w:id="615"/>
    </w:p>
    <w:p w14:paraId="7FCD75E6" w14:textId="57CADC32" w:rsidR="007D476A" w:rsidRPr="00730B1E" w:rsidRDefault="006803CA" w:rsidP="006803CA">
      <w:pPr>
        <w:pStyle w:val="Podnadpis"/>
        <w:numPr>
          <w:ilvl w:val="0"/>
          <w:numId w:val="0"/>
        </w:numPr>
        <w:rPr>
          <w:color w:val="auto"/>
        </w:rPr>
      </w:pPr>
      <w:r w:rsidRPr="00730B1E">
        <w:rPr>
          <w:noProof/>
          <w:color w:val="auto"/>
          <w:lang w:eastAsia="cs-CZ"/>
        </w:rPr>
        <w:drawing>
          <wp:anchor distT="0" distB="0" distL="114300" distR="114300" simplePos="0" relativeHeight="251675648" behindDoc="0" locked="0" layoutInCell="1" allowOverlap="1" wp14:anchorId="06DFAC66" wp14:editId="661ECBF7">
            <wp:simplePos x="0" y="0"/>
            <wp:positionH relativeFrom="margin">
              <wp:posOffset>4464526</wp:posOffset>
            </wp:positionH>
            <wp:positionV relativeFrom="paragraph">
              <wp:posOffset>90170</wp:posOffset>
            </wp:positionV>
            <wp:extent cx="1283494" cy="933450"/>
            <wp:effectExtent l="0" t="0" r="0" b="0"/>
            <wp:wrapNone/>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85734" cy="9350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B1E">
        <w:rPr>
          <w:noProof/>
          <w:color w:val="auto"/>
          <w:lang w:eastAsia="cs-CZ"/>
        </w:rPr>
        <w:drawing>
          <wp:inline distT="0" distB="0" distL="0" distR="0" wp14:anchorId="1477B997" wp14:editId="0FECF39F">
            <wp:extent cx="5760720" cy="329692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1C6E5C82" w14:textId="77777777" w:rsidR="007D476A" w:rsidRPr="00730B1E" w:rsidRDefault="007D476A">
      <w:pPr>
        <w:spacing w:after="160" w:line="259" w:lineRule="auto"/>
        <w:jc w:val="left"/>
        <w:rPr>
          <w:rFonts w:eastAsia="Times New Roman"/>
          <w:b/>
          <w:iCs/>
          <w:spacing w:val="15"/>
          <w:szCs w:val="24"/>
        </w:rPr>
      </w:pPr>
      <w:r w:rsidRPr="00730B1E">
        <w:br w:type="page"/>
      </w:r>
    </w:p>
    <w:p w14:paraId="3D65416F" w14:textId="67B813C0" w:rsidR="007D476A" w:rsidRPr="00730B1E" w:rsidRDefault="007D476A" w:rsidP="007D476A">
      <w:pPr>
        <w:pStyle w:val="Podnadpis"/>
        <w:rPr>
          <w:b w:val="0"/>
          <w:iCs w:val="0"/>
          <w:color w:val="auto"/>
        </w:rPr>
      </w:pPr>
      <w:bookmarkStart w:id="616" w:name="_Toc144104153"/>
      <w:bookmarkStart w:id="617" w:name="_Toc169250964"/>
      <w:bookmarkStart w:id="618" w:name="_Toc174080650"/>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45</w:t>
      </w:r>
      <w:r w:rsidRPr="00730B1E">
        <w:rPr>
          <w:color w:val="auto"/>
        </w:rPr>
        <w:fldChar w:fldCharType="end"/>
      </w:r>
      <w:r w:rsidRPr="00730B1E">
        <w:rPr>
          <w:color w:val="auto"/>
        </w:rPr>
        <w:t>: OS – krabicové grafy, DT opatrovnické agendy</w:t>
      </w:r>
      <w:bookmarkEnd w:id="616"/>
      <w:bookmarkEnd w:id="617"/>
      <w:bookmarkEnd w:id="618"/>
    </w:p>
    <w:p w14:paraId="708C096D" w14:textId="77777777" w:rsidR="007D476A" w:rsidRPr="00730B1E" w:rsidRDefault="007D476A" w:rsidP="007D476A">
      <w:pPr>
        <w:spacing w:after="160" w:line="259" w:lineRule="auto"/>
        <w:jc w:val="left"/>
        <w:rPr>
          <w:lang w:val="en-GB"/>
        </w:rPr>
      </w:pPr>
      <w:r w:rsidRPr="00730B1E">
        <w:rPr>
          <w:noProof/>
          <w:lang w:eastAsia="cs-CZ"/>
        </w:rPr>
        <w:drawing>
          <wp:inline distT="0" distB="0" distL="0" distR="0" wp14:anchorId="1B241480" wp14:editId="5233369C">
            <wp:extent cx="5029200" cy="3657600"/>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D96BED6" w14:textId="6D6F7529" w:rsidR="007D476A" w:rsidRPr="00730B1E" w:rsidRDefault="007D476A" w:rsidP="007D476A">
      <w:pPr>
        <w:pStyle w:val="OdstavecASR"/>
      </w:pPr>
      <w:r w:rsidRPr="00730B1E">
        <w:t>Data v této kapitole můžeme shrnout tak, že v letech 2014 a 2015 došlo k velkému nárůstu počtu napadlých věcí. To negativně ovlivnilo rychlost vyřizování agendy v celé ČR. Na některé soudy byl dopad horší než na jiné. V letech 2015 a 2016 se soudům pozvolna dařilo vyrovnat se s nárůstem vyřizované agendy a tento trend pokračoval i v letech 2017 a 2018, kdy se rozdíly mezi jednotlivými okresními soudy dále zmenšovaly (šedé boxy jsou kompaktnější, „vousy“ kratší a odlehlé OS / body jsou blíže k hornímu „vousu“, tedy přibližují se k ostatním okresním soudům). V roce 2019 nedošlo k velkým změnám oproti roku 2018. Rok 2020 byl ovlivněn pandemií COVID</w:t>
      </w:r>
      <w:r w:rsidRPr="00730B1E">
        <w:noBreakHyphen/>
        <w:t>19 a došlo tak k výraznému poklesu nápadu. Pandemie ale nezabránila soudům úspěšně vyřizovat věci. Došlo proto k mírným poklesům počtu nevyřízených věcí, a také k poklesu ve variabilitě mezi soudy. Obdobný závěr platí i pro rok 2021, pokles v počtu nevyřízených věcí byl ale markantnější než v roce 2020. V letech 2022 a 2023 opět začal růst počet příchozích věcí a soudy na to reagovaly. Počet příchozích věcí ale převýšil počet vyřízených, a rostl tak počet věcí nevyřízených.</w:t>
      </w:r>
      <w:r w:rsidR="005C47E1" w:rsidRPr="00730B1E">
        <w:t xml:space="preserve"> </w:t>
      </w:r>
      <w:r w:rsidRPr="00730B1E">
        <w:t xml:space="preserve">Na druhou stranu klesla délka řízení. </w:t>
      </w:r>
      <w:r w:rsidR="00B80D87" w:rsidRPr="00730B1E">
        <w:t xml:space="preserve">Prozatím tak nelze dospět k jednoznačnému závěru o aktuálním trendu v agendě. </w:t>
      </w:r>
    </w:p>
    <w:p w14:paraId="6B2932C2" w14:textId="22033050" w:rsidR="00F802F9" w:rsidRPr="00730B1E" w:rsidRDefault="008430BD" w:rsidP="006803CA">
      <w:pPr>
        <w:pStyle w:val="Nadpis3"/>
        <w:numPr>
          <w:ilvl w:val="2"/>
          <w:numId w:val="1"/>
        </w:numPr>
        <w:rPr>
          <w:color w:val="auto"/>
        </w:rPr>
      </w:pPr>
      <w:bookmarkStart w:id="619" w:name="_Toc515871240"/>
      <w:bookmarkStart w:id="620" w:name="_Toc106092742"/>
      <w:bookmarkStart w:id="621" w:name="_Toc169250822"/>
      <w:bookmarkStart w:id="622" w:name="_Toc174080858"/>
      <w:bookmarkEnd w:id="600"/>
      <w:r w:rsidRPr="00730B1E">
        <w:rPr>
          <w:color w:val="auto"/>
        </w:rPr>
        <w:t>Další statistiky</w:t>
      </w:r>
      <w:bookmarkEnd w:id="619"/>
      <w:bookmarkEnd w:id="620"/>
      <w:bookmarkEnd w:id="621"/>
      <w:bookmarkEnd w:id="622"/>
    </w:p>
    <w:p w14:paraId="1ABCDF3D" w14:textId="1E2E70CF" w:rsidR="00121199" w:rsidRPr="00730B1E" w:rsidRDefault="00121199" w:rsidP="00121199">
      <w:pPr>
        <w:pStyle w:val="OdstavecASR"/>
      </w:pPr>
      <w:r w:rsidRPr="00730B1E">
        <w:t xml:space="preserve">Stejně jako u civilní či trestní agendy uvádíme míru odvolání a míru změny rozsudku. Jednou z nejrozsáhlejších a nejvýznamnějších agend, které jsou na opatrovnickém úseku soudů vyřizovány, je rozhodování o výživném (nyní § 910 a násl. o. z.), tedy rozhodování o tom, který z rodičů a kolik má platit na výživu svého nezletilého potomka (případně zletilého dítěte, bylo-li řízení zahájeno před nabytím jeho zletilosti). S výživným úzce souvisí rozhodování o svěření dítěte do péče. Dále se tedy věnujeme této problematice. Nakonec se </w:t>
      </w:r>
      <w:r w:rsidR="00B71D7F" w:rsidRPr="00730B1E">
        <w:t>zaměříme</w:t>
      </w:r>
      <w:r w:rsidR="00B80D87" w:rsidRPr="00730B1E">
        <w:t>,</w:t>
      </w:r>
      <w:r w:rsidRPr="00730B1E">
        <w:t xml:space="preserve"> jaké </w:t>
      </w:r>
      <w:r w:rsidR="008A65B5" w:rsidRPr="00730B1E">
        <w:t>procento</w:t>
      </w:r>
      <w:r w:rsidRPr="00730B1E">
        <w:t xml:space="preserve"> sporů končí </w:t>
      </w:r>
      <w:r w:rsidR="008A65B5" w:rsidRPr="00730B1E">
        <w:t xml:space="preserve">dohodou </w:t>
      </w:r>
      <w:r w:rsidRPr="00730B1E">
        <w:t>rodičů.</w:t>
      </w:r>
    </w:p>
    <w:p w14:paraId="1DAF1C57" w14:textId="77777777" w:rsidR="007D476A" w:rsidRPr="00730B1E" w:rsidRDefault="007D476A" w:rsidP="007D476A"/>
    <w:p w14:paraId="34EEC825" w14:textId="77777777" w:rsidR="00DD77A6" w:rsidRPr="00730B1E" w:rsidRDefault="00DD77A6" w:rsidP="00DD77A6">
      <w:pPr>
        <w:pStyle w:val="OdstavecASR"/>
        <w:keepNext/>
        <w:outlineLvl w:val="3"/>
        <w:rPr>
          <w:b/>
          <w:bCs/>
        </w:rPr>
      </w:pPr>
      <w:r w:rsidRPr="00730B1E">
        <w:rPr>
          <w:b/>
          <w:bCs/>
        </w:rPr>
        <w:lastRenderedPageBreak/>
        <w:t>Míra odvolání</w:t>
      </w:r>
    </w:p>
    <w:p w14:paraId="224D87AE" w14:textId="1872BCC0" w:rsidR="00121199" w:rsidRPr="00730B1E" w:rsidRDefault="00121199" w:rsidP="00121199">
      <w:pPr>
        <w:pStyle w:val="OdstavecASR"/>
      </w:pPr>
      <w:r w:rsidRPr="00730B1E">
        <w:t>Míra odvolání je vypočtena stejnou metodikou jako míra odvolání u civilního řízení</w:t>
      </w:r>
      <w:r w:rsidR="00D12573" w:rsidRPr="00730B1E">
        <w:t>.</w:t>
      </w:r>
    </w:p>
    <w:p w14:paraId="7BBC1100" w14:textId="3603ADB1" w:rsidR="00121199" w:rsidRPr="00730B1E" w:rsidRDefault="00121199" w:rsidP="00121199">
      <w:pPr>
        <w:pStyle w:val="Podnadpis"/>
        <w:rPr>
          <w:color w:val="auto"/>
        </w:rPr>
      </w:pPr>
      <w:bookmarkStart w:id="623" w:name="_Toc106106794"/>
      <w:bookmarkStart w:id="624" w:name="_Toc109802117"/>
      <w:bookmarkStart w:id="625" w:name="_Toc144104273"/>
      <w:bookmarkStart w:id="626" w:name="_Toc169251088"/>
      <w:bookmarkStart w:id="627" w:name="_Toc174080774"/>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31</w:t>
      </w:r>
      <w:r w:rsidRPr="00730B1E">
        <w:rPr>
          <w:noProof/>
          <w:color w:val="auto"/>
        </w:rPr>
        <w:fldChar w:fldCharType="end"/>
      </w:r>
      <w:r w:rsidRPr="00730B1E">
        <w:rPr>
          <w:color w:val="auto"/>
        </w:rPr>
        <w:t>: OS – míra odvolání dle krajů v opatrovnickém řízení</w:t>
      </w:r>
      <w:bookmarkEnd w:id="623"/>
      <w:bookmarkEnd w:id="624"/>
      <w:bookmarkEnd w:id="625"/>
      <w:r w:rsidR="002263C3" w:rsidRPr="00730B1E">
        <w:rPr>
          <w:color w:val="auto"/>
        </w:rPr>
        <w:t>, 2023</w:t>
      </w:r>
      <w:bookmarkEnd w:id="626"/>
      <w:bookmarkEnd w:id="627"/>
    </w:p>
    <w:tbl>
      <w:tblPr>
        <w:tblW w:w="6300" w:type="dxa"/>
        <w:tblCellMar>
          <w:left w:w="70" w:type="dxa"/>
          <w:right w:w="70" w:type="dxa"/>
        </w:tblCellMar>
        <w:tblLook w:val="04A0" w:firstRow="1" w:lastRow="0" w:firstColumn="1" w:lastColumn="0" w:noHBand="0" w:noVBand="1"/>
      </w:tblPr>
      <w:tblGrid>
        <w:gridCol w:w="2780"/>
        <w:gridCol w:w="1732"/>
        <w:gridCol w:w="1788"/>
      </w:tblGrid>
      <w:tr w:rsidR="00B64E96" w:rsidRPr="00730B1E" w14:paraId="300B3B13" w14:textId="77777777" w:rsidTr="00121199">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C2CC81C" w14:textId="77777777" w:rsidR="00121199" w:rsidRPr="00730B1E" w:rsidRDefault="00121199" w:rsidP="00121199">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0D05BC08" w14:textId="77777777" w:rsidR="00121199" w:rsidRPr="00730B1E" w:rsidRDefault="00121199" w:rsidP="00121199">
            <w:pPr>
              <w:spacing w:line="240" w:lineRule="auto"/>
              <w:jc w:val="center"/>
              <w:rPr>
                <w:rFonts w:eastAsia="Times New Roman"/>
                <w:b/>
                <w:bCs/>
                <w:szCs w:val="24"/>
                <w:lang w:eastAsia="cs-CZ"/>
              </w:rPr>
            </w:pPr>
            <w:r w:rsidRPr="00730B1E">
              <w:rPr>
                <w:rFonts w:eastAsia="Times New Roman"/>
                <w:b/>
                <w:bCs/>
                <w:szCs w:val="24"/>
                <w:lang w:eastAsia="cs-CZ"/>
              </w:rPr>
              <w:t>Míra odvolání</w:t>
            </w:r>
          </w:p>
        </w:tc>
      </w:tr>
      <w:tr w:rsidR="00B64E96" w:rsidRPr="00730B1E" w14:paraId="08DF7583" w14:textId="77777777" w:rsidTr="00121199">
        <w:trPr>
          <w:trHeight w:val="330"/>
        </w:trPr>
        <w:tc>
          <w:tcPr>
            <w:tcW w:w="2780" w:type="dxa"/>
            <w:tcBorders>
              <w:top w:val="nil"/>
              <w:left w:val="nil"/>
              <w:bottom w:val="single" w:sz="4" w:space="0" w:color="auto"/>
              <w:right w:val="nil"/>
            </w:tcBorders>
            <w:shd w:val="clear" w:color="auto" w:fill="auto"/>
            <w:noWrap/>
            <w:vAlign w:val="bottom"/>
            <w:hideMark/>
          </w:tcPr>
          <w:p w14:paraId="39E61C46" w14:textId="662FA420" w:rsidR="00121199" w:rsidRPr="00730B1E" w:rsidRDefault="00121199" w:rsidP="00121199">
            <w:pPr>
              <w:spacing w:line="240" w:lineRule="auto"/>
              <w:jc w:val="left"/>
              <w:rPr>
                <w:rFonts w:eastAsia="Times New Roman"/>
                <w:szCs w:val="24"/>
                <w:lang w:eastAsia="cs-CZ"/>
              </w:rPr>
            </w:pPr>
            <w:r w:rsidRPr="00730B1E">
              <w:rPr>
                <w:rFonts w:eastAsia="Times New Roman"/>
                <w:szCs w:val="24"/>
                <w:lang w:eastAsia="cs-CZ"/>
              </w:rPr>
              <w:t>MS Praha</w:t>
            </w:r>
          </w:p>
        </w:tc>
        <w:tc>
          <w:tcPr>
            <w:tcW w:w="1732" w:type="dxa"/>
            <w:tcBorders>
              <w:top w:val="nil"/>
              <w:left w:val="nil"/>
              <w:bottom w:val="single" w:sz="4" w:space="0" w:color="auto"/>
              <w:right w:val="nil"/>
            </w:tcBorders>
            <w:shd w:val="clear" w:color="auto" w:fill="auto"/>
            <w:noWrap/>
            <w:vAlign w:val="bottom"/>
            <w:hideMark/>
          </w:tcPr>
          <w:p w14:paraId="4BD77123" w14:textId="3AA82AA2" w:rsidR="00121199" w:rsidRPr="00730B1E" w:rsidRDefault="00121199" w:rsidP="00121199">
            <w:pPr>
              <w:spacing w:line="240" w:lineRule="auto"/>
              <w:jc w:val="center"/>
              <w:rPr>
                <w:rFonts w:eastAsia="Times New Roman"/>
                <w:szCs w:val="24"/>
                <w:lang w:eastAsia="cs-CZ"/>
              </w:rPr>
            </w:pPr>
            <w:r w:rsidRPr="00730B1E">
              <w:rPr>
                <w:rFonts w:eastAsia="Times New Roman"/>
                <w:szCs w:val="24"/>
                <w:lang w:eastAsia="cs-CZ"/>
              </w:rPr>
              <w:t>5,56 %</w:t>
            </w:r>
          </w:p>
        </w:tc>
        <w:tc>
          <w:tcPr>
            <w:tcW w:w="1788" w:type="dxa"/>
            <w:tcBorders>
              <w:top w:val="nil"/>
              <w:left w:val="nil"/>
              <w:bottom w:val="single" w:sz="4" w:space="0" w:color="auto"/>
              <w:right w:val="nil"/>
            </w:tcBorders>
            <w:shd w:val="clear" w:color="auto" w:fill="auto"/>
            <w:noWrap/>
            <w:vAlign w:val="center"/>
            <w:hideMark/>
          </w:tcPr>
          <w:p w14:paraId="231C1F0A" w14:textId="39DDAD5A" w:rsidR="00121199" w:rsidRPr="00730B1E" w:rsidRDefault="00121199" w:rsidP="00121199">
            <w:pPr>
              <w:spacing w:line="240" w:lineRule="auto"/>
              <w:jc w:val="center"/>
              <w:rPr>
                <w:rFonts w:eastAsia="Times New Roman"/>
                <w:sz w:val="20"/>
                <w:szCs w:val="20"/>
                <w:lang w:eastAsia="cs-CZ"/>
              </w:rPr>
            </w:pPr>
            <w:r w:rsidRPr="00730B1E">
              <w:rPr>
                <w:rFonts w:eastAsia="Times New Roman"/>
                <w:sz w:val="20"/>
                <w:szCs w:val="20"/>
                <w:lang w:eastAsia="cs-CZ"/>
              </w:rPr>
              <w:t>-3,0 p.b.</w:t>
            </w:r>
          </w:p>
        </w:tc>
      </w:tr>
      <w:tr w:rsidR="00B64E96" w:rsidRPr="00730B1E" w14:paraId="03C5247B" w14:textId="77777777" w:rsidTr="00121199">
        <w:trPr>
          <w:trHeight w:val="315"/>
        </w:trPr>
        <w:tc>
          <w:tcPr>
            <w:tcW w:w="2780" w:type="dxa"/>
            <w:tcBorders>
              <w:top w:val="nil"/>
              <w:left w:val="nil"/>
              <w:bottom w:val="single" w:sz="4" w:space="0" w:color="auto"/>
              <w:right w:val="nil"/>
            </w:tcBorders>
            <w:shd w:val="clear" w:color="auto" w:fill="auto"/>
            <w:noWrap/>
            <w:vAlign w:val="bottom"/>
            <w:hideMark/>
          </w:tcPr>
          <w:p w14:paraId="7FABE2E0" w14:textId="77777777" w:rsidR="00121199" w:rsidRPr="00730B1E" w:rsidRDefault="00121199" w:rsidP="00121199">
            <w:pPr>
              <w:spacing w:line="240" w:lineRule="auto"/>
              <w:jc w:val="left"/>
              <w:rPr>
                <w:rFonts w:eastAsia="Times New Roman"/>
                <w:szCs w:val="24"/>
                <w:lang w:eastAsia="cs-CZ"/>
              </w:rPr>
            </w:pPr>
            <w:r w:rsidRPr="00730B1E">
              <w:rPr>
                <w:rFonts w:eastAsia="Times New Roman"/>
                <w:szCs w:val="24"/>
                <w:lang w:eastAsia="cs-CZ"/>
              </w:rPr>
              <w:t>KS Praha</w:t>
            </w:r>
          </w:p>
        </w:tc>
        <w:tc>
          <w:tcPr>
            <w:tcW w:w="1732" w:type="dxa"/>
            <w:tcBorders>
              <w:top w:val="nil"/>
              <w:left w:val="nil"/>
              <w:bottom w:val="single" w:sz="4" w:space="0" w:color="auto"/>
              <w:right w:val="nil"/>
            </w:tcBorders>
            <w:shd w:val="clear" w:color="auto" w:fill="auto"/>
            <w:noWrap/>
            <w:vAlign w:val="bottom"/>
            <w:hideMark/>
          </w:tcPr>
          <w:p w14:paraId="002BA5BD" w14:textId="02611527" w:rsidR="00121199" w:rsidRPr="00730B1E" w:rsidRDefault="00121199" w:rsidP="00121199">
            <w:pPr>
              <w:spacing w:line="240" w:lineRule="auto"/>
              <w:jc w:val="center"/>
              <w:rPr>
                <w:rFonts w:eastAsia="Times New Roman"/>
                <w:szCs w:val="24"/>
                <w:lang w:eastAsia="cs-CZ"/>
              </w:rPr>
            </w:pPr>
            <w:r w:rsidRPr="00730B1E">
              <w:rPr>
                <w:rFonts w:eastAsia="Times New Roman"/>
                <w:szCs w:val="24"/>
                <w:lang w:eastAsia="cs-CZ"/>
              </w:rPr>
              <w:t>4,71 %</w:t>
            </w:r>
          </w:p>
        </w:tc>
        <w:tc>
          <w:tcPr>
            <w:tcW w:w="1788" w:type="dxa"/>
            <w:tcBorders>
              <w:top w:val="nil"/>
              <w:left w:val="nil"/>
              <w:bottom w:val="single" w:sz="4" w:space="0" w:color="auto"/>
              <w:right w:val="nil"/>
            </w:tcBorders>
            <w:shd w:val="clear" w:color="auto" w:fill="auto"/>
            <w:noWrap/>
            <w:vAlign w:val="center"/>
            <w:hideMark/>
          </w:tcPr>
          <w:p w14:paraId="2581E89A" w14:textId="054B22D2" w:rsidR="00121199" w:rsidRPr="00730B1E" w:rsidRDefault="00121199" w:rsidP="00121199">
            <w:pPr>
              <w:spacing w:line="240" w:lineRule="auto"/>
              <w:jc w:val="center"/>
              <w:rPr>
                <w:rFonts w:eastAsia="Times New Roman"/>
                <w:sz w:val="20"/>
                <w:szCs w:val="20"/>
                <w:lang w:eastAsia="cs-CZ"/>
              </w:rPr>
            </w:pPr>
            <w:r w:rsidRPr="00730B1E">
              <w:rPr>
                <w:rFonts w:eastAsia="Times New Roman"/>
                <w:sz w:val="20"/>
                <w:szCs w:val="20"/>
                <w:lang w:eastAsia="cs-CZ"/>
              </w:rPr>
              <w:t>-0,5 p.b.</w:t>
            </w:r>
          </w:p>
        </w:tc>
      </w:tr>
      <w:tr w:rsidR="00B64E96" w:rsidRPr="00730B1E" w14:paraId="00B2E791" w14:textId="77777777" w:rsidTr="00121199">
        <w:trPr>
          <w:trHeight w:val="315"/>
        </w:trPr>
        <w:tc>
          <w:tcPr>
            <w:tcW w:w="2780" w:type="dxa"/>
            <w:tcBorders>
              <w:top w:val="nil"/>
              <w:left w:val="nil"/>
              <w:bottom w:val="single" w:sz="4" w:space="0" w:color="auto"/>
              <w:right w:val="nil"/>
            </w:tcBorders>
            <w:shd w:val="clear" w:color="auto" w:fill="auto"/>
            <w:noWrap/>
            <w:vAlign w:val="bottom"/>
            <w:hideMark/>
          </w:tcPr>
          <w:p w14:paraId="3D153DF4" w14:textId="77777777" w:rsidR="00121199" w:rsidRPr="00730B1E" w:rsidRDefault="00121199" w:rsidP="00121199">
            <w:pPr>
              <w:spacing w:line="240" w:lineRule="auto"/>
              <w:jc w:val="left"/>
              <w:rPr>
                <w:rFonts w:eastAsia="Times New Roman"/>
                <w:szCs w:val="24"/>
                <w:lang w:eastAsia="cs-CZ"/>
              </w:rPr>
            </w:pPr>
            <w:r w:rsidRPr="00730B1E">
              <w:rPr>
                <w:rFonts w:eastAsia="Times New Roman"/>
                <w:szCs w:val="24"/>
                <w:lang w:eastAsia="cs-CZ"/>
              </w:rPr>
              <w:t>KS Č. Budějovice</w:t>
            </w:r>
          </w:p>
        </w:tc>
        <w:tc>
          <w:tcPr>
            <w:tcW w:w="1732" w:type="dxa"/>
            <w:tcBorders>
              <w:top w:val="nil"/>
              <w:left w:val="nil"/>
              <w:bottom w:val="single" w:sz="4" w:space="0" w:color="auto"/>
              <w:right w:val="nil"/>
            </w:tcBorders>
            <w:shd w:val="clear" w:color="auto" w:fill="auto"/>
            <w:noWrap/>
            <w:vAlign w:val="bottom"/>
            <w:hideMark/>
          </w:tcPr>
          <w:p w14:paraId="72F6871D" w14:textId="686F39E8" w:rsidR="00121199" w:rsidRPr="00730B1E" w:rsidRDefault="00121199" w:rsidP="00121199">
            <w:pPr>
              <w:spacing w:line="240" w:lineRule="auto"/>
              <w:jc w:val="center"/>
              <w:rPr>
                <w:rFonts w:eastAsia="Times New Roman"/>
                <w:szCs w:val="24"/>
                <w:lang w:eastAsia="cs-CZ"/>
              </w:rPr>
            </w:pPr>
            <w:r w:rsidRPr="00730B1E">
              <w:rPr>
                <w:rFonts w:eastAsia="Times New Roman"/>
                <w:szCs w:val="24"/>
                <w:lang w:eastAsia="cs-CZ"/>
              </w:rPr>
              <w:t>2,71 %</w:t>
            </w:r>
          </w:p>
        </w:tc>
        <w:tc>
          <w:tcPr>
            <w:tcW w:w="1788" w:type="dxa"/>
            <w:tcBorders>
              <w:top w:val="nil"/>
              <w:left w:val="nil"/>
              <w:bottom w:val="single" w:sz="4" w:space="0" w:color="auto"/>
              <w:right w:val="nil"/>
            </w:tcBorders>
            <w:shd w:val="clear" w:color="auto" w:fill="auto"/>
            <w:noWrap/>
            <w:vAlign w:val="center"/>
            <w:hideMark/>
          </w:tcPr>
          <w:p w14:paraId="76AA5CB1" w14:textId="0439FE34" w:rsidR="00121199" w:rsidRPr="00730B1E" w:rsidRDefault="00121199" w:rsidP="00121199">
            <w:pPr>
              <w:spacing w:line="240" w:lineRule="auto"/>
              <w:jc w:val="center"/>
              <w:rPr>
                <w:rFonts w:eastAsia="Times New Roman"/>
                <w:sz w:val="20"/>
                <w:szCs w:val="20"/>
                <w:lang w:eastAsia="cs-CZ"/>
              </w:rPr>
            </w:pPr>
            <w:r w:rsidRPr="00730B1E">
              <w:rPr>
                <w:rFonts w:eastAsia="Times New Roman"/>
                <w:sz w:val="20"/>
                <w:szCs w:val="20"/>
                <w:lang w:eastAsia="cs-CZ"/>
              </w:rPr>
              <w:t>-0,9 p.b.</w:t>
            </w:r>
          </w:p>
        </w:tc>
      </w:tr>
      <w:tr w:rsidR="00B64E96" w:rsidRPr="00730B1E" w14:paraId="17E7798F" w14:textId="77777777" w:rsidTr="00121199">
        <w:trPr>
          <w:trHeight w:val="315"/>
        </w:trPr>
        <w:tc>
          <w:tcPr>
            <w:tcW w:w="2780" w:type="dxa"/>
            <w:tcBorders>
              <w:top w:val="nil"/>
              <w:left w:val="nil"/>
              <w:bottom w:val="single" w:sz="4" w:space="0" w:color="auto"/>
              <w:right w:val="nil"/>
            </w:tcBorders>
            <w:shd w:val="clear" w:color="auto" w:fill="auto"/>
            <w:noWrap/>
            <w:vAlign w:val="bottom"/>
            <w:hideMark/>
          </w:tcPr>
          <w:p w14:paraId="6A6A637D" w14:textId="77777777" w:rsidR="00121199" w:rsidRPr="00730B1E" w:rsidRDefault="00121199" w:rsidP="00121199">
            <w:pPr>
              <w:spacing w:line="240" w:lineRule="auto"/>
              <w:jc w:val="left"/>
              <w:rPr>
                <w:rFonts w:eastAsia="Times New Roman"/>
                <w:szCs w:val="24"/>
                <w:lang w:eastAsia="cs-CZ"/>
              </w:rPr>
            </w:pPr>
            <w:r w:rsidRPr="00730B1E">
              <w:rPr>
                <w:rFonts w:eastAsia="Times New Roman"/>
                <w:szCs w:val="24"/>
                <w:lang w:eastAsia="cs-CZ"/>
              </w:rPr>
              <w:t>KS Plzeň</w:t>
            </w:r>
          </w:p>
        </w:tc>
        <w:tc>
          <w:tcPr>
            <w:tcW w:w="1732" w:type="dxa"/>
            <w:tcBorders>
              <w:top w:val="nil"/>
              <w:left w:val="nil"/>
              <w:bottom w:val="single" w:sz="4" w:space="0" w:color="auto"/>
              <w:right w:val="nil"/>
            </w:tcBorders>
            <w:shd w:val="clear" w:color="auto" w:fill="auto"/>
            <w:noWrap/>
            <w:vAlign w:val="bottom"/>
            <w:hideMark/>
          </w:tcPr>
          <w:p w14:paraId="0E77ACFF" w14:textId="3162B09D" w:rsidR="00121199" w:rsidRPr="00730B1E" w:rsidRDefault="00121199" w:rsidP="00121199">
            <w:pPr>
              <w:spacing w:line="240" w:lineRule="auto"/>
              <w:jc w:val="center"/>
              <w:rPr>
                <w:rFonts w:eastAsia="Times New Roman"/>
                <w:szCs w:val="24"/>
                <w:lang w:eastAsia="cs-CZ"/>
              </w:rPr>
            </w:pPr>
            <w:r w:rsidRPr="00730B1E">
              <w:rPr>
                <w:rFonts w:eastAsia="Times New Roman"/>
                <w:szCs w:val="24"/>
                <w:lang w:eastAsia="cs-CZ"/>
              </w:rPr>
              <w:t>3,22 %</w:t>
            </w:r>
          </w:p>
        </w:tc>
        <w:tc>
          <w:tcPr>
            <w:tcW w:w="1788" w:type="dxa"/>
            <w:tcBorders>
              <w:top w:val="nil"/>
              <w:left w:val="nil"/>
              <w:bottom w:val="single" w:sz="4" w:space="0" w:color="auto"/>
              <w:right w:val="nil"/>
            </w:tcBorders>
            <w:shd w:val="clear" w:color="auto" w:fill="auto"/>
            <w:noWrap/>
            <w:vAlign w:val="center"/>
            <w:hideMark/>
          </w:tcPr>
          <w:p w14:paraId="203477DF" w14:textId="1D835C06" w:rsidR="00121199" w:rsidRPr="00730B1E" w:rsidRDefault="00121199" w:rsidP="00121199">
            <w:pPr>
              <w:spacing w:line="240" w:lineRule="auto"/>
              <w:jc w:val="center"/>
              <w:rPr>
                <w:rFonts w:eastAsia="Times New Roman"/>
                <w:sz w:val="20"/>
                <w:szCs w:val="20"/>
                <w:lang w:eastAsia="cs-CZ"/>
              </w:rPr>
            </w:pPr>
            <w:r w:rsidRPr="00730B1E">
              <w:rPr>
                <w:rFonts w:eastAsia="Times New Roman"/>
                <w:sz w:val="20"/>
                <w:szCs w:val="20"/>
                <w:lang w:eastAsia="cs-CZ"/>
              </w:rPr>
              <w:t>-0,4 p.b.</w:t>
            </w:r>
          </w:p>
        </w:tc>
      </w:tr>
      <w:tr w:rsidR="00B64E96" w:rsidRPr="00730B1E" w14:paraId="743DBAAD" w14:textId="77777777" w:rsidTr="00121199">
        <w:trPr>
          <w:trHeight w:val="315"/>
        </w:trPr>
        <w:tc>
          <w:tcPr>
            <w:tcW w:w="2780" w:type="dxa"/>
            <w:tcBorders>
              <w:top w:val="nil"/>
              <w:left w:val="nil"/>
              <w:bottom w:val="single" w:sz="4" w:space="0" w:color="auto"/>
              <w:right w:val="nil"/>
            </w:tcBorders>
            <w:shd w:val="clear" w:color="auto" w:fill="auto"/>
            <w:noWrap/>
            <w:vAlign w:val="bottom"/>
            <w:hideMark/>
          </w:tcPr>
          <w:p w14:paraId="262F2ABC" w14:textId="77777777" w:rsidR="00121199" w:rsidRPr="00730B1E" w:rsidRDefault="00121199" w:rsidP="00121199">
            <w:pPr>
              <w:spacing w:line="240" w:lineRule="auto"/>
              <w:jc w:val="left"/>
              <w:rPr>
                <w:rFonts w:eastAsia="Times New Roman"/>
                <w:szCs w:val="24"/>
                <w:lang w:eastAsia="cs-CZ"/>
              </w:rPr>
            </w:pPr>
            <w:r w:rsidRPr="00730B1E">
              <w:rPr>
                <w:rFonts w:eastAsia="Times New Roman"/>
                <w:szCs w:val="24"/>
                <w:lang w:eastAsia="cs-CZ"/>
              </w:rPr>
              <w:t>KS Ústí n. Labem</w:t>
            </w:r>
          </w:p>
        </w:tc>
        <w:tc>
          <w:tcPr>
            <w:tcW w:w="1732" w:type="dxa"/>
            <w:tcBorders>
              <w:top w:val="nil"/>
              <w:left w:val="nil"/>
              <w:bottom w:val="single" w:sz="4" w:space="0" w:color="auto"/>
              <w:right w:val="nil"/>
            </w:tcBorders>
            <w:shd w:val="clear" w:color="auto" w:fill="auto"/>
            <w:noWrap/>
            <w:vAlign w:val="bottom"/>
            <w:hideMark/>
          </w:tcPr>
          <w:p w14:paraId="7A872238" w14:textId="4FA15817" w:rsidR="00121199" w:rsidRPr="00730B1E" w:rsidRDefault="00121199" w:rsidP="00121199">
            <w:pPr>
              <w:spacing w:line="240" w:lineRule="auto"/>
              <w:jc w:val="center"/>
              <w:rPr>
                <w:rFonts w:eastAsia="Times New Roman"/>
                <w:szCs w:val="24"/>
                <w:lang w:eastAsia="cs-CZ"/>
              </w:rPr>
            </w:pPr>
            <w:r w:rsidRPr="00730B1E">
              <w:rPr>
                <w:rFonts w:eastAsia="Times New Roman"/>
                <w:szCs w:val="24"/>
                <w:lang w:eastAsia="cs-CZ"/>
              </w:rPr>
              <w:t>3,07 %</w:t>
            </w:r>
          </w:p>
        </w:tc>
        <w:tc>
          <w:tcPr>
            <w:tcW w:w="1788" w:type="dxa"/>
            <w:tcBorders>
              <w:top w:val="nil"/>
              <w:left w:val="nil"/>
              <w:bottom w:val="single" w:sz="4" w:space="0" w:color="auto"/>
              <w:right w:val="nil"/>
            </w:tcBorders>
            <w:shd w:val="clear" w:color="auto" w:fill="auto"/>
            <w:noWrap/>
            <w:vAlign w:val="center"/>
            <w:hideMark/>
          </w:tcPr>
          <w:p w14:paraId="2D38B9D4" w14:textId="43177EF3" w:rsidR="00121199" w:rsidRPr="00730B1E" w:rsidRDefault="00121199" w:rsidP="00121199">
            <w:pPr>
              <w:spacing w:line="240" w:lineRule="auto"/>
              <w:jc w:val="center"/>
              <w:rPr>
                <w:rFonts w:eastAsia="Times New Roman"/>
                <w:sz w:val="20"/>
                <w:szCs w:val="20"/>
                <w:lang w:eastAsia="cs-CZ"/>
              </w:rPr>
            </w:pPr>
            <w:r w:rsidRPr="00730B1E">
              <w:rPr>
                <w:rFonts w:eastAsia="Times New Roman"/>
                <w:sz w:val="20"/>
                <w:szCs w:val="20"/>
                <w:lang w:eastAsia="cs-CZ"/>
              </w:rPr>
              <w:t>-0,1 p.b.</w:t>
            </w:r>
          </w:p>
        </w:tc>
      </w:tr>
      <w:tr w:rsidR="00B64E96" w:rsidRPr="00730B1E" w14:paraId="0160692A" w14:textId="77777777" w:rsidTr="00121199">
        <w:trPr>
          <w:trHeight w:val="315"/>
        </w:trPr>
        <w:tc>
          <w:tcPr>
            <w:tcW w:w="2780" w:type="dxa"/>
            <w:tcBorders>
              <w:top w:val="nil"/>
              <w:left w:val="nil"/>
              <w:bottom w:val="single" w:sz="4" w:space="0" w:color="auto"/>
              <w:right w:val="nil"/>
            </w:tcBorders>
            <w:shd w:val="clear" w:color="auto" w:fill="auto"/>
            <w:noWrap/>
            <w:vAlign w:val="bottom"/>
            <w:hideMark/>
          </w:tcPr>
          <w:p w14:paraId="7F2F75AE" w14:textId="77777777" w:rsidR="00121199" w:rsidRPr="00730B1E" w:rsidRDefault="00121199" w:rsidP="00121199">
            <w:pPr>
              <w:spacing w:line="240" w:lineRule="auto"/>
              <w:jc w:val="left"/>
              <w:rPr>
                <w:rFonts w:eastAsia="Times New Roman"/>
                <w:szCs w:val="24"/>
                <w:lang w:eastAsia="cs-CZ"/>
              </w:rPr>
            </w:pPr>
            <w:r w:rsidRPr="00730B1E">
              <w:rPr>
                <w:rFonts w:eastAsia="Times New Roman"/>
                <w:szCs w:val="24"/>
                <w:lang w:eastAsia="cs-CZ"/>
              </w:rPr>
              <w:t>KS Hr. Králové</w:t>
            </w:r>
          </w:p>
        </w:tc>
        <w:tc>
          <w:tcPr>
            <w:tcW w:w="1732" w:type="dxa"/>
            <w:tcBorders>
              <w:top w:val="nil"/>
              <w:left w:val="nil"/>
              <w:bottom w:val="single" w:sz="4" w:space="0" w:color="auto"/>
              <w:right w:val="nil"/>
            </w:tcBorders>
            <w:shd w:val="clear" w:color="auto" w:fill="auto"/>
            <w:noWrap/>
            <w:vAlign w:val="bottom"/>
            <w:hideMark/>
          </w:tcPr>
          <w:p w14:paraId="5AC297B5" w14:textId="27F39812" w:rsidR="00121199" w:rsidRPr="00730B1E" w:rsidRDefault="00121199" w:rsidP="00121199">
            <w:pPr>
              <w:spacing w:line="240" w:lineRule="auto"/>
              <w:jc w:val="center"/>
              <w:rPr>
                <w:rFonts w:eastAsia="Times New Roman"/>
                <w:szCs w:val="24"/>
                <w:lang w:eastAsia="cs-CZ"/>
              </w:rPr>
            </w:pPr>
            <w:r w:rsidRPr="00730B1E">
              <w:rPr>
                <w:rFonts w:eastAsia="Times New Roman"/>
                <w:szCs w:val="24"/>
                <w:lang w:eastAsia="cs-CZ"/>
              </w:rPr>
              <w:t>3,43 %</w:t>
            </w:r>
          </w:p>
        </w:tc>
        <w:tc>
          <w:tcPr>
            <w:tcW w:w="1788" w:type="dxa"/>
            <w:tcBorders>
              <w:top w:val="nil"/>
              <w:left w:val="nil"/>
              <w:bottom w:val="single" w:sz="4" w:space="0" w:color="auto"/>
              <w:right w:val="nil"/>
            </w:tcBorders>
            <w:shd w:val="clear" w:color="auto" w:fill="auto"/>
            <w:noWrap/>
            <w:vAlign w:val="center"/>
            <w:hideMark/>
          </w:tcPr>
          <w:p w14:paraId="7642F290" w14:textId="5098B453" w:rsidR="00121199" w:rsidRPr="00730B1E" w:rsidRDefault="00121199" w:rsidP="00121199">
            <w:pPr>
              <w:spacing w:line="240" w:lineRule="auto"/>
              <w:jc w:val="center"/>
              <w:rPr>
                <w:rFonts w:eastAsia="Times New Roman"/>
                <w:sz w:val="20"/>
                <w:szCs w:val="20"/>
                <w:lang w:eastAsia="cs-CZ"/>
              </w:rPr>
            </w:pPr>
            <w:r w:rsidRPr="00730B1E">
              <w:rPr>
                <w:rFonts w:eastAsia="Times New Roman"/>
                <w:sz w:val="20"/>
                <w:szCs w:val="20"/>
                <w:lang w:eastAsia="cs-CZ"/>
              </w:rPr>
              <w:t>-0,0 p.b.</w:t>
            </w:r>
          </w:p>
        </w:tc>
      </w:tr>
      <w:tr w:rsidR="00B64E96" w:rsidRPr="00730B1E" w14:paraId="2CC35CEB" w14:textId="77777777" w:rsidTr="00121199">
        <w:trPr>
          <w:trHeight w:val="315"/>
        </w:trPr>
        <w:tc>
          <w:tcPr>
            <w:tcW w:w="2780" w:type="dxa"/>
            <w:tcBorders>
              <w:top w:val="nil"/>
              <w:left w:val="nil"/>
              <w:bottom w:val="single" w:sz="4" w:space="0" w:color="auto"/>
              <w:right w:val="nil"/>
            </w:tcBorders>
            <w:shd w:val="clear" w:color="auto" w:fill="auto"/>
            <w:noWrap/>
            <w:vAlign w:val="bottom"/>
            <w:hideMark/>
          </w:tcPr>
          <w:p w14:paraId="6AAF24A1" w14:textId="77777777" w:rsidR="00121199" w:rsidRPr="00730B1E" w:rsidRDefault="00121199" w:rsidP="00121199">
            <w:pPr>
              <w:spacing w:line="240" w:lineRule="auto"/>
              <w:jc w:val="left"/>
              <w:rPr>
                <w:rFonts w:eastAsia="Times New Roman"/>
                <w:szCs w:val="24"/>
                <w:lang w:eastAsia="cs-CZ"/>
              </w:rPr>
            </w:pPr>
            <w:r w:rsidRPr="00730B1E">
              <w:rPr>
                <w:rFonts w:eastAsia="Times New Roman"/>
                <w:szCs w:val="24"/>
                <w:lang w:eastAsia="cs-CZ"/>
              </w:rPr>
              <w:t>KS Brno</w:t>
            </w:r>
          </w:p>
        </w:tc>
        <w:tc>
          <w:tcPr>
            <w:tcW w:w="1732" w:type="dxa"/>
            <w:tcBorders>
              <w:top w:val="nil"/>
              <w:left w:val="nil"/>
              <w:bottom w:val="single" w:sz="4" w:space="0" w:color="auto"/>
              <w:right w:val="nil"/>
            </w:tcBorders>
            <w:shd w:val="clear" w:color="auto" w:fill="auto"/>
            <w:noWrap/>
            <w:vAlign w:val="bottom"/>
            <w:hideMark/>
          </w:tcPr>
          <w:p w14:paraId="5C1D336B" w14:textId="578002E6" w:rsidR="00121199" w:rsidRPr="00730B1E" w:rsidRDefault="00121199" w:rsidP="00121199">
            <w:pPr>
              <w:spacing w:line="240" w:lineRule="auto"/>
              <w:jc w:val="center"/>
              <w:rPr>
                <w:rFonts w:eastAsia="Times New Roman"/>
                <w:szCs w:val="24"/>
                <w:lang w:eastAsia="cs-CZ"/>
              </w:rPr>
            </w:pPr>
            <w:r w:rsidRPr="00730B1E">
              <w:rPr>
                <w:rFonts w:eastAsia="Times New Roman"/>
                <w:szCs w:val="24"/>
                <w:lang w:eastAsia="cs-CZ"/>
              </w:rPr>
              <w:t>4,19 %</w:t>
            </w:r>
          </w:p>
        </w:tc>
        <w:tc>
          <w:tcPr>
            <w:tcW w:w="1788" w:type="dxa"/>
            <w:tcBorders>
              <w:top w:val="nil"/>
              <w:left w:val="nil"/>
              <w:bottom w:val="single" w:sz="4" w:space="0" w:color="auto"/>
              <w:right w:val="nil"/>
            </w:tcBorders>
            <w:shd w:val="clear" w:color="auto" w:fill="auto"/>
            <w:noWrap/>
            <w:vAlign w:val="center"/>
            <w:hideMark/>
          </w:tcPr>
          <w:p w14:paraId="674A69A2" w14:textId="0529F923" w:rsidR="00121199" w:rsidRPr="00730B1E" w:rsidRDefault="00121199" w:rsidP="00121199">
            <w:pPr>
              <w:spacing w:line="240" w:lineRule="auto"/>
              <w:jc w:val="center"/>
              <w:rPr>
                <w:rFonts w:eastAsia="Times New Roman"/>
                <w:sz w:val="20"/>
                <w:szCs w:val="20"/>
                <w:lang w:eastAsia="cs-CZ"/>
              </w:rPr>
            </w:pPr>
            <w:r w:rsidRPr="00730B1E">
              <w:rPr>
                <w:rFonts w:eastAsia="Times New Roman"/>
                <w:sz w:val="20"/>
                <w:szCs w:val="20"/>
                <w:lang w:eastAsia="cs-CZ"/>
              </w:rPr>
              <w:t>-0,6 p.b.</w:t>
            </w:r>
          </w:p>
        </w:tc>
      </w:tr>
      <w:tr w:rsidR="00B64E96" w:rsidRPr="00730B1E" w14:paraId="6A2F3797" w14:textId="77777777" w:rsidTr="00121199">
        <w:trPr>
          <w:trHeight w:val="330"/>
        </w:trPr>
        <w:tc>
          <w:tcPr>
            <w:tcW w:w="2780" w:type="dxa"/>
            <w:tcBorders>
              <w:top w:val="nil"/>
              <w:left w:val="nil"/>
              <w:bottom w:val="double" w:sz="6" w:space="0" w:color="auto"/>
              <w:right w:val="nil"/>
            </w:tcBorders>
            <w:shd w:val="clear" w:color="auto" w:fill="auto"/>
            <w:noWrap/>
            <w:vAlign w:val="bottom"/>
            <w:hideMark/>
          </w:tcPr>
          <w:p w14:paraId="5DD080E1" w14:textId="77777777" w:rsidR="00121199" w:rsidRPr="00730B1E" w:rsidRDefault="00121199" w:rsidP="00121199">
            <w:pPr>
              <w:spacing w:line="240" w:lineRule="auto"/>
              <w:jc w:val="left"/>
              <w:rPr>
                <w:rFonts w:eastAsia="Times New Roman"/>
                <w:szCs w:val="24"/>
                <w:lang w:eastAsia="cs-CZ"/>
              </w:rPr>
            </w:pPr>
            <w:r w:rsidRPr="00730B1E">
              <w:rPr>
                <w:rFonts w:eastAsia="Times New Roman"/>
                <w:szCs w:val="24"/>
                <w:lang w:eastAsia="cs-CZ"/>
              </w:rPr>
              <w:t>KS Ostrava</w:t>
            </w:r>
          </w:p>
        </w:tc>
        <w:tc>
          <w:tcPr>
            <w:tcW w:w="1732" w:type="dxa"/>
            <w:tcBorders>
              <w:top w:val="nil"/>
              <w:left w:val="nil"/>
              <w:bottom w:val="double" w:sz="6" w:space="0" w:color="auto"/>
              <w:right w:val="nil"/>
            </w:tcBorders>
            <w:shd w:val="clear" w:color="auto" w:fill="auto"/>
            <w:noWrap/>
            <w:vAlign w:val="bottom"/>
            <w:hideMark/>
          </w:tcPr>
          <w:p w14:paraId="22ED2BF4" w14:textId="354AE7FC" w:rsidR="00121199" w:rsidRPr="00730B1E" w:rsidRDefault="00121199" w:rsidP="00121199">
            <w:pPr>
              <w:spacing w:line="240" w:lineRule="auto"/>
              <w:jc w:val="center"/>
              <w:rPr>
                <w:rFonts w:eastAsia="Times New Roman"/>
                <w:szCs w:val="24"/>
                <w:lang w:eastAsia="cs-CZ"/>
              </w:rPr>
            </w:pPr>
            <w:r w:rsidRPr="00730B1E">
              <w:rPr>
                <w:rFonts w:eastAsia="Times New Roman"/>
                <w:szCs w:val="24"/>
                <w:lang w:eastAsia="cs-CZ"/>
              </w:rPr>
              <w:t>2,97 %</w:t>
            </w:r>
          </w:p>
        </w:tc>
        <w:tc>
          <w:tcPr>
            <w:tcW w:w="1788" w:type="dxa"/>
            <w:tcBorders>
              <w:top w:val="nil"/>
              <w:left w:val="nil"/>
              <w:bottom w:val="double" w:sz="6" w:space="0" w:color="auto"/>
              <w:right w:val="nil"/>
            </w:tcBorders>
            <w:shd w:val="clear" w:color="auto" w:fill="auto"/>
            <w:noWrap/>
            <w:vAlign w:val="center"/>
            <w:hideMark/>
          </w:tcPr>
          <w:p w14:paraId="7FBBFEE9" w14:textId="6F177466" w:rsidR="00121199" w:rsidRPr="00730B1E" w:rsidRDefault="00121199" w:rsidP="00121199">
            <w:pPr>
              <w:spacing w:line="240" w:lineRule="auto"/>
              <w:jc w:val="center"/>
              <w:rPr>
                <w:rFonts w:eastAsia="Times New Roman"/>
                <w:sz w:val="20"/>
                <w:szCs w:val="20"/>
                <w:lang w:eastAsia="cs-CZ"/>
              </w:rPr>
            </w:pPr>
            <w:r w:rsidRPr="00730B1E">
              <w:rPr>
                <w:rFonts w:eastAsia="Times New Roman"/>
                <w:sz w:val="20"/>
                <w:szCs w:val="20"/>
                <w:lang w:eastAsia="cs-CZ"/>
              </w:rPr>
              <w:t>-0,3 p.b.</w:t>
            </w:r>
          </w:p>
        </w:tc>
      </w:tr>
      <w:tr w:rsidR="00B64E96" w:rsidRPr="00730B1E" w14:paraId="04FA8659" w14:textId="77777777" w:rsidTr="00121199">
        <w:trPr>
          <w:trHeight w:val="345"/>
        </w:trPr>
        <w:tc>
          <w:tcPr>
            <w:tcW w:w="2780" w:type="dxa"/>
            <w:tcBorders>
              <w:top w:val="nil"/>
              <w:left w:val="nil"/>
              <w:bottom w:val="double" w:sz="6" w:space="0" w:color="auto"/>
              <w:right w:val="nil"/>
            </w:tcBorders>
            <w:shd w:val="clear" w:color="auto" w:fill="auto"/>
            <w:noWrap/>
            <w:vAlign w:val="bottom"/>
            <w:hideMark/>
          </w:tcPr>
          <w:p w14:paraId="30747AF1" w14:textId="77777777" w:rsidR="00121199" w:rsidRPr="00730B1E" w:rsidRDefault="00121199" w:rsidP="00121199">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32" w:type="dxa"/>
            <w:tcBorders>
              <w:top w:val="nil"/>
              <w:left w:val="nil"/>
              <w:bottom w:val="double" w:sz="6" w:space="0" w:color="auto"/>
              <w:right w:val="nil"/>
            </w:tcBorders>
            <w:shd w:val="clear" w:color="auto" w:fill="auto"/>
            <w:noWrap/>
            <w:vAlign w:val="bottom"/>
            <w:hideMark/>
          </w:tcPr>
          <w:p w14:paraId="7F9D3648" w14:textId="7A7AEE6A" w:rsidR="00121199" w:rsidRPr="00730B1E" w:rsidRDefault="00121199" w:rsidP="00121199">
            <w:pPr>
              <w:spacing w:line="240" w:lineRule="auto"/>
              <w:jc w:val="center"/>
              <w:rPr>
                <w:rFonts w:eastAsia="Times New Roman"/>
                <w:b/>
                <w:bCs/>
                <w:szCs w:val="24"/>
                <w:lang w:eastAsia="cs-CZ"/>
              </w:rPr>
            </w:pPr>
            <w:r w:rsidRPr="00730B1E">
              <w:rPr>
                <w:rFonts w:eastAsia="Times New Roman"/>
                <w:b/>
                <w:bCs/>
                <w:szCs w:val="24"/>
                <w:lang w:eastAsia="cs-CZ"/>
              </w:rPr>
              <w:t>3,77 %</w:t>
            </w:r>
          </w:p>
        </w:tc>
        <w:tc>
          <w:tcPr>
            <w:tcW w:w="1788" w:type="dxa"/>
            <w:tcBorders>
              <w:top w:val="nil"/>
              <w:left w:val="nil"/>
              <w:bottom w:val="double" w:sz="6" w:space="0" w:color="auto"/>
              <w:right w:val="nil"/>
            </w:tcBorders>
            <w:shd w:val="clear" w:color="auto" w:fill="auto"/>
            <w:noWrap/>
            <w:vAlign w:val="center"/>
            <w:hideMark/>
          </w:tcPr>
          <w:p w14:paraId="4D3853FA" w14:textId="398139EB" w:rsidR="00121199" w:rsidRPr="00730B1E" w:rsidRDefault="00121199" w:rsidP="00121199">
            <w:pPr>
              <w:spacing w:line="240" w:lineRule="auto"/>
              <w:jc w:val="center"/>
              <w:rPr>
                <w:rFonts w:eastAsia="Times New Roman"/>
                <w:b/>
                <w:bCs/>
                <w:sz w:val="20"/>
                <w:szCs w:val="20"/>
                <w:lang w:eastAsia="cs-CZ"/>
              </w:rPr>
            </w:pPr>
            <w:r w:rsidRPr="00730B1E">
              <w:rPr>
                <w:rFonts w:eastAsia="Times New Roman"/>
                <w:b/>
                <w:bCs/>
                <w:sz w:val="20"/>
                <w:szCs w:val="20"/>
                <w:lang w:eastAsia="cs-CZ"/>
              </w:rPr>
              <w:t>-0,7 p.b.</w:t>
            </w:r>
          </w:p>
        </w:tc>
      </w:tr>
      <w:tr w:rsidR="00B64E96" w:rsidRPr="00730B1E" w14:paraId="2BB9E2FF" w14:textId="77777777" w:rsidTr="00703F67">
        <w:trPr>
          <w:trHeight w:val="330"/>
        </w:trPr>
        <w:tc>
          <w:tcPr>
            <w:tcW w:w="2780" w:type="dxa"/>
            <w:tcBorders>
              <w:top w:val="nil"/>
              <w:left w:val="nil"/>
              <w:bottom w:val="nil"/>
              <w:right w:val="nil"/>
            </w:tcBorders>
            <w:shd w:val="clear" w:color="auto" w:fill="auto"/>
            <w:noWrap/>
            <w:vAlign w:val="bottom"/>
          </w:tcPr>
          <w:p w14:paraId="1A00C6B9" w14:textId="77777777" w:rsidR="00D12573" w:rsidRPr="00730B1E" w:rsidRDefault="00D12573" w:rsidP="00121199">
            <w:pPr>
              <w:spacing w:line="240" w:lineRule="auto"/>
              <w:jc w:val="right"/>
              <w:rPr>
                <w:rFonts w:eastAsia="Times New Roman"/>
                <w:b/>
                <w:bCs/>
                <w:sz w:val="20"/>
                <w:szCs w:val="20"/>
                <w:lang w:eastAsia="cs-CZ"/>
              </w:rPr>
            </w:pPr>
          </w:p>
        </w:tc>
        <w:tc>
          <w:tcPr>
            <w:tcW w:w="1732" w:type="dxa"/>
            <w:tcBorders>
              <w:top w:val="nil"/>
              <w:left w:val="nil"/>
              <w:bottom w:val="nil"/>
              <w:right w:val="nil"/>
            </w:tcBorders>
            <w:shd w:val="clear" w:color="auto" w:fill="auto"/>
            <w:noWrap/>
            <w:vAlign w:val="bottom"/>
            <w:hideMark/>
          </w:tcPr>
          <w:p w14:paraId="2AD45823" w14:textId="77777777" w:rsidR="00D12573" w:rsidRPr="00DF07F3" w:rsidRDefault="00D12573" w:rsidP="00121199">
            <w:pPr>
              <w:spacing w:line="240" w:lineRule="auto"/>
              <w:jc w:val="left"/>
              <w:rPr>
                <w:sz w:val="20"/>
              </w:rPr>
            </w:pPr>
          </w:p>
        </w:tc>
        <w:tc>
          <w:tcPr>
            <w:tcW w:w="1788" w:type="dxa"/>
            <w:tcBorders>
              <w:top w:val="nil"/>
              <w:left w:val="nil"/>
              <w:bottom w:val="nil"/>
              <w:right w:val="nil"/>
            </w:tcBorders>
            <w:shd w:val="clear" w:color="auto" w:fill="auto"/>
            <w:noWrap/>
            <w:vAlign w:val="bottom"/>
            <w:hideMark/>
          </w:tcPr>
          <w:p w14:paraId="2F4601A5" w14:textId="2ABAB7EE" w:rsidR="00D12573" w:rsidRPr="00DF07F3" w:rsidRDefault="00D12573" w:rsidP="00121199">
            <w:pPr>
              <w:spacing w:line="240" w:lineRule="auto"/>
              <w:jc w:val="left"/>
              <w:rPr>
                <w:sz w:val="20"/>
              </w:rPr>
            </w:pPr>
          </w:p>
        </w:tc>
      </w:tr>
    </w:tbl>
    <w:p w14:paraId="67F4DD8E" w14:textId="0F2DA6A2" w:rsidR="00D12573" w:rsidRPr="00730B1E" w:rsidRDefault="00626580" w:rsidP="00D12573">
      <w:r w:rsidRPr="00730B1E">
        <w:t xml:space="preserve">Z tabulky vyplývá, že míra odvolání je nižší než v civilním řízení, tento rok v absolutním vyjádření přibližně o 3 procentní body. Rozdíly existují i na úrovni krajů. Nejvyšší míry odvolání jsou v Praze a okolí (soudy spadající pod MS Praha a KS Praha). Nejnižší míra odvolání je v Severočeském a Severomoravském a tento rok nově v Jihočeském kraji. </w:t>
      </w:r>
      <w:r w:rsidR="005C47E1" w:rsidRPr="00730B1E">
        <w:t>Rozdíly zřejmě budou vyplývat ze socioekonomických faktorů a složení obyvatelstva daných krajů.</w:t>
      </w:r>
      <w:bookmarkStart w:id="628" w:name="_Toc106106678"/>
      <w:bookmarkStart w:id="629" w:name="_Toc109802002"/>
      <w:bookmarkStart w:id="630" w:name="_Toc144104154"/>
    </w:p>
    <w:p w14:paraId="52A97ADA" w14:textId="687D9341" w:rsidR="00626580" w:rsidRPr="00730B1E" w:rsidRDefault="00626580" w:rsidP="00D12573">
      <w:pPr>
        <w:pStyle w:val="Podnadpis"/>
        <w:rPr>
          <w:color w:val="auto"/>
        </w:rPr>
      </w:pPr>
      <w:bookmarkStart w:id="631" w:name="_Toc169250965"/>
      <w:bookmarkStart w:id="632" w:name="_Toc17408065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46</w:t>
      </w:r>
      <w:r w:rsidRPr="00730B1E">
        <w:rPr>
          <w:color w:val="auto"/>
        </w:rPr>
        <w:fldChar w:fldCharType="end"/>
      </w:r>
      <w:r w:rsidRPr="00730B1E">
        <w:rPr>
          <w:color w:val="auto"/>
        </w:rPr>
        <w:t>: OS – míra odvolání u jednotlivých soudů v</w:t>
      </w:r>
      <w:r w:rsidR="002263C3" w:rsidRPr="00730B1E">
        <w:rPr>
          <w:color w:val="auto"/>
        </w:rPr>
        <w:t> </w:t>
      </w:r>
      <w:r w:rsidRPr="00730B1E">
        <w:rPr>
          <w:color w:val="auto"/>
        </w:rPr>
        <w:t>opatrov</w:t>
      </w:r>
      <w:r w:rsidR="002263C3" w:rsidRPr="00730B1E">
        <w:rPr>
          <w:color w:val="auto"/>
        </w:rPr>
        <w:t>.</w:t>
      </w:r>
      <w:r w:rsidRPr="00730B1E">
        <w:rPr>
          <w:color w:val="auto"/>
        </w:rPr>
        <w:t xml:space="preserve"> řízení</w:t>
      </w:r>
      <w:bookmarkEnd w:id="628"/>
      <w:bookmarkEnd w:id="629"/>
      <w:bookmarkEnd w:id="630"/>
      <w:r w:rsidR="002263C3" w:rsidRPr="00730B1E">
        <w:rPr>
          <w:color w:val="auto"/>
        </w:rPr>
        <w:t>, 2023</w:t>
      </w:r>
      <w:bookmarkEnd w:id="631"/>
      <w:bookmarkEnd w:id="632"/>
    </w:p>
    <w:p w14:paraId="4DA6E2BD" w14:textId="655E50F1" w:rsidR="00D12573" w:rsidRPr="00730B1E" w:rsidRDefault="00D12573" w:rsidP="002263C3">
      <w:pPr>
        <w:pStyle w:val="OdstavecASR"/>
        <w:keepNext/>
        <w:rPr>
          <w:b/>
        </w:rPr>
      </w:pPr>
      <w:r w:rsidRPr="00730B1E">
        <w:rPr>
          <w:b/>
          <w:noProof/>
          <w:lang w:eastAsia="cs-CZ"/>
        </w:rPr>
        <w:drawing>
          <wp:anchor distT="0" distB="0" distL="114300" distR="114300" simplePos="0" relativeHeight="251676672" behindDoc="0" locked="0" layoutInCell="1" allowOverlap="1" wp14:anchorId="4EAD22B3" wp14:editId="053E7181">
            <wp:simplePos x="0" y="0"/>
            <wp:positionH relativeFrom="margin">
              <wp:posOffset>4500245</wp:posOffset>
            </wp:positionH>
            <wp:positionV relativeFrom="paragraph">
              <wp:posOffset>46990</wp:posOffset>
            </wp:positionV>
            <wp:extent cx="1252220" cy="910705"/>
            <wp:effectExtent l="0" t="0" r="5080" b="3810"/>
            <wp:wrapNone/>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52220" cy="91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B1E">
        <w:rPr>
          <w:b/>
          <w:noProof/>
          <w:lang w:eastAsia="cs-CZ"/>
        </w:rPr>
        <w:drawing>
          <wp:inline distT="0" distB="0" distL="0" distR="0" wp14:anchorId="5B2A9C88" wp14:editId="3E8F3F0D">
            <wp:extent cx="5760720" cy="3296920"/>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3016B9E2" w14:textId="7F91F2EF" w:rsidR="000B1F82" w:rsidRPr="00730B1E" w:rsidRDefault="000B1F82" w:rsidP="000B1F82">
      <w:pPr>
        <w:pStyle w:val="OdstavecASR"/>
      </w:pPr>
      <w:bookmarkStart w:id="633" w:name="_Hlk130458045"/>
      <w:r w:rsidRPr="00730B1E">
        <w:t>Z jednotlivých okresních soudů byla v roce 2023 nejvyšší míra odvolání u OS Praha 1 (17,14 %), OS Praha-západ (13,56 %) a OS Praha 9 (8,93 %). Nejnižší je naopak míra odvolání u OS Praha 3 (0,30 %), OS Tachov (1,04 %) a OS Tábor (1,21 %).</w:t>
      </w:r>
    </w:p>
    <w:bookmarkEnd w:id="633"/>
    <w:p w14:paraId="4C71C9E3" w14:textId="73915C78" w:rsidR="00626580" w:rsidRPr="00730B1E" w:rsidRDefault="00626580" w:rsidP="00626580">
      <w:pPr>
        <w:pStyle w:val="OdstavecASR"/>
        <w:keepNext/>
        <w:outlineLvl w:val="3"/>
        <w:rPr>
          <w:b/>
        </w:rPr>
      </w:pPr>
      <w:r w:rsidRPr="00730B1E">
        <w:rPr>
          <w:b/>
        </w:rPr>
        <w:lastRenderedPageBreak/>
        <w:t>Míra změny rozsudku</w:t>
      </w:r>
    </w:p>
    <w:p w14:paraId="5CD92CC8" w14:textId="4ED8C891" w:rsidR="00626580" w:rsidRPr="00730B1E" w:rsidRDefault="00626580" w:rsidP="00626580">
      <w:pPr>
        <w:pStyle w:val="OdstavecASR"/>
      </w:pPr>
      <w:r w:rsidRPr="00730B1E">
        <w:t>Stejně jako u civilního řízení je dalším sledovaným ukazatelem míra změny rozsudku. Jedná se o podíl věcí v procentech, ve kterých odvolací soud na podkladě odvolání změnil rozhodnutí soudu I. stupně.</w:t>
      </w:r>
    </w:p>
    <w:p w14:paraId="1297CA14" w14:textId="4FF46F84" w:rsidR="00626580" w:rsidRPr="00730B1E" w:rsidRDefault="00626580" w:rsidP="00626580">
      <w:pPr>
        <w:pStyle w:val="Podnadpis"/>
        <w:rPr>
          <w:color w:val="auto"/>
        </w:rPr>
      </w:pPr>
      <w:bookmarkStart w:id="634" w:name="_Toc106106795"/>
      <w:bookmarkStart w:id="635" w:name="_Toc109802118"/>
      <w:bookmarkStart w:id="636" w:name="_Toc144104274"/>
      <w:bookmarkStart w:id="637" w:name="_Toc169251089"/>
      <w:bookmarkStart w:id="638" w:name="_Toc174080775"/>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32</w:t>
      </w:r>
      <w:r w:rsidRPr="00730B1E">
        <w:rPr>
          <w:noProof/>
          <w:color w:val="auto"/>
        </w:rPr>
        <w:fldChar w:fldCharType="end"/>
      </w:r>
      <w:r w:rsidRPr="00730B1E">
        <w:rPr>
          <w:color w:val="auto"/>
        </w:rPr>
        <w:t>: OS – míra změny rozsudku dle krajů v opatrovnickém řízení</w:t>
      </w:r>
      <w:bookmarkEnd w:id="634"/>
      <w:bookmarkEnd w:id="635"/>
      <w:bookmarkEnd w:id="636"/>
      <w:r w:rsidR="00BF44E3" w:rsidRPr="00730B1E">
        <w:rPr>
          <w:color w:val="auto"/>
        </w:rPr>
        <w:t>, 2023</w:t>
      </w:r>
      <w:bookmarkEnd w:id="637"/>
      <w:bookmarkEnd w:id="638"/>
    </w:p>
    <w:tbl>
      <w:tblPr>
        <w:tblW w:w="6980" w:type="dxa"/>
        <w:tblCellMar>
          <w:left w:w="70" w:type="dxa"/>
          <w:right w:w="70" w:type="dxa"/>
        </w:tblCellMar>
        <w:tblLook w:val="04A0" w:firstRow="1" w:lastRow="0" w:firstColumn="1" w:lastColumn="0" w:noHBand="0" w:noVBand="1"/>
      </w:tblPr>
      <w:tblGrid>
        <w:gridCol w:w="2780"/>
        <w:gridCol w:w="2065"/>
        <w:gridCol w:w="2135"/>
      </w:tblGrid>
      <w:tr w:rsidR="00B64E96" w:rsidRPr="00730B1E" w14:paraId="21CDBF74" w14:textId="77777777" w:rsidTr="000B1F8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CFF9B7C" w14:textId="77777777" w:rsidR="000B1F82" w:rsidRPr="00730B1E" w:rsidRDefault="000B1F82" w:rsidP="000B1F82">
            <w:pPr>
              <w:spacing w:line="240" w:lineRule="auto"/>
              <w:jc w:val="center"/>
              <w:rPr>
                <w:rFonts w:eastAsia="Times New Roman"/>
                <w:b/>
                <w:bCs/>
                <w:szCs w:val="24"/>
                <w:lang w:eastAsia="cs-CZ"/>
              </w:rPr>
            </w:pPr>
            <w:r w:rsidRPr="00730B1E">
              <w:rPr>
                <w:rFonts w:eastAsia="Times New Roman"/>
                <w:b/>
                <w:bCs/>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74FCD03E" w14:textId="77777777" w:rsidR="000B1F82" w:rsidRPr="00730B1E" w:rsidRDefault="000B1F82" w:rsidP="000B1F82">
            <w:pPr>
              <w:spacing w:line="240" w:lineRule="auto"/>
              <w:jc w:val="center"/>
              <w:rPr>
                <w:rFonts w:eastAsia="Times New Roman"/>
                <w:b/>
                <w:bCs/>
                <w:szCs w:val="24"/>
                <w:lang w:eastAsia="cs-CZ"/>
              </w:rPr>
            </w:pPr>
            <w:r w:rsidRPr="00730B1E">
              <w:rPr>
                <w:rFonts w:eastAsia="Times New Roman"/>
                <w:b/>
                <w:bCs/>
                <w:szCs w:val="24"/>
                <w:lang w:eastAsia="cs-CZ"/>
              </w:rPr>
              <w:t xml:space="preserve">Míra změny rozsudku (v %) </w:t>
            </w:r>
          </w:p>
        </w:tc>
      </w:tr>
      <w:tr w:rsidR="00B64E96" w:rsidRPr="00730B1E" w14:paraId="47448C2E" w14:textId="77777777" w:rsidTr="000B1F82">
        <w:trPr>
          <w:trHeight w:val="330"/>
        </w:trPr>
        <w:tc>
          <w:tcPr>
            <w:tcW w:w="2780" w:type="dxa"/>
            <w:tcBorders>
              <w:top w:val="nil"/>
              <w:left w:val="nil"/>
              <w:bottom w:val="single" w:sz="4" w:space="0" w:color="auto"/>
              <w:right w:val="nil"/>
            </w:tcBorders>
            <w:shd w:val="clear" w:color="auto" w:fill="auto"/>
            <w:noWrap/>
            <w:vAlign w:val="bottom"/>
            <w:hideMark/>
          </w:tcPr>
          <w:p w14:paraId="6D369264" w14:textId="774BBC4D" w:rsidR="000B1F82" w:rsidRPr="00730B1E" w:rsidRDefault="000B1F82" w:rsidP="000B1F82">
            <w:pPr>
              <w:spacing w:line="240" w:lineRule="auto"/>
              <w:jc w:val="left"/>
              <w:rPr>
                <w:rFonts w:eastAsia="Times New Roman"/>
                <w:szCs w:val="24"/>
                <w:lang w:eastAsia="cs-CZ"/>
              </w:rPr>
            </w:pPr>
            <w:r w:rsidRPr="00730B1E">
              <w:rPr>
                <w:rFonts w:eastAsia="Times New Roman"/>
                <w:szCs w:val="24"/>
                <w:lang w:eastAsia="cs-CZ"/>
              </w:rPr>
              <w:t>MS Praha</w:t>
            </w:r>
          </w:p>
        </w:tc>
        <w:tc>
          <w:tcPr>
            <w:tcW w:w="2065" w:type="dxa"/>
            <w:tcBorders>
              <w:top w:val="nil"/>
              <w:left w:val="nil"/>
              <w:bottom w:val="single" w:sz="4" w:space="0" w:color="auto"/>
              <w:right w:val="nil"/>
            </w:tcBorders>
            <w:shd w:val="clear" w:color="auto" w:fill="auto"/>
            <w:noWrap/>
            <w:vAlign w:val="bottom"/>
            <w:hideMark/>
          </w:tcPr>
          <w:p w14:paraId="619AEA95" w14:textId="5448EC3F" w:rsidR="000B1F82" w:rsidRPr="00730B1E" w:rsidRDefault="000B1F82" w:rsidP="000B1F82">
            <w:pPr>
              <w:spacing w:line="240" w:lineRule="auto"/>
              <w:jc w:val="center"/>
              <w:rPr>
                <w:rFonts w:eastAsia="Times New Roman"/>
                <w:szCs w:val="24"/>
                <w:lang w:eastAsia="cs-CZ"/>
              </w:rPr>
            </w:pPr>
            <w:r w:rsidRPr="00730B1E">
              <w:rPr>
                <w:rFonts w:eastAsia="Times New Roman"/>
                <w:szCs w:val="24"/>
                <w:lang w:eastAsia="cs-CZ"/>
              </w:rPr>
              <w:t>57,34 %</w:t>
            </w:r>
          </w:p>
        </w:tc>
        <w:tc>
          <w:tcPr>
            <w:tcW w:w="2135" w:type="dxa"/>
            <w:tcBorders>
              <w:top w:val="nil"/>
              <w:left w:val="nil"/>
              <w:bottom w:val="single" w:sz="4" w:space="0" w:color="auto"/>
              <w:right w:val="nil"/>
            </w:tcBorders>
            <w:shd w:val="clear" w:color="auto" w:fill="auto"/>
            <w:noWrap/>
            <w:vAlign w:val="center"/>
            <w:hideMark/>
          </w:tcPr>
          <w:p w14:paraId="0F263178" w14:textId="048AFF7B" w:rsidR="000B1F82" w:rsidRPr="00730B1E" w:rsidRDefault="000B1F82" w:rsidP="000B1F82">
            <w:pPr>
              <w:spacing w:line="240" w:lineRule="auto"/>
              <w:jc w:val="center"/>
              <w:rPr>
                <w:rFonts w:eastAsia="Times New Roman"/>
                <w:sz w:val="20"/>
                <w:szCs w:val="20"/>
                <w:lang w:eastAsia="cs-CZ"/>
              </w:rPr>
            </w:pPr>
            <w:r w:rsidRPr="00730B1E">
              <w:rPr>
                <w:rFonts w:eastAsia="Times New Roman"/>
                <w:sz w:val="20"/>
                <w:szCs w:val="20"/>
                <w:lang w:eastAsia="cs-CZ"/>
              </w:rPr>
              <w:t>+14,6 p.b.</w:t>
            </w:r>
          </w:p>
        </w:tc>
      </w:tr>
      <w:tr w:rsidR="00B64E96" w:rsidRPr="00730B1E" w14:paraId="297DB7BB" w14:textId="77777777" w:rsidTr="000B1F82">
        <w:trPr>
          <w:trHeight w:val="315"/>
        </w:trPr>
        <w:tc>
          <w:tcPr>
            <w:tcW w:w="2780" w:type="dxa"/>
            <w:tcBorders>
              <w:top w:val="nil"/>
              <w:left w:val="nil"/>
              <w:bottom w:val="single" w:sz="4" w:space="0" w:color="auto"/>
              <w:right w:val="nil"/>
            </w:tcBorders>
            <w:shd w:val="clear" w:color="auto" w:fill="auto"/>
            <w:noWrap/>
            <w:vAlign w:val="bottom"/>
            <w:hideMark/>
          </w:tcPr>
          <w:p w14:paraId="2BC29468" w14:textId="77777777" w:rsidR="000B1F82" w:rsidRPr="00730B1E" w:rsidRDefault="000B1F82" w:rsidP="000B1F82">
            <w:pPr>
              <w:spacing w:line="240" w:lineRule="auto"/>
              <w:jc w:val="left"/>
              <w:rPr>
                <w:rFonts w:eastAsia="Times New Roman"/>
                <w:szCs w:val="24"/>
                <w:lang w:eastAsia="cs-CZ"/>
              </w:rPr>
            </w:pPr>
            <w:r w:rsidRPr="00730B1E">
              <w:rPr>
                <w:rFonts w:eastAsia="Times New Roman"/>
                <w:szCs w:val="24"/>
                <w:lang w:eastAsia="cs-CZ"/>
              </w:rPr>
              <w:t>KS Praha</w:t>
            </w:r>
          </w:p>
        </w:tc>
        <w:tc>
          <w:tcPr>
            <w:tcW w:w="2065" w:type="dxa"/>
            <w:tcBorders>
              <w:top w:val="nil"/>
              <w:left w:val="nil"/>
              <w:bottom w:val="single" w:sz="4" w:space="0" w:color="auto"/>
              <w:right w:val="nil"/>
            </w:tcBorders>
            <w:shd w:val="clear" w:color="auto" w:fill="auto"/>
            <w:noWrap/>
            <w:vAlign w:val="bottom"/>
            <w:hideMark/>
          </w:tcPr>
          <w:p w14:paraId="62C42F7F" w14:textId="58E03D8F" w:rsidR="000B1F82" w:rsidRPr="00730B1E" w:rsidRDefault="000B1F82" w:rsidP="000B1F82">
            <w:pPr>
              <w:spacing w:line="240" w:lineRule="auto"/>
              <w:jc w:val="center"/>
              <w:rPr>
                <w:rFonts w:eastAsia="Times New Roman"/>
                <w:szCs w:val="24"/>
                <w:lang w:eastAsia="cs-CZ"/>
              </w:rPr>
            </w:pPr>
            <w:r w:rsidRPr="00730B1E">
              <w:rPr>
                <w:rFonts w:eastAsia="Times New Roman"/>
                <w:szCs w:val="24"/>
                <w:lang w:eastAsia="cs-CZ"/>
              </w:rPr>
              <w:t>72,58 %</w:t>
            </w:r>
          </w:p>
        </w:tc>
        <w:tc>
          <w:tcPr>
            <w:tcW w:w="2135" w:type="dxa"/>
            <w:tcBorders>
              <w:top w:val="nil"/>
              <w:left w:val="nil"/>
              <w:bottom w:val="single" w:sz="4" w:space="0" w:color="auto"/>
              <w:right w:val="nil"/>
            </w:tcBorders>
            <w:shd w:val="clear" w:color="auto" w:fill="auto"/>
            <w:noWrap/>
            <w:vAlign w:val="center"/>
            <w:hideMark/>
          </w:tcPr>
          <w:p w14:paraId="1B5F138D" w14:textId="6377C3F5" w:rsidR="000B1F82" w:rsidRPr="00730B1E" w:rsidRDefault="000B1F82" w:rsidP="000B1F82">
            <w:pPr>
              <w:spacing w:line="240" w:lineRule="auto"/>
              <w:jc w:val="center"/>
              <w:rPr>
                <w:rFonts w:eastAsia="Times New Roman"/>
                <w:sz w:val="20"/>
                <w:szCs w:val="20"/>
                <w:lang w:eastAsia="cs-CZ"/>
              </w:rPr>
            </w:pPr>
            <w:r w:rsidRPr="00730B1E">
              <w:rPr>
                <w:rFonts w:eastAsia="Times New Roman"/>
                <w:sz w:val="20"/>
                <w:szCs w:val="20"/>
                <w:lang w:eastAsia="cs-CZ"/>
              </w:rPr>
              <w:t>+1,9 p.b.</w:t>
            </w:r>
          </w:p>
        </w:tc>
      </w:tr>
      <w:tr w:rsidR="00B64E96" w:rsidRPr="00730B1E" w14:paraId="4F12FA5A" w14:textId="77777777" w:rsidTr="000B1F82">
        <w:trPr>
          <w:trHeight w:val="315"/>
        </w:trPr>
        <w:tc>
          <w:tcPr>
            <w:tcW w:w="2780" w:type="dxa"/>
            <w:tcBorders>
              <w:top w:val="nil"/>
              <w:left w:val="nil"/>
              <w:bottom w:val="single" w:sz="4" w:space="0" w:color="auto"/>
              <w:right w:val="nil"/>
            </w:tcBorders>
            <w:shd w:val="clear" w:color="auto" w:fill="auto"/>
            <w:noWrap/>
            <w:vAlign w:val="bottom"/>
            <w:hideMark/>
          </w:tcPr>
          <w:p w14:paraId="56FE3A8D" w14:textId="77777777" w:rsidR="000B1F82" w:rsidRPr="00730B1E" w:rsidRDefault="000B1F82" w:rsidP="000B1F82">
            <w:pPr>
              <w:spacing w:line="240" w:lineRule="auto"/>
              <w:jc w:val="left"/>
              <w:rPr>
                <w:rFonts w:eastAsia="Times New Roman"/>
                <w:szCs w:val="24"/>
                <w:lang w:eastAsia="cs-CZ"/>
              </w:rPr>
            </w:pPr>
            <w:r w:rsidRPr="00730B1E">
              <w:rPr>
                <w:rFonts w:eastAsia="Times New Roman"/>
                <w:szCs w:val="24"/>
                <w:lang w:eastAsia="cs-CZ"/>
              </w:rPr>
              <w:t>KS Č. Budějovice</w:t>
            </w:r>
          </w:p>
        </w:tc>
        <w:tc>
          <w:tcPr>
            <w:tcW w:w="2065" w:type="dxa"/>
            <w:tcBorders>
              <w:top w:val="nil"/>
              <w:left w:val="nil"/>
              <w:bottom w:val="single" w:sz="4" w:space="0" w:color="auto"/>
              <w:right w:val="nil"/>
            </w:tcBorders>
            <w:shd w:val="clear" w:color="auto" w:fill="auto"/>
            <w:noWrap/>
            <w:vAlign w:val="bottom"/>
            <w:hideMark/>
          </w:tcPr>
          <w:p w14:paraId="72192735" w14:textId="68A8BFDE" w:rsidR="000B1F82" w:rsidRPr="00730B1E" w:rsidRDefault="000B1F82" w:rsidP="000B1F82">
            <w:pPr>
              <w:spacing w:line="240" w:lineRule="auto"/>
              <w:jc w:val="center"/>
              <w:rPr>
                <w:rFonts w:eastAsia="Times New Roman"/>
                <w:szCs w:val="24"/>
                <w:lang w:eastAsia="cs-CZ"/>
              </w:rPr>
            </w:pPr>
            <w:r w:rsidRPr="00730B1E">
              <w:rPr>
                <w:rFonts w:eastAsia="Times New Roman"/>
                <w:szCs w:val="24"/>
                <w:lang w:eastAsia="cs-CZ"/>
              </w:rPr>
              <w:t>59,22 %</w:t>
            </w:r>
          </w:p>
        </w:tc>
        <w:tc>
          <w:tcPr>
            <w:tcW w:w="2135" w:type="dxa"/>
            <w:tcBorders>
              <w:top w:val="nil"/>
              <w:left w:val="nil"/>
              <w:bottom w:val="single" w:sz="4" w:space="0" w:color="auto"/>
              <w:right w:val="nil"/>
            </w:tcBorders>
            <w:shd w:val="clear" w:color="auto" w:fill="auto"/>
            <w:noWrap/>
            <w:vAlign w:val="center"/>
            <w:hideMark/>
          </w:tcPr>
          <w:p w14:paraId="4A022359" w14:textId="04A589A4" w:rsidR="000B1F82" w:rsidRPr="00730B1E" w:rsidRDefault="000B1F82" w:rsidP="000B1F82">
            <w:pPr>
              <w:spacing w:line="240" w:lineRule="auto"/>
              <w:jc w:val="center"/>
              <w:rPr>
                <w:rFonts w:eastAsia="Times New Roman"/>
                <w:sz w:val="20"/>
                <w:szCs w:val="20"/>
                <w:lang w:eastAsia="cs-CZ"/>
              </w:rPr>
            </w:pPr>
            <w:r w:rsidRPr="00730B1E">
              <w:rPr>
                <w:rFonts w:eastAsia="Times New Roman"/>
                <w:sz w:val="20"/>
                <w:szCs w:val="20"/>
                <w:lang w:eastAsia="cs-CZ"/>
              </w:rPr>
              <w:t>+7,3 p.b.</w:t>
            </w:r>
          </w:p>
        </w:tc>
      </w:tr>
      <w:tr w:rsidR="00B64E96" w:rsidRPr="00730B1E" w14:paraId="061D1C16" w14:textId="77777777" w:rsidTr="000B1F82">
        <w:trPr>
          <w:trHeight w:val="315"/>
        </w:trPr>
        <w:tc>
          <w:tcPr>
            <w:tcW w:w="2780" w:type="dxa"/>
            <w:tcBorders>
              <w:top w:val="nil"/>
              <w:left w:val="nil"/>
              <w:bottom w:val="single" w:sz="4" w:space="0" w:color="auto"/>
              <w:right w:val="nil"/>
            </w:tcBorders>
            <w:shd w:val="clear" w:color="auto" w:fill="auto"/>
            <w:noWrap/>
            <w:vAlign w:val="bottom"/>
            <w:hideMark/>
          </w:tcPr>
          <w:p w14:paraId="261B338D" w14:textId="77777777" w:rsidR="000B1F82" w:rsidRPr="00730B1E" w:rsidRDefault="000B1F82" w:rsidP="000B1F82">
            <w:pPr>
              <w:spacing w:line="240" w:lineRule="auto"/>
              <w:jc w:val="left"/>
              <w:rPr>
                <w:rFonts w:eastAsia="Times New Roman"/>
                <w:szCs w:val="24"/>
                <w:lang w:eastAsia="cs-CZ"/>
              </w:rPr>
            </w:pPr>
            <w:r w:rsidRPr="00730B1E">
              <w:rPr>
                <w:rFonts w:eastAsia="Times New Roman"/>
                <w:szCs w:val="24"/>
                <w:lang w:eastAsia="cs-CZ"/>
              </w:rPr>
              <w:t>KS Plzeň</w:t>
            </w:r>
          </w:p>
        </w:tc>
        <w:tc>
          <w:tcPr>
            <w:tcW w:w="2065" w:type="dxa"/>
            <w:tcBorders>
              <w:top w:val="nil"/>
              <w:left w:val="nil"/>
              <w:bottom w:val="single" w:sz="4" w:space="0" w:color="auto"/>
              <w:right w:val="nil"/>
            </w:tcBorders>
            <w:shd w:val="clear" w:color="auto" w:fill="auto"/>
            <w:noWrap/>
            <w:vAlign w:val="bottom"/>
            <w:hideMark/>
          </w:tcPr>
          <w:p w14:paraId="7C956E6D" w14:textId="4DDF4DF6" w:rsidR="000B1F82" w:rsidRPr="00730B1E" w:rsidRDefault="000B1F82" w:rsidP="000B1F82">
            <w:pPr>
              <w:spacing w:line="240" w:lineRule="auto"/>
              <w:jc w:val="center"/>
              <w:rPr>
                <w:rFonts w:eastAsia="Times New Roman"/>
                <w:szCs w:val="24"/>
                <w:lang w:eastAsia="cs-CZ"/>
              </w:rPr>
            </w:pPr>
            <w:r w:rsidRPr="00730B1E">
              <w:rPr>
                <w:rFonts w:eastAsia="Times New Roman"/>
                <w:szCs w:val="24"/>
                <w:lang w:eastAsia="cs-CZ"/>
              </w:rPr>
              <w:t>64,31 %</w:t>
            </w:r>
          </w:p>
        </w:tc>
        <w:tc>
          <w:tcPr>
            <w:tcW w:w="2135" w:type="dxa"/>
            <w:tcBorders>
              <w:top w:val="nil"/>
              <w:left w:val="nil"/>
              <w:bottom w:val="single" w:sz="4" w:space="0" w:color="auto"/>
              <w:right w:val="nil"/>
            </w:tcBorders>
            <w:shd w:val="clear" w:color="auto" w:fill="auto"/>
            <w:noWrap/>
            <w:vAlign w:val="center"/>
            <w:hideMark/>
          </w:tcPr>
          <w:p w14:paraId="0BBA535F" w14:textId="5D9E00D0" w:rsidR="000B1F82" w:rsidRPr="00730B1E" w:rsidRDefault="000B1F82" w:rsidP="000B1F82">
            <w:pPr>
              <w:spacing w:line="240" w:lineRule="auto"/>
              <w:jc w:val="center"/>
              <w:rPr>
                <w:rFonts w:eastAsia="Times New Roman"/>
                <w:sz w:val="20"/>
                <w:szCs w:val="20"/>
                <w:lang w:eastAsia="cs-CZ"/>
              </w:rPr>
            </w:pPr>
            <w:r w:rsidRPr="00730B1E">
              <w:rPr>
                <w:rFonts w:eastAsia="Times New Roman"/>
                <w:sz w:val="20"/>
                <w:szCs w:val="20"/>
                <w:lang w:eastAsia="cs-CZ"/>
              </w:rPr>
              <w:t>+5,1 p.b.</w:t>
            </w:r>
          </w:p>
        </w:tc>
      </w:tr>
      <w:tr w:rsidR="00B64E96" w:rsidRPr="00730B1E" w14:paraId="2B2D1358" w14:textId="77777777" w:rsidTr="000B1F82">
        <w:trPr>
          <w:trHeight w:val="315"/>
        </w:trPr>
        <w:tc>
          <w:tcPr>
            <w:tcW w:w="2780" w:type="dxa"/>
            <w:tcBorders>
              <w:top w:val="nil"/>
              <w:left w:val="nil"/>
              <w:bottom w:val="single" w:sz="4" w:space="0" w:color="auto"/>
              <w:right w:val="nil"/>
            </w:tcBorders>
            <w:shd w:val="clear" w:color="auto" w:fill="auto"/>
            <w:noWrap/>
            <w:vAlign w:val="bottom"/>
            <w:hideMark/>
          </w:tcPr>
          <w:p w14:paraId="25CB30CA" w14:textId="77777777" w:rsidR="000B1F82" w:rsidRPr="00730B1E" w:rsidRDefault="000B1F82" w:rsidP="000B1F82">
            <w:pPr>
              <w:spacing w:line="240" w:lineRule="auto"/>
              <w:jc w:val="left"/>
              <w:rPr>
                <w:rFonts w:eastAsia="Times New Roman"/>
                <w:szCs w:val="24"/>
                <w:lang w:eastAsia="cs-CZ"/>
              </w:rPr>
            </w:pPr>
            <w:r w:rsidRPr="00730B1E">
              <w:rPr>
                <w:rFonts w:eastAsia="Times New Roman"/>
                <w:szCs w:val="24"/>
                <w:lang w:eastAsia="cs-CZ"/>
              </w:rPr>
              <w:t>KS Ústí n. Labem</w:t>
            </w:r>
          </w:p>
        </w:tc>
        <w:tc>
          <w:tcPr>
            <w:tcW w:w="2065" w:type="dxa"/>
            <w:tcBorders>
              <w:top w:val="nil"/>
              <w:left w:val="nil"/>
              <w:bottom w:val="single" w:sz="4" w:space="0" w:color="auto"/>
              <w:right w:val="nil"/>
            </w:tcBorders>
            <w:shd w:val="clear" w:color="auto" w:fill="auto"/>
            <w:noWrap/>
            <w:vAlign w:val="bottom"/>
            <w:hideMark/>
          </w:tcPr>
          <w:p w14:paraId="7F1B8314" w14:textId="7F9BE8A9" w:rsidR="000B1F82" w:rsidRPr="00730B1E" w:rsidRDefault="000B1F82" w:rsidP="000B1F82">
            <w:pPr>
              <w:spacing w:line="240" w:lineRule="auto"/>
              <w:jc w:val="center"/>
              <w:rPr>
                <w:rFonts w:eastAsia="Times New Roman"/>
                <w:szCs w:val="24"/>
                <w:lang w:eastAsia="cs-CZ"/>
              </w:rPr>
            </w:pPr>
            <w:r w:rsidRPr="00730B1E">
              <w:rPr>
                <w:rFonts w:eastAsia="Times New Roman"/>
                <w:szCs w:val="24"/>
                <w:lang w:eastAsia="cs-CZ"/>
              </w:rPr>
              <w:t>56,72 %</w:t>
            </w:r>
          </w:p>
        </w:tc>
        <w:tc>
          <w:tcPr>
            <w:tcW w:w="2135" w:type="dxa"/>
            <w:tcBorders>
              <w:top w:val="nil"/>
              <w:left w:val="nil"/>
              <w:bottom w:val="single" w:sz="4" w:space="0" w:color="auto"/>
              <w:right w:val="nil"/>
            </w:tcBorders>
            <w:shd w:val="clear" w:color="auto" w:fill="auto"/>
            <w:noWrap/>
            <w:vAlign w:val="center"/>
            <w:hideMark/>
          </w:tcPr>
          <w:p w14:paraId="5D80A454" w14:textId="11921A29" w:rsidR="000B1F82" w:rsidRPr="00730B1E" w:rsidRDefault="000B1F82" w:rsidP="000B1F82">
            <w:pPr>
              <w:spacing w:line="240" w:lineRule="auto"/>
              <w:jc w:val="center"/>
              <w:rPr>
                <w:rFonts w:eastAsia="Times New Roman"/>
                <w:sz w:val="20"/>
                <w:szCs w:val="20"/>
                <w:lang w:eastAsia="cs-CZ"/>
              </w:rPr>
            </w:pPr>
            <w:r w:rsidRPr="00730B1E">
              <w:rPr>
                <w:rFonts w:eastAsia="Times New Roman"/>
                <w:sz w:val="20"/>
                <w:szCs w:val="20"/>
                <w:lang w:eastAsia="cs-CZ"/>
              </w:rPr>
              <w:t>-5,3 p.b.</w:t>
            </w:r>
          </w:p>
        </w:tc>
      </w:tr>
      <w:tr w:rsidR="00B64E96" w:rsidRPr="00730B1E" w14:paraId="6B609BA9" w14:textId="77777777" w:rsidTr="000B1F82">
        <w:trPr>
          <w:trHeight w:val="315"/>
        </w:trPr>
        <w:tc>
          <w:tcPr>
            <w:tcW w:w="2780" w:type="dxa"/>
            <w:tcBorders>
              <w:top w:val="nil"/>
              <w:left w:val="nil"/>
              <w:bottom w:val="single" w:sz="4" w:space="0" w:color="auto"/>
              <w:right w:val="nil"/>
            </w:tcBorders>
            <w:shd w:val="clear" w:color="auto" w:fill="auto"/>
            <w:noWrap/>
            <w:vAlign w:val="bottom"/>
            <w:hideMark/>
          </w:tcPr>
          <w:p w14:paraId="7B4BCEDD" w14:textId="77777777" w:rsidR="000B1F82" w:rsidRPr="00730B1E" w:rsidRDefault="000B1F82" w:rsidP="000B1F82">
            <w:pPr>
              <w:spacing w:line="240" w:lineRule="auto"/>
              <w:jc w:val="left"/>
              <w:rPr>
                <w:rFonts w:eastAsia="Times New Roman"/>
                <w:szCs w:val="24"/>
                <w:lang w:eastAsia="cs-CZ"/>
              </w:rPr>
            </w:pPr>
            <w:r w:rsidRPr="00730B1E">
              <w:rPr>
                <w:rFonts w:eastAsia="Times New Roman"/>
                <w:szCs w:val="24"/>
                <w:lang w:eastAsia="cs-CZ"/>
              </w:rPr>
              <w:t>KS Hr. Králové</w:t>
            </w:r>
          </w:p>
        </w:tc>
        <w:tc>
          <w:tcPr>
            <w:tcW w:w="2065" w:type="dxa"/>
            <w:tcBorders>
              <w:top w:val="nil"/>
              <w:left w:val="nil"/>
              <w:bottom w:val="single" w:sz="4" w:space="0" w:color="auto"/>
              <w:right w:val="nil"/>
            </w:tcBorders>
            <w:shd w:val="clear" w:color="auto" w:fill="auto"/>
            <w:noWrap/>
            <w:vAlign w:val="bottom"/>
            <w:hideMark/>
          </w:tcPr>
          <w:p w14:paraId="264BE175" w14:textId="0BF36FAE" w:rsidR="000B1F82" w:rsidRPr="00730B1E" w:rsidRDefault="000B1F82" w:rsidP="000B1F82">
            <w:pPr>
              <w:spacing w:line="240" w:lineRule="auto"/>
              <w:jc w:val="center"/>
              <w:rPr>
                <w:rFonts w:eastAsia="Times New Roman"/>
                <w:szCs w:val="24"/>
                <w:lang w:eastAsia="cs-CZ"/>
              </w:rPr>
            </w:pPr>
            <w:r w:rsidRPr="00730B1E">
              <w:rPr>
                <w:rFonts w:eastAsia="Times New Roman"/>
                <w:szCs w:val="24"/>
                <w:lang w:eastAsia="cs-CZ"/>
              </w:rPr>
              <w:t>63,71 %</w:t>
            </w:r>
          </w:p>
        </w:tc>
        <w:tc>
          <w:tcPr>
            <w:tcW w:w="2135" w:type="dxa"/>
            <w:tcBorders>
              <w:top w:val="nil"/>
              <w:left w:val="nil"/>
              <w:bottom w:val="single" w:sz="4" w:space="0" w:color="auto"/>
              <w:right w:val="nil"/>
            </w:tcBorders>
            <w:shd w:val="clear" w:color="auto" w:fill="auto"/>
            <w:noWrap/>
            <w:vAlign w:val="center"/>
            <w:hideMark/>
          </w:tcPr>
          <w:p w14:paraId="48151201" w14:textId="2D024E45" w:rsidR="000B1F82" w:rsidRPr="00730B1E" w:rsidRDefault="000B1F82" w:rsidP="000B1F82">
            <w:pPr>
              <w:spacing w:line="240" w:lineRule="auto"/>
              <w:jc w:val="center"/>
              <w:rPr>
                <w:rFonts w:eastAsia="Times New Roman"/>
                <w:sz w:val="20"/>
                <w:szCs w:val="20"/>
                <w:lang w:eastAsia="cs-CZ"/>
              </w:rPr>
            </w:pPr>
            <w:r w:rsidRPr="00730B1E">
              <w:rPr>
                <w:rFonts w:eastAsia="Times New Roman"/>
                <w:sz w:val="20"/>
                <w:szCs w:val="20"/>
                <w:lang w:eastAsia="cs-CZ"/>
              </w:rPr>
              <w:t>+2,8 p.b.</w:t>
            </w:r>
          </w:p>
        </w:tc>
      </w:tr>
      <w:tr w:rsidR="00B64E96" w:rsidRPr="00730B1E" w14:paraId="58ED5DE3" w14:textId="77777777" w:rsidTr="000B1F82">
        <w:trPr>
          <w:trHeight w:val="315"/>
        </w:trPr>
        <w:tc>
          <w:tcPr>
            <w:tcW w:w="2780" w:type="dxa"/>
            <w:tcBorders>
              <w:top w:val="nil"/>
              <w:left w:val="nil"/>
              <w:bottom w:val="single" w:sz="4" w:space="0" w:color="auto"/>
              <w:right w:val="nil"/>
            </w:tcBorders>
            <w:shd w:val="clear" w:color="auto" w:fill="auto"/>
            <w:noWrap/>
            <w:vAlign w:val="bottom"/>
            <w:hideMark/>
          </w:tcPr>
          <w:p w14:paraId="7440806D" w14:textId="77777777" w:rsidR="000B1F82" w:rsidRPr="00730B1E" w:rsidRDefault="000B1F82" w:rsidP="000B1F82">
            <w:pPr>
              <w:spacing w:line="240" w:lineRule="auto"/>
              <w:jc w:val="left"/>
              <w:rPr>
                <w:rFonts w:eastAsia="Times New Roman"/>
                <w:szCs w:val="24"/>
                <w:lang w:eastAsia="cs-CZ"/>
              </w:rPr>
            </w:pPr>
            <w:r w:rsidRPr="00730B1E">
              <w:rPr>
                <w:rFonts w:eastAsia="Times New Roman"/>
                <w:szCs w:val="24"/>
                <w:lang w:eastAsia="cs-CZ"/>
              </w:rPr>
              <w:t>KS Brno</w:t>
            </w:r>
          </w:p>
        </w:tc>
        <w:tc>
          <w:tcPr>
            <w:tcW w:w="2065" w:type="dxa"/>
            <w:tcBorders>
              <w:top w:val="nil"/>
              <w:left w:val="nil"/>
              <w:bottom w:val="single" w:sz="4" w:space="0" w:color="auto"/>
              <w:right w:val="nil"/>
            </w:tcBorders>
            <w:shd w:val="clear" w:color="auto" w:fill="auto"/>
            <w:noWrap/>
            <w:vAlign w:val="bottom"/>
            <w:hideMark/>
          </w:tcPr>
          <w:p w14:paraId="698BD44D" w14:textId="26B05B5C" w:rsidR="000B1F82" w:rsidRPr="00730B1E" w:rsidRDefault="000B1F82" w:rsidP="000B1F82">
            <w:pPr>
              <w:spacing w:line="240" w:lineRule="auto"/>
              <w:jc w:val="center"/>
              <w:rPr>
                <w:rFonts w:eastAsia="Times New Roman"/>
                <w:szCs w:val="24"/>
                <w:lang w:eastAsia="cs-CZ"/>
              </w:rPr>
            </w:pPr>
            <w:r w:rsidRPr="00730B1E">
              <w:rPr>
                <w:rFonts w:eastAsia="Times New Roman"/>
                <w:szCs w:val="24"/>
                <w:lang w:eastAsia="cs-CZ"/>
              </w:rPr>
              <w:t>65,57 %</w:t>
            </w:r>
          </w:p>
        </w:tc>
        <w:tc>
          <w:tcPr>
            <w:tcW w:w="2135" w:type="dxa"/>
            <w:tcBorders>
              <w:top w:val="nil"/>
              <w:left w:val="nil"/>
              <w:bottom w:val="single" w:sz="4" w:space="0" w:color="auto"/>
              <w:right w:val="nil"/>
            </w:tcBorders>
            <w:shd w:val="clear" w:color="auto" w:fill="auto"/>
            <w:noWrap/>
            <w:vAlign w:val="center"/>
            <w:hideMark/>
          </w:tcPr>
          <w:p w14:paraId="345C6DCF" w14:textId="65F4E5D3" w:rsidR="000B1F82" w:rsidRPr="00730B1E" w:rsidRDefault="000B1F82" w:rsidP="000B1F82">
            <w:pPr>
              <w:spacing w:line="240" w:lineRule="auto"/>
              <w:jc w:val="center"/>
              <w:rPr>
                <w:rFonts w:eastAsia="Times New Roman"/>
                <w:sz w:val="20"/>
                <w:szCs w:val="20"/>
                <w:lang w:eastAsia="cs-CZ"/>
              </w:rPr>
            </w:pPr>
            <w:r w:rsidRPr="00730B1E">
              <w:rPr>
                <w:rFonts w:eastAsia="Times New Roman"/>
                <w:sz w:val="20"/>
                <w:szCs w:val="20"/>
                <w:lang w:eastAsia="cs-CZ"/>
              </w:rPr>
              <w:t>-2,5 p.b.</w:t>
            </w:r>
          </w:p>
        </w:tc>
      </w:tr>
      <w:tr w:rsidR="00B64E96" w:rsidRPr="00730B1E" w14:paraId="3279B915" w14:textId="77777777" w:rsidTr="000B1F82">
        <w:trPr>
          <w:trHeight w:val="330"/>
        </w:trPr>
        <w:tc>
          <w:tcPr>
            <w:tcW w:w="2780" w:type="dxa"/>
            <w:tcBorders>
              <w:top w:val="nil"/>
              <w:left w:val="nil"/>
              <w:bottom w:val="double" w:sz="6" w:space="0" w:color="auto"/>
              <w:right w:val="nil"/>
            </w:tcBorders>
            <w:shd w:val="clear" w:color="auto" w:fill="auto"/>
            <w:noWrap/>
            <w:vAlign w:val="bottom"/>
            <w:hideMark/>
          </w:tcPr>
          <w:p w14:paraId="2537B671" w14:textId="77777777" w:rsidR="000B1F82" w:rsidRPr="00730B1E" w:rsidRDefault="000B1F82" w:rsidP="000B1F82">
            <w:pPr>
              <w:spacing w:line="240" w:lineRule="auto"/>
              <w:jc w:val="left"/>
              <w:rPr>
                <w:rFonts w:eastAsia="Times New Roman"/>
                <w:szCs w:val="24"/>
                <w:lang w:eastAsia="cs-CZ"/>
              </w:rPr>
            </w:pPr>
            <w:r w:rsidRPr="00730B1E">
              <w:rPr>
                <w:rFonts w:eastAsia="Times New Roman"/>
                <w:szCs w:val="24"/>
                <w:lang w:eastAsia="cs-CZ"/>
              </w:rPr>
              <w:t>KS Ostrava</w:t>
            </w:r>
          </w:p>
        </w:tc>
        <w:tc>
          <w:tcPr>
            <w:tcW w:w="2065" w:type="dxa"/>
            <w:tcBorders>
              <w:top w:val="nil"/>
              <w:left w:val="nil"/>
              <w:bottom w:val="double" w:sz="6" w:space="0" w:color="auto"/>
              <w:right w:val="nil"/>
            </w:tcBorders>
            <w:shd w:val="clear" w:color="auto" w:fill="auto"/>
            <w:noWrap/>
            <w:vAlign w:val="bottom"/>
            <w:hideMark/>
          </w:tcPr>
          <w:p w14:paraId="655ED2E2" w14:textId="5E8E7DAD" w:rsidR="000B1F82" w:rsidRPr="00730B1E" w:rsidRDefault="000B1F82" w:rsidP="000B1F82">
            <w:pPr>
              <w:spacing w:line="240" w:lineRule="auto"/>
              <w:jc w:val="center"/>
              <w:rPr>
                <w:rFonts w:eastAsia="Times New Roman"/>
                <w:szCs w:val="24"/>
                <w:lang w:eastAsia="cs-CZ"/>
              </w:rPr>
            </w:pPr>
            <w:r w:rsidRPr="00730B1E">
              <w:rPr>
                <w:rFonts w:eastAsia="Times New Roman"/>
                <w:szCs w:val="24"/>
                <w:lang w:eastAsia="cs-CZ"/>
              </w:rPr>
              <w:t>63,18 %</w:t>
            </w:r>
          </w:p>
        </w:tc>
        <w:tc>
          <w:tcPr>
            <w:tcW w:w="2135" w:type="dxa"/>
            <w:tcBorders>
              <w:top w:val="nil"/>
              <w:left w:val="nil"/>
              <w:bottom w:val="double" w:sz="6" w:space="0" w:color="auto"/>
              <w:right w:val="nil"/>
            </w:tcBorders>
            <w:shd w:val="clear" w:color="auto" w:fill="auto"/>
            <w:noWrap/>
            <w:vAlign w:val="center"/>
            <w:hideMark/>
          </w:tcPr>
          <w:p w14:paraId="01CD0D09" w14:textId="1BB796C8" w:rsidR="000B1F82" w:rsidRPr="00730B1E" w:rsidRDefault="000B1F82" w:rsidP="000B1F82">
            <w:pPr>
              <w:spacing w:line="240" w:lineRule="auto"/>
              <w:jc w:val="center"/>
              <w:rPr>
                <w:rFonts w:eastAsia="Times New Roman"/>
                <w:sz w:val="20"/>
                <w:szCs w:val="20"/>
                <w:lang w:eastAsia="cs-CZ"/>
              </w:rPr>
            </w:pPr>
            <w:r w:rsidRPr="00730B1E">
              <w:rPr>
                <w:rFonts w:eastAsia="Times New Roman"/>
                <w:sz w:val="20"/>
                <w:szCs w:val="20"/>
                <w:lang w:eastAsia="cs-CZ"/>
              </w:rPr>
              <w:t>+4,3 p.b.</w:t>
            </w:r>
          </w:p>
        </w:tc>
      </w:tr>
      <w:tr w:rsidR="00B64E96" w:rsidRPr="00730B1E" w14:paraId="31F17EB5" w14:textId="77777777" w:rsidTr="000B1F82">
        <w:trPr>
          <w:trHeight w:val="345"/>
        </w:trPr>
        <w:tc>
          <w:tcPr>
            <w:tcW w:w="2780" w:type="dxa"/>
            <w:tcBorders>
              <w:top w:val="nil"/>
              <w:left w:val="nil"/>
              <w:bottom w:val="double" w:sz="6" w:space="0" w:color="auto"/>
              <w:right w:val="nil"/>
            </w:tcBorders>
            <w:shd w:val="clear" w:color="auto" w:fill="auto"/>
            <w:noWrap/>
            <w:vAlign w:val="bottom"/>
            <w:hideMark/>
          </w:tcPr>
          <w:p w14:paraId="02BE37EC" w14:textId="77777777" w:rsidR="000B1F82" w:rsidRPr="00730B1E" w:rsidRDefault="000B1F82" w:rsidP="000B1F82">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2065" w:type="dxa"/>
            <w:tcBorders>
              <w:top w:val="nil"/>
              <w:left w:val="nil"/>
              <w:bottom w:val="double" w:sz="6" w:space="0" w:color="auto"/>
              <w:right w:val="nil"/>
            </w:tcBorders>
            <w:shd w:val="clear" w:color="auto" w:fill="auto"/>
            <w:noWrap/>
            <w:vAlign w:val="bottom"/>
            <w:hideMark/>
          </w:tcPr>
          <w:p w14:paraId="56740252" w14:textId="7081B9CD" w:rsidR="000B1F82" w:rsidRPr="00730B1E" w:rsidRDefault="000B1F82" w:rsidP="000B1F82">
            <w:pPr>
              <w:spacing w:line="240" w:lineRule="auto"/>
              <w:jc w:val="center"/>
              <w:rPr>
                <w:rFonts w:eastAsia="Times New Roman"/>
                <w:b/>
                <w:bCs/>
                <w:szCs w:val="24"/>
                <w:lang w:eastAsia="cs-CZ"/>
              </w:rPr>
            </w:pPr>
            <w:r w:rsidRPr="00730B1E">
              <w:rPr>
                <w:rFonts w:eastAsia="Times New Roman"/>
                <w:b/>
                <w:bCs/>
                <w:szCs w:val="24"/>
                <w:lang w:eastAsia="cs-CZ"/>
              </w:rPr>
              <w:t>63,48 %</w:t>
            </w:r>
          </w:p>
        </w:tc>
        <w:tc>
          <w:tcPr>
            <w:tcW w:w="2135" w:type="dxa"/>
            <w:tcBorders>
              <w:top w:val="nil"/>
              <w:left w:val="nil"/>
              <w:bottom w:val="double" w:sz="6" w:space="0" w:color="auto"/>
              <w:right w:val="nil"/>
            </w:tcBorders>
            <w:shd w:val="clear" w:color="auto" w:fill="auto"/>
            <w:noWrap/>
            <w:vAlign w:val="center"/>
            <w:hideMark/>
          </w:tcPr>
          <w:p w14:paraId="3B89D65D" w14:textId="101C07D3" w:rsidR="000B1F82" w:rsidRPr="00730B1E" w:rsidRDefault="000B1F82" w:rsidP="000B1F82">
            <w:pPr>
              <w:spacing w:line="240" w:lineRule="auto"/>
              <w:jc w:val="center"/>
              <w:rPr>
                <w:rFonts w:eastAsia="Times New Roman"/>
                <w:b/>
                <w:bCs/>
                <w:sz w:val="20"/>
                <w:szCs w:val="20"/>
                <w:lang w:eastAsia="cs-CZ"/>
              </w:rPr>
            </w:pPr>
            <w:r w:rsidRPr="00730B1E">
              <w:rPr>
                <w:rFonts w:eastAsia="Times New Roman"/>
                <w:b/>
                <w:bCs/>
                <w:sz w:val="20"/>
                <w:szCs w:val="20"/>
                <w:lang w:eastAsia="cs-CZ"/>
              </w:rPr>
              <w:t>+4,7 p.b.</w:t>
            </w:r>
          </w:p>
        </w:tc>
      </w:tr>
      <w:tr w:rsidR="00B64E96" w:rsidRPr="00730B1E" w14:paraId="43514B7D" w14:textId="77777777" w:rsidTr="000B1F82">
        <w:trPr>
          <w:trHeight w:val="330"/>
        </w:trPr>
        <w:tc>
          <w:tcPr>
            <w:tcW w:w="2780" w:type="dxa"/>
            <w:tcBorders>
              <w:top w:val="nil"/>
              <w:left w:val="nil"/>
              <w:bottom w:val="nil"/>
              <w:right w:val="nil"/>
            </w:tcBorders>
            <w:shd w:val="clear" w:color="auto" w:fill="auto"/>
            <w:noWrap/>
            <w:vAlign w:val="bottom"/>
            <w:hideMark/>
          </w:tcPr>
          <w:p w14:paraId="1896C630" w14:textId="77777777" w:rsidR="000B1F82" w:rsidRPr="00730B1E" w:rsidRDefault="000B1F82" w:rsidP="000B1F82">
            <w:pPr>
              <w:spacing w:line="240" w:lineRule="auto"/>
              <w:jc w:val="right"/>
              <w:rPr>
                <w:rFonts w:eastAsia="Times New Roman"/>
                <w:b/>
                <w:bCs/>
                <w:sz w:val="20"/>
                <w:szCs w:val="20"/>
                <w:lang w:eastAsia="cs-CZ"/>
              </w:rPr>
            </w:pPr>
          </w:p>
        </w:tc>
        <w:tc>
          <w:tcPr>
            <w:tcW w:w="2065" w:type="dxa"/>
            <w:tcBorders>
              <w:top w:val="nil"/>
              <w:left w:val="nil"/>
              <w:bottom w:val="nil"/>
              <w:right w:val="nil"/>
            </w:tcBorders>
            <w:shd w:val="clear" w:color="auto" w:fill="auto"/>
            <w:noWrap/>
            <w:vAlign w:val="bottom"/>
            <w:hideMark/>
          </w:tcPr>
          <w:p w14:paraId="6B3DF082" w14:textId="77777777" w:rsidR="000B1F82" w:rsidRPr="00DF07F3" w:rsidRDefault="000B1F82" w:rsidP="000B1F82">
            <w:pPr>
              <w:spacing w:line="240" w:lineRule="auto"/>
              <w:jc w:val="left"/>
              <w:rPr>
                <w:sz w:val="20"/>
              </w:rPr>
            </w:pPr>
          </w:p>
        </w:tc>
        <w:tc>
          <w:tcPr>
            <w:tcW w:w="2135" w:type="dxa"/>
            <w:tcBorders>
              <w:top w:val="nil"/>
              <w:left w:val="nil"/>
              <w:bottom w:val="nil"/>
              <w:right w:val="nil"/>
            </w:tcBorders>
            <w:shd w:val="clear" w:color="auto" w:fill="auto"/>
            <w:noWrap/>
            <w:vAlign w:val="bottom"/>
            <w:hideMark/>
          </w:tcPr>
          <w:p w14:paraId="42409999" w14:textId="77777777" w:rsidR="000B1F82" w:rsidRPr="00DF07F3" w:rsidRDefault="000B1F82" w:rsidP="000B1F82">
            <w:pPr>
              <w:spacing w:line="240" w:lineRule="auto"/>
              <w:jc w:val="left"/>
              <w:rPr>
                <w:sz w:val="20"/>
              </w:rPr>
            </w:pPr>
          </w:p>
        </w:tc>
      </w:tr>
    </w:tbl>
    <w:p w14:paraId="05B26BEC" w14:textId="273BE9E8" w:rsidR="000B1F82" w:rsidRPr="00730B1E" w:rsidRDefault="000B1F82" w:rsidP="000B1F82">
      <w:pPr>
        <w:pStyle w:val="Podnadpis"/>
        <w:rPr>
          <w:color w:val="auto"/>
        </w:rPr>
      </w:pPr>
      <w:bookmarkStart w:id="639" w:name="_Toc106106679"/>
      <w:bookmarkStart w:id="640" w:name="_Toc109802003"/>
      <w:bookmarkStart w:id="641" w:name="_Toc144104155"/>
      <w:bookmarkStart w:id="642" w:name="_Toc169250966"/>
      <w:bookmarkStart w:id="643" w:name="_Toc17408065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47</w:t>
      </w:r>
      <w:r w:rsidRPr="00730B1E">
        <w:rPr>
          <w:color w:val="auto"/>
        </w:rPr>
        <w:fldChar w:fldCharType="end"/>
      </w:r>
      <w:r w:rsidRPr="00730B1E">
        <w:rPr>
          <w:color w:val="auto"/>
        </w:rPr>
        <w:t>: OS – míra zm</w:t>
      </w:r>
      <w:r w:rsidR="002263C3" w:rsidRPr="00730B1E">
        <w:rPr>
          <w:color w:val="auto"/>
        </w:rPr>
        <w:t>ěny</w:t>
      </w:r>
      <w:r w:rsidRPr="00730B1E">
        <w:rPr>
          <w:color w:val="auto"/>
        </w:rPr>
        <w:t xml:space="preserve"> rozsudku u jednotlivých soudů v opatrov. </w:t>
      </w:r>
      <w:r w:rsidR="002263C3" w:rsidRPr="00730B1E">
        <w:rPr>
          <w:color w:val="auto"/>
        </w:rPr>
        <w:t>ř</w:t>
      </w:r>
      <w:r w:rsidRPr="00730B1E">
        <w:rPr>
          <w:color w:val="auto"/>
        </w:rPr>
        <w:t>ízení</w:t>
      </w:r>
      <w:bookmarkEnd w:id="639"/>
      <w:bookmarkEnd w:id="640"/>
      <w:bookmarkEnd w:id="641"/>
      <w:bookmarkEnd w:id="642"/>
      <w:bookmarkEnd w:id="643"/>
    </w:p>
    <w:p w14:paraId="73542BAD" w14:textId="2A954A0D" w:rsidR="00626580" w:rsidRPr="00730B1E" w:rsidRDefault="00056825" w:rsidP="002263C3">
      <w:pPr>
        <w:pStyle w:val="OdstavecASR"/>
        <w:keepNext/>
        <w:rPr>
          <w:b/>
        </w:rPr>
      </w:pPr>
      <w:r w:rsidRPr="00056825">
        <w:rPr>
          <w:b/>
          <w:noProof/>
          <w:lang w:eastAsia="cs-CZ"/>
        </w:rPr>
        <w:drawing>
          <wp:anchor distT="0" distB="0" distL="114300" distR="114300" simplePos="0" relativeHeight="251682816" behindDoc="0" locked="0" layoutInCell="1" allowOverlap="1" wp14:anchorId="32234DE2" wp14:editId="64498BED">
            <wp:simplePos x="0" y="0"/>
            <wp:positionH relativeFrom="margin">
              <wp:posOffset>4509770</wp:posOffset>
            </wp:positionH>
            <wp:positionV relativeFrom="paragraph">
              <wp:posOffset>47625</wp:posOffset>
            </wp:positionV>
            <wp:extent cx="1252220" cy="910705"/>
            <wp:effectExtent l="0" t="0" r="5080" b="3810"/>
            <wp:wrapNone/>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52683" cy="911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036B" w:rsidRPr="00730B1E">
        <w:rPr>
          <w:b/>
          <w:noProof/>
          <w:lang w:eastAsia="cs-CZ"/>
        </w:rPr>
        <w:drawing>
          <wp:inline distT="0" distB="0" distL="0" distR="0" wp14:anchorId="09608B9F" wp14:editId="0EE6EC71">
            <wp:extent cx="5760720" cy="3296920"/>
            <wp:effectExtent l="0" t="0" r="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0720" cy="3296920"/>
                    </a:xfrm>
                    <a:prstGeom prst="rect">
                      <a:avLst/>
                    </a:prstGeom>
                    <a:noFill/>
                    <a:ln>
                      <a:noFill/>
                    </a:ln>
                  </pic:spPr>
                </pic:pic>
              </a:graphicData>
            </a:graphic>
          </wp:inline>
        </w:drawing>
      </w:r>
    </w:p>
    <w:p w14:paraId="5AD819C6" w14:textId="5012A790" w:rsidR="0026036B" w:rsidRPr="00730B1E" w:rsidRDefault="0026036B" w:rsidP="0026036B">
      <w:pPr>
        <w:pStyle w:val="OdstavecASR"/>
      </w:pPr>
      <w:r w:rsidRPr="00730B1E">
        <w:t>Z okresních soudů mají nejnižší míru změny rozsudku OS pro Prahu 3 (0 % - dle dat tam ale bylo podáno odvolání v jediné věci), OS Strakonice (28,57 %) a OS pro Prahu 1 (tak</w:t>
      </w:r>
      <w:r w:rsidR="00B80D87" w:rsidRPr="00730B1E">
        <w:t>é</w:t>
      </w:r>
      <w:r w:rsidRPr="00730B1E">
        <w:t xml:space="preserve"> 28,57 %). Na druhém konci se nacházejí OS Mělník (89,36 %), OS Liberec (86,46 %) a OS Kladno (83,33 %). Mezi soudy jsou tedy obrovské rozdíly. To plyne z malého počtu pozorování – míra odvolání je nízká, tudíž i vzorek pro výpočet míry změny rozsudku je malý. Z toho pak plyne velká variabilita, která může vést k extrémním hodnotám.</w:t>
      </w:r>
    </w:p>
    <w:p w14:paraId="7EB9A184" w14:textId="5BD01E75" w:rsidR="00DF657F" w:rsidRPr="00730B1E" w:rsidRDefault="00DF657F" w:rsidP="00DF657F">
      <w:pPr>
        <w:pStyle w:val="OdstavecASR"/>
        <w:keepNext/>
        <w:outlineLvl w:val="3"/>
        <w:rPr>
          <w:b/>
        </w:rPr>
      </w:pPr>
      <w:r w:rsidRPr="00730B1E">
        <w:rPr>
          <w:b/>
        </w:rPr>
        <w:lastRenderedPageBreak/>
        <w:t>Výše výživného a podíl na příjmu</w:t>
      </w:r>
    </w:p>
    <w:p w14:paraId="2C7AC318" w14:textId="689476C0" w:rsidR="0026036B" w:rsidRPr="00730B1E" w:rsidRDefault="0026036B" w:rsidP="0026036B">
      <w:pPr>
        <w:pStyle w:val="OdstavecASR"/>
      </w:pPr>
      <w:r w:rsidRPr="00730B1E">
        <w:rPr>
          <w:bCs/>
        </w:rPr>
        <w:t>P</w:t>
      </w:r>
      <w:r w:rsidRPr="00730B1E">
        <w:t xml:space="preserve">o údajích věnujících se opatrovnické agendě jako celku stojí za zmínku vybrané </w:t>
      </w:r>
      <w:r w:rsidR="00B80D87" w:rsidRPr="00730B1E">
        <w:t>otázky</w:t>
      </w:r>
      <w:r w:rsidRPr="00730B1E">
        <w:t>, kterým je věnována značná pozornost justice i běžné veřejnosti. Jako první lze představit data o rozhodování o výživném nezletilých dětí.</w:t>
      </w:r>
    </w:p>
    <w:p w14:paraId="7C9B37A6" w14:textId="7604BA4D" w:rsidR="0026036B" w:rsidRPr="00730B1E" w:rsidRDefault="0026036B" w:rsidP="0026036B">
      <w:pPr>
        <w:pStyle w:val="OdstavecASR"/>
      </w:pPr>
      <w:r w:rsidRPr="00730B1E">
        <w:t>Zde uvedené statistiky se týkají první</w:t>
      </w:r>
      <w:r w:rsidR="00B80D87" w:rsidRPr="00730B1E">
        <w:t>ho</w:t>
      </w:r>
      <w:r w:rsidRPr="00730B1E">
        <w:t xml:space="preserve"> rozhodnutí o vyživovací povinnosti</w:t>
      </w:r>
      <w:r w:rsidR="00B80D87" w:rsidRPr="00730B1E">
        <w:t>.</w:t>
      </w:r>
      <w:r w:rsidRPr="00730B1E">
        <w:t xml:space="preserve"> </w:t>
      </w:r>
      <w:r w:rsidR="00B80D87" w:rsidRPr="00730B1E">
        <w:t>Ú</w:t>
      </w:r>
      <w:r w:rsidRPr="00730B1E">
        <w:t>daje (v Kč event. v % z příjmu) se vztahují k jednomu dítěti. Pokud je stanovena povinnost platit výživné oběma rodičům, v grafu je pracováno jen s vyšší částkou výživného a v případě stejné částky výživného s vyšším příjmem rodiče. Od roku 2017 jsou k dispozici obě částky a oba příjmy, pro zachování stejné metodiky jsou v tomto grafu ale i po roce 2017 započítány vyšší částky.</w:t>
      </w:r>
    </w:p>
    <w:p w14:paraId="69B2C387" w14:textId="5F3AAFD0" w:rsidR="0026036B" w:rsidRPr="00730B1E" w:rsidRDefault="0026036B" w:rsidP="0026036B">
      <w:pPr>
        <w:pStyle w:val="Podnadpis"/>
        <w:numPr>
          <w:ilvl w:val="0"/>
          <w:numId w:val="0"/>
        </w:numPr>
        <w:rPr>
          <w:color w:val="auto"/>
        </w:rPr>
      </w:pPr>
      <w:bookmarkStart w:id="644" w:name="_Ref510766313"/>
      <w:bookmarkStart w:id="645" w:name="_Toc515871373"/>
      <w:bookmarkStart w:id="646" w:name="_Toc11135104"/>
      <w:bookmarkStart w:id="647" w:name="_Toc43841423"/>
      <w:bookmarkStart w:id="648" w:name="_Toc75952227"/>
      <w:bookmarkStart w:id="649" w:name="_Toc106106681"/>
      <w:bookmarkStart w:id="650" w:name="_Toc144104156"/>
      <w:bookmarkStart w:id="651" w:name="_Toc169250967"/>
      <w:bookmarkStart w:id="652" w:name="_Toc174080653"/>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48</w:t>
      </w:r>
      <w:r w:rsidRPr="00730B1E">
        <w:rPr>
          <w:color w:val="auto"/>
        </w:rPr>
        <w:fldChar w:fldCharType="end"/>
      </w:r>
      <w:bookmarkEnd w:id="644"/>
      <w:r w:rsidRPr="00730B1E">
        <w:rPr>
          <w:color w:val="auto"/>
        </w:rPr>
        <w:t>: OS – průměrná výše výživného dle povinné osoby v letech 2014–20</w:t>
      </w:r>
      <w:bookmarkEnd w:id="645"/>
      <w:bookmarkEnd w:id="646"/>
      <w:bookmarkEnd w:id="647"/>
      <w:bookmarkEnd w:id="648"/>
      <w:r w:rsidRPr="00730B1E">
        <w:rPr>
          <w:color w:val="auto"/>
        </w:rPr>
        <w:t>2</w:t>
      </w:r>
      <w:bookmarkEnd w:id="649"/>
      <w:bookmarkEnd w:id="650"/>
      <w:r w:rsidR="009E69EF" w:rsidRPr="00730B1E">
        <w:rPr>
          <w:color w:val="auto"/>
        </w:rPr>
        <w:t>3</w:t>
      </w:r>
      <w:bookmarkEnd w:id="651"/>
      <w:bookmarkEnd w:id="652"/>
    </w:p>
    <w:p w14:paraId="4A61FEDA" w14:textId="3AC60480" w:rsidR="0026036B" w:rsidRPr="00730B1E" w:rsidRDefault="009E69EF" w:rsidP="002263C3">
      <w:pPr>
        <w:pStyle w:val="OdstavecASR"/>
        <w:keepNext/>
        <w:rPr>
          <w:b/>
        </w:rPr>
      </w:pPr>
      <w:r w:rsidRPr="00730B1E">
        <w:rPr>
          <w:b/>
          <w:noProof/>
          <w:lang w:eastAsia="cs-CZ"/>
        </w:rPr>
        <w:drawing>
          <wp:inline distT="0" distB="0" distL="0" distR="0" wp14:anchorId="0A295356" wp14:editId="242F0455">
            <wp:extent cx="5029200" cy="3657600"/>
            <wp:effectExtent l="0" t="0" r="0" b="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D1C7D6C" w14:textId="33D8DC7E" w:rsidR="009E69EF" w:rsidRPr="00730B1E" w:rsidRDefault="009E69EF" w:rsidP="009E69EF">
      <w:pPr>
        <w:pStyle w:val="OdstavecASR"/>
      </w:pPr>
      <w:r w:rsidRPr="00730B1E">
        <w:t xml:space="preserve">V grafu výše pozorujeme, že průměrné výživné stanovené otci je asi dvakrát vyšší než průměrné výživné stanovované matce (v roce 2023 </w:t>
      </w:r>
      <w:r w:rsidR="00B80D87" w:rsidRPr="00730B1E">
        <w:t>je rozdíl o něco nižší</w:t>
      </w:r>
      <w:r w:rsidRPr="00730B1E">
        <w:t>). Rozdíl je způsoben několika faktory:</w:t>
      </w:r>
    </w:p>
    <w:p w14:paraId="4904918B" w14:textId="699180AF" w:rsidR="009E69EF" w:rsidRPr="00730B1E" w:rsidRDefault="009E69EF" w:rsidP="00A94F8F">
      <w:pPr>
        <w:pStyle w:val="Odstavecseseznamem"/>
        <w:numPr>
          <w:ilvl w:val="0"/>
          <w:numId w:val="9"/>
        </w:numPr>
        <w:spacing w:before="60" w:after="120"/>
        <w:ind w:left="714" w:hanging="357"/>
      </w:pPr>
      <w:r w:rsidRPr="00730B1E">
        <w:t>Při určování výživného soud přihlíží k majetkovým poměrům povinného. Průměrná mzda žen v ČR je nižší než průměrná mzda mužů a logicky je tedy mužům stanovena povinnost platit vyšší výživné. To ovšem vysvětluje pouze část rozdílu, protože mzda mužů není ani zdaleka dvakrát vyšší než mzda žen a při růstu hrubých mezd žen dochází ke snižování podílu jim určeného výživného na jejich příjmu. Například ve 4. čtvrtletí 2022 byla podle Českého statistického úřadu mediánová hrubá měsíční mzda žen 34 554 Kč, u mužů 40 232 Kč. Hrubé mzdy vykazované ČSÚ navíc nezahrnují přídavky na děti a jiné eventuální přiznané dávky.</w:t>
      </w:r>
    </w:p>
    <w:p w14:paraId="4F505E55" w14:textId="026D516C" w:rsidR="009E69EF" w:rsidRPr="00730B1E" w:rsidRDefault="009E69EF" w:rsidP="00A94F8F">
      <w:pPr>
        <w:pStyle w:val="Odstavecseseznamem"/>
        <w:numPr>
          <w:ilvl w:val="0"/>
          <w:numId w:val="9"/>
        </w:numPr>
        <w:spacing w:before="60" w:after="120"/>
        <w:ind w:left="714" w:hanging="357"/>
        <w:rPr>
          <w:b/>
          <w:spacing w:val="15"/>
        </w:rPr>
      </w:pPr>
      <w:r w:rsidRPr="00730B1E">
        <w:t xml:space="preserve">V dalším grafu vidíme, že u matek je podíl výživného na čistém měsíčním příjmu nižší než u otců. To souvisí právě s výší příjmů. Snížení disponibilního příjmu má </w:t>
      </w:r>
      <w:r w:rsidR="000621C3" w:rsidRPr="00730B1E">
        <w:t xml:space="preserve">totiž </w:t>
      </w:r>
      <w:r w:rsidRPr="00730B1E">
        <w:t xml:space="preserve">větší dopad na </w:t>
      </w:r>
      <w:r w:rsidR="00B80D87" w:rsidRPr="00730B1E">
        <w:t xml:space="preserve">osoby </w:t>
      </w:r>
      <w:r w:rsidRPr="00730B1E">
        <w:t>s nižší úrovní mzdy.</w:t>
      </w:r>
    </w:p>
    <w:p w14:paraId="593FBEBD" w14:textId="77777777" w:rsidR="009E69EF" w:rsidRPr="00730B1E" w:rsidRDefault="009E69EF" w:rsidP="00A94F8F">
      <w:pPr>
        <w:pStyle w:val="Odstavecseseznamem"/>
        <w:numPr>
          <w:ilvl w:val="0"/>
          <w:numId w:val="9"/>
        </w:numPr>
        <w:spacing w:before="60" w:after="120"/>
        <w:ind w:left="714" w:hanging="357"/>
        <w:rPr>
          <w:b/>
          <w:spacing w:val="15"/>
        </w:rPr>
      </w:pPr>
      <w:r w:rsidRPr="00730B1E">
        <w:lastRenderedPageBreak/>
        <w:t>Rozdíl mezi příjmy otce a matky, kteří vedou spor o výživné, je větší než rozdíl mezi příjmy mužů a žen v celé populaci ČR. To je zřejmě dáno i tím, že matky mohou být ve sledované době častěji na rodičovské dovolené bez výdělečné činnosti, respektive i v navazujícím období mohou mít častěji nižší pracovní úvazky vzhledem k potřebě zajištění péče o dítě, což se negativně projevuje v jejich příjmech.</w:t>
      </w:r>
    </w:p>
    <w:p w14:paraId="7D854D05" w14:textId="77777777" w:rsidR="009E69EF" w:rsidRPr="00730B1E" w:rsidRDefault="009E69EF" w:rsidP="00A94F8F">
      <w:pPr>
        <w:pStyle w:val="Odstavecseseznamem"/>
        <w:numPr>
          <w:ilvl w:val="0"/>
          <w:numId w:val="9"/>
        </w:numPr>
        <w:spacing w:before="60" w:after="120"/>
        <w:ind w:left="714" w:hanging="357"/>
      </w:pPr>
      <w:r w:rsidRPr="00730B1E">
        <w:t>Povinné ženy</w:t>
      </w:r>
      <w:r w:rsidRPr="00730B1E">
        <w:rPr>
          <w:rStyle w:val="Znakapoznpodarou"/>
        </w:rPr>
        <w:footnoteReference w:id="9"/>
      </w:r>
      <w:r w:rsidRPr="00730B1E">
        <w:t xml:space="preserve"> mají v průměru více vyživovacích povinností než povinní muži</w:t>
      </w:r>
      <w:r w:rsidRPr="00730B1E">
        <w:rPr>
          <w:rStyle w:val="Znakapoznpodarou"/>
        </w:rPr>
        <w:footnoteReference w:id="10"/>
      </w:r>
      <w:r w:rsidRPr="00730B1E">
        <w:t>. Soud počet vyživovacích povinností při rozhodování rovněž zohledňuje – povinnému s více vyživovacími povinnostmi soud stanoví v průměru nižší výživné.</w:t>
      </w:r>
    </w:p>
    <w:p w14:paraId="7DE8BC63" w14:textId="31D35EAF" w:rsidR="009E69EF" w:rsidRPr="00730B1E" w:rsidRDefault="009E69EF" w:rsidP="009E69EF">
      <w:pPr>
        <w:pStyle w:val="OdstavecASR"/>
      </w:pPr>
      <w:r w:rsidRPr="00730B1E">
        <w:t>Jako zvláštní lze označit pokles výše výživného oběma rodičům v roce 2022</w:t>
      </w:r>
      <w:r w:rsidR="00FE622E" w:rsidRPr="00730B1E">
        <w:t xml:space="preserve"> a částečně i v roce 2023 (oproti letů</w:t>
      </w:r>
      <w:r w:rsidR="00A10D7F" w:rsidRPr="00730B1E">
        <w:t>m</w:t>
      </w:r>
      <w:r w:rsidR="00FE622E" w:rsidRPr="00730B1E">
        <w:t xml:space="preserve"> 2021 a dříve)</w:t>
      </w:r>
      <w:r w:rsidRPr="00730B1E">
        <w:t>. Tento pokles jde zcela proti všem ostatním trendům (jak u obou rodičů, tak i pouze u matek či pouze u otců).</w:t>
      </w:r>
      <w:r w:rsidR="000621C3" w:rsidRPr="00730B1E">
        <w:t xml:space="preserve"> V roce 2023 došlo i u této kategorie k nárůstu, ale průměrná částka se nevrátila k hodnotám z let 2020 a 2021</w:t>
      </w:r>
      <w:r w:rsidRPr="00730B1E">
        <w:t>)</w:t>
      </w:r>
      <w:r w:rsidR="00FE622E" w:rsidRPr="00730B1E">
        <w:t xml:space="preserve"> a v justičních statistických datech jsme pro něj zatím nenalezli vysvětlení</w:t>
      </w:r>
      <w:r w:rsidRPr="00730B1E">
        <w:t>.</w:t>
      </w:r>
    </w:p>
    <w:p w14:paraId="649020AB" w14:textId="68293EB3" w:rsidR="009E69EF" w:rsidRPr="00730B1E" w:rsidRDefault="009E69EF" w:rsidP="009E69EF">
      <w:pPr>
        <w:pStyle w:val="Podnadpis"/>
        <w:numPr>
          <w:ilvl w:val="0"/>
          <w:numId w:val="0"/>
        </w:numPr>
        <w:rPr>
          <w:color w:val="auto"/>
        </w:rPr>
      </w:pPr>
      <w:bookmarkStart w:id="653" w:name="_Toc109802005"/>
      <w:bookmarkStart w:id="654" w:name="_Toc144104157"/>
      <w:bookmarkStart w:id="655" w:name="_Toc169250968"/>
      <w:bookmarkStart w:id="656" w:name="_Toc17408065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49</w:t>
      </w:r>
      <w:r w:rsidRPr="00730B1E">
        <w:rPr>
          <w:color w:val="auto"/>
        </w:rPr>
        <w:fldChar w:fldCharType="end"/>
      </w:r>
      <w:r w:rsidRPr="00730B1E">
        <w:rPr>
          <w:color w:val="auto"/>
        </w:rPr>
        <w:t>: OS – podíl na příjmu povinné osoby v letech 2014–202</w:t>
      </w:r>
      <w:bookmarkEnd w:id="653"/>
      <w:bookmarkEnd w:id="654"/>
      <w:r w:rsidRPr="00730B1E">
        <w:rPr>
          <w:color w:val="auto"/>
        </w:rPr>
        <w:t>3</w:t>
      </w:r>
      <w:bookmarkEnd w:id="655"/>
      <w:bookmarkEnd w:id="656"/>
    </w:p>
    <w:p w14:paraId="65D40510" w14:textId="7D55F213" w:rsidR="009E69EF" w:rsidRPr="00730B1E" w:rsidRDefault="009E69EF" w:rsidP="009E69EF">
      <w:r w:rsidRPr="00730B1E">
        <w:rPr>
          <w:noProof/>
          <w:lang w:eastAsia="cs-CZ"/>
        </w:rPr>
        <w:drawing>
          <wp:inline distT="0" distB="0" distL="0" distR="0" wp14:anchorId="080BEF1E" wp14:editId="76B79ED9">
            <wp:extent cx="5029200" cy="3657600"/>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F47A414" w14:textId="77777777" w:rsidR="009E69EF" w:rsidRPr="00730B1E" w:rsidRDefault="009E69EF" w:rsidP="009E69EF">
      <w:pPr>
        <w:pStyle w:val="OdstavecASR"/>
      </w:pPr>
    </w:p>
    <w:p w14:paraId="31339799" w14:textId="2A9394E8" w:rsidR="009E69EF" w:rsidRPr="00730B1E" w:rsidRDefault="009E69EF" w:rsidP="009E69EF">
      <w:pPr>
        <w:pStyle w:val="OdstavecASR"/>
      </w:pPr>
      <w:r w:rsidRPr="00730B1E">
        <w:t>V grafech pozorujeme, že průměrná stanovená částka výživného na jedno dítě roste (graf 48), podíl stanoveného výživného na čistém měsíčním příjmu povinné osoby nicméně spíše klesá (otcové, oba rodiče) nebo zůstává stejný (matky)</w:t>
      </w:r>
      <w:r w:rsidRPr="00730B1E">
        <w:rPr>
          <w:rStyle w:val="Znakapoznpodarou"/>
        </w:rPr>
        <w:footnoteReference w:id="11"/>
      </w:r>
      <w:r w:rsidRPr="00730B1E">
        <w:t xml:space="preserve">. To lze vysvětlit zlepšující se ekonomickou situací v ČR a zvyšováním příjmů nejen povinných osob. </w:t>
      </w:r>
      <w:r w:rsidR="0020477E" w:rsidRPr="00730B1E">
        <w:t>Zdá se, že pokles reálných příjmů v roce 2023 výše zmíněný trend u otců neovlivnil, ale možná mohl m</w:t>
      </w:r>
      <w:r w:rsidR="000621C3" w:rsidRPr="00730B1E">
        <w:t>í</w:t>
      </w:r>
      <w:r w:rsidR="0020477E" w:rsidRPr="00730B1E">
        <w:t>t</w:t>
      </w:r>
      <w:r w:rsidR="00BF44E3" w:rsidRPr="00730B1E">
        <w:t xml:space="preserve"> </w:t>
      </w:r>
      <w:r w:rsidR="0020477E" w:rsidRPr="00730B1E">
        <w:t xml:space="preserve">vliv </w:t>
      </w:r>
      <w:r w:rsidR="00172B9B" w:rsidRPr="00730B1E">
        <w:t>u matek</w:t>
      </w:r>
      <w:r w:rsidR="0020477E" w:rsidRPr="00730B1E">
        <w:t xml:space="preserve">. </w:t>
      </w:r>
      <w:r w:rsidRPr="00730B1E">
        <w:t xml:space="preserve">Například u povinnosti </w:t>
      </w:r>
      <w:r w:rsidRPr="00730B1E">
        <w:lastRenderedPageBreak/>
        <w:t>stanovené otci vzrostla částka z 2 702 Kč v roce 2014 na 4 326 Kč v roce 2023, tedy o 1 347 korun (o </w:t>
      </w:r>
      <w:r w:rsidR="0020477E" w:rsidRPr="00730B1E">
        <w:t>6</w:t>
      </w:r>
      <w:r w:rsidRPr="00730B1E">
        <w:t>0 %).</w:t>
      </w:r>
    </w:p>
    <w:p w14:paraId="080D9619" w14:textId="0E9F5902" w:rsidR="0020477E" w:rsidRPr="00730B1E" w:rsidRDefault="0020477E" w:rsidP="0020477E">
      <w:pPr>
        <w:pStyle w:val="OdstavecASR"/>
      </w:pPr>
      <w:r w:rsidRPr="00730B1E">
        <w:t>Plošný graf (viz seznam pojmů) dále zachycuje statistiku, která úzce souvisí s rozhodováním o výživném, totiž to, jak často je dítě svěřeno do péče matce, otci, jiné fyzické osobě či oběma rodičům do společné nebo střídavé péče. V asi 69 % případů svěřil soud dítě do péče matce. Vidíme, že podíl tohoto tradičního modelu nicméně postupně pozvolna klesá ve prospěch alternativních řešení. (Zároveň nedisponujeme statistikami o tom, jak často se jedná v rámci výhradní péče jednoho rodiče o tzv. rozšířený styk s dítětem.) K tomuto trendu přispívá zřejmě nejen judikatura českého Ústavního soudu</w:t>
      </w:r>
      <w:r w:rsidR="000621C3" w:rsidRPr="00730B1E">
        <w:t>,</w:t>
      </w:r>
      <w:r w:rsidRPr="00730B1E">
        <w:t xml:space="preserve"> </w:t>
      </w:r>
      <w:r w:rsidR="000621C3" w:rsidRPr="00730B1E">
        <w:t>ale</w:t>
      </w:r>
      <w:r w:rsidRPr="00730B1E">
        <w:t xml:space="preserve"> i celospolečenské klima, odborné diskuse o rozhodování o dětech na mezinárodní úrovni a další faktory.</w:t>
      </w:r>
    </w:p>
    <w:p w14:paraId="0C43EA31" w14:textId="3ECF0DF0" w:rsidR="0020477E" w:rsidRPr="00730B1E" w:rsidRDefault="0020477E" w:rsidP="0020477E">
      <w:pPr>
        <w:pStyle w:val="OdstavecASR"/>
      </w:pPr>
      <w:r w:rsidRPr="00730B1E">
        <w:t>V řeči konkrétních čísel podíl případů, kdy soud svěřil dítě do péče matce, klesl z 86,6 % v roce 2012 na 68,8 % v roce 2023. Podíl případů, kdy bylo dítě do péče svěřeno oběma rodičům, se výrazně zvýšil z 5,2 % v roce 2012 na 23,0 % v roce 2023, tedy na více než čtyřnásobek.</w:t>
      </w:r>
    </w:p>
    <w:p w14:paraId="08FF300F" w14:textId="247C1A9E" w:rsidR="009C7A6B" w:rsidRPr="00730B1E" w:rsidRDefault="0020477E" w:rsidP="00DF07F3">
      <w:pPr>
        <w:pStyle w:val="OdstavecASR"/>
      </w:pPr>
      <w:r w:rsidRPr="00730B1E">
        <w:t xml:space="preserve">Od roku 2014 jsou k dispozici také o něco podrobnější data. U svěření dítěte do péče obou rodičů se rozlišuje, jestli se jednalo o péči střídavou nebo o péči společnou. Data ukazují, že svěření do střídavé péče je častější a že frekvence využití </w:t>
      </w:r>
      <w:r w:rsidR="000621C3" w:rsidRPr="00730B1E">
        <w:t xml:space="preserve">tohoto modelu </w:t>
      </w:r>
      <w:r w:rsidRPr="00730B1E">
        <w:t>roste</w:t>
      </w:r>
      <w:r w:rsidR="000621C3" w:rsidRPr="00730B1E">
        <w:t>.</w:t>
      </w:r>
    </w:p>
    <w:p w14:paraId="105545B8" w14:textId="3D3B9B60" w:rsidR="0020477E" w:rsidRPr="00730B1E" w:rsidRDefault="0020477E" w:rsidP="0020477E">
      <w:pPr>
        <w:pStyle w:val="Podnadpis"/>
        <w:rPr>
          <w:color w:val="auto"/>
        </w:rPr>
      </w:pPr>
      <w:bookmarkStart w:id="657" w:name="_Toc515871374"/>
      <w:bookmarkStart w:id="658" w:name="_Toc11135105"/>
      <w:bookmarkStart w:id="659" w:name="_Toc43841424"/>
      <w:bookmarkStart w:id="660" w:name="_Toc75952228"/>
      <w:bookmarkStart w:id="661" w:name="_Toc106106682"/>
      <w:bookmarkStart w:id="662" w:name="_Toc109802006"/>
      <w:bookmarkStart w:id="663" w:name="_Toc144104158"/>
      <w:bookmarkStart w:id="664" w:name="_Toc169250969"/>
      <w:bookmarkStart w:id="665" w:name="_Toc174080655"/>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50</w:t>
      </w:r>
      <w:r w:rsidRPr="00730B1E">
        <w:rPr>
          <w:color w:val="auto"/>
        </w:rPr>
        <w:fldChar w:fldCharType="end"/>
      </w:r>
      <w:r w:rsidRPr="00730B1E">
        <w:rPr>
          <w:color w:val="auto"/>
        </w:rPr>
        <w:t>: OS – svěřování dítěte do péče</w:t>
      </w:r>
      <w:bookmarkEnd w:id="657"/>
      <w:bookmarkEnd w:id="658"/>
      <w:bookmarkEnd w:id="659"/>
      <w:bookmarkEnd w:id="660"/>
      <w:bookmarkEnd w:id="661"/>
      <w:bookmarkEnd w:id="662"/>
      <w:bookmarkEnd w:id="663"/>
      <w:bookmarkEnd w:id="664"/>
      <w:bookmarkEnd w:id="665"/>
    </w:p>
    <w:p w14:paraId="510EE927" w14:textId="11C39827" w:rsidR="0020477E" w:rsidRPr="00730B1E" w:rsidRDefault="0020477E" w:rsidP="00BF44E3">
      <w:pPr>
        <w:pStyle w:val="OdstavecASR"/>
        <w:keepNext/>
        <w:rPr>
          <w:b/>
        </w:rPr>
      </w:pPr>
      <w:r w:rsidRPr="00730B1E">
        <w:rPr>
          <w:noProof/>
          <w:lang w:eastAsia="cs-CZ"/>
        </w:rPr>
        <w:drawing>
          <wp:inline distT="0" distB="0" distL="0" distR="0" wp14:anchorId="3D138DA3" wp14:editId="4AD2BDAE">
            <wp:extent cx="5029200" cy="3657600"/>
            <wp:effectExtent l="0" t="0" r="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A1629E5" w14:textId="77777777" w:rsidR="0020477E" w:rsidRPr="00730B1E" w:rsidRDefault="0020477E" w:rsidP="00BF44E3">
      <w:pPr>
        <w:pStyle w:val="OdstavecASR"/>
        <w:keepNext/>
        <w:rPr>
          <w:b/>
        </w:rPr>
      </w:pPr>
    </w:p>
    <w:p w14:paraId="73CB9A3A" w14:textId="194B555A" w:rsidR="0050542D" w:rsidRPr="00730B1E" w:rsidRDefault="0089113A" w:rsidP="00D363A2">
      <w:pPr>
        <w:pStyle w:val="OdstavecASR"/>
        <w:keepNext/>
        <w:outlineLvl w:val="3"/>
        <w:rPr>
          <w:b/>
          <w:bCs/>
        </w:rPr>
      </w:pPr>
      <w:r w:rsidRPr="00730B1E">
        <w:rPr>
          <w:b/>
          <w:bCs/>
        </w:rPr>
        <w:t>Dohoda rodičů</w:t>
      </w:r>
    </w:p>
    <w:p w14:paraId="10B6B11D" w14:textId="2C47BA12" w:rsidR="0020477E" w:rsidRPr="00730B1E" w:rsidRDefault="0020477E" w:rsidP="0020477E">
      <w:pPr>
        <w:spacing w:after="160" w:line="259" w:lineRule="auto"/>
      </w:pPr>
      <w:r w:rsidRPr="00730B1E">
        <w:t>Řízení může skončit, a často také končí, dohodou rodičů, tedy smírným řešením. To je vidět níže v</w:t>
      </w:r>
      <w:r w:rsidR="000621C3" w:rsidRPr="00730B1E">
        <w:t> </w:t>
      </w:r>
      <w:r w:rsidRPr="00730B1E">
        <w:t>grafu</w:t>
      </w:r>
      <w:r w:rsidR="000621C3" w:rsidRPr="00730B1E">
        <w:t xml:space="preserve">, z nějž vyplývá, že takto jsou uzavřeny </w:t>
      </w:r>
      <w:r w:rsidRPr="00730B1E">
        <w:t>tři čtvrtiny věcí.</w:t>
      </w:r>
    </w:p>
    <w:p w14:paraId="4BB5623A" w14:textId="630DF300" w:rsidR="0020477E" w:rsidRPr="00730B1E" w:rsidRDefault="0020477E" w:rsidP="0020477E">
      <w:pPr>
        <w:pStyle w:val="Podnadpis"/>
        <w:rPr>
          <w:color w:val="auto"/>
        </w:rPr>
      </w:pPr>
      <w:bookmarkStart w:id="666" w:name="_Toc144104159"/>
      <w:bookmarkStart w:id="667" w:name="_Toc169250970"/>
      <w:bookmarkStart w:id="668" w:name="_Toc174080656"/>
      <w:r w:rsidRPr="00730B1E">
        <w:rPr>
          <w:color w:val="auto"/>
        </w:rPr>
        <w:lastRenderedPageBreak/>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51</w:t>
      </w:r>
      <w:r w:rsidRPr="00730B1E">
        <w:rPr>
          <w:noProof/>
          <w:color w:val="auto"/>
        </w:rPr>
        <w:fldChar w:fldCharType="end"/>
      </w:r>
      <w:r w:rsidRPr="00730B1E">
        <w:rPr>
          <w:color w:val="auto"/>
        </w:rPr>
        <w:t>: OS – podíl věcí vyřízených dohodou rodičů</w:t>
      </w:r>
      <w:bookmarkEnd w:id="666"/>
      <w:bookmarkEnd w:id="667"/>
      <w:bookmarkEnd w:id="668"/>
    </w:p>
    <w:p w14:paraId="30BD916D" w14:textId="01234FF7" w:rsidR="00423451" w:rsidRPr="00730B1E" w:rsidRDefault="000172C4" w:rsidP="00423451">
      <w:pPr>
        <w:pStyle w:val="OdstavecASR"/>
      </w:pPr>
      <w:r w:rsidRPr="00730B1E">
        <w:rPr>
          <w:noProof/>
          <w:lang w:eastAsia="cs-CZ"/>
        </w:rPr>
        <w:drawing>
          <wp:inline distT="0" distB="0" distL="0" distR="0" wp14:anchorId="5AF13930" wp14:editId="096BA19A">
            <wp:extent cx="5029200" cy="3657600"/>
            <wp:effectExtent l="0" t="0" r="0"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E5F0830" w14:textId="6EE9CD9D" w:rsidR="008430BD" w:rsidRPr="00730B1E" w:rsidRDefault="008430BD" w:rsidP="008430BD">
      <w:pPr>
        <w:pStyle w:val="Nadpis1"/>
        <w:pageBreakBefore/>
        <w:numPr>
          <w:ilvl w:val="0"/>
          <w:numId w:val="1"/>
        </w:numPr>
        <w:spacing w:after="120"/>
      </w:pPr>
      <w:bookmarkStart w:id="669" w:name="_Toc515871244"/>
      <w:bookmarkStart w:id="670" w:name="_Toc106092746"/>
      <w:bookmarkStart w:id="671" w:name="_Toc169250823"/>
      <w:bookmarkStart w:id="672" w:name="_Toc174080859"/>
      <w:r w:rsidRPr="00730B1E">
        <w:lastRenderedPageBreak/>
        <w:t>Krajské soudy</w:t>
      </w:r>
      <w:bookmarkEnd w:id="669"/>
      <w:bookmarkEnd w:id="670"/>
      <w:bookmarkEnd w:id="671"/>
      <w:bookmarkEnd w:id="672"/>
    </w:p>
    <w:p w14:paraId="3CC9C1FB" w14:textId="1AA2D92D" w:rsidR="008430BD" w:rsidRPr="00730B1E" w:rsidRDefault="008430BD" w:rsidP="008430BD">
      <w:pPr>
        <w:pStyle w:val="Nadpis2"/>
        <w:keepNext w:val="0"/>
        <w:numPr>
          <w:ilvl w:val="1"/>
          <w:numId w:val="1"/>
        </w:numPr>
        <w:spacing w:before="120"/>
        <w:rPr>
          <w:color w:val="auto"/>
        </w:rPr>
      </w:pPr>
      <w:bookmarkStart w:id="673" w:name="_Toc106092747"/>
      <w:bookmarkStart w:id="674" w:name="_Toc515871245"/>
      <w:bookmarkStart w:id="675" w:name="_Toc106092748"/>
      <w:bookmarkStart w:id="676" w:name="_Toc169250824"/>
      <w:bookmarkStart w:id="677" w:name="_Toc174080860"/>
      <w:bookmarkEnd w:id="673"/>
      <w:r w:rsidRPr="00730B1E">
        <w:rPr>
          <w:color w:val="auto"/>
        </w:rPr>
        <w:t>Personál</w:t>
      </w:r>
      <w:bookmarkEnd w:id="674"/>
      <w:bookmarkEnd w:id="675"/>
      <w:bookmarkEnd w:id="676"/>
      <w:bookmarkEnd w:id="677"/>
    </w:p>
    <w:p w14:paraId="5AC17F7A" w14:textId="77777777" w:rsidR="000172C4" w:rsidRPr="00730B1E" w:rsidRDefault="000172C4" w:rsidP="000172C4">
      <w:r w:rsidRPr="00730B1E">
        <w:t>Struktura kapitoly je stejná jako u okresních soudů – první část se věnuje soudcům, druhá se zaměřuje na ostatní personál ve výkonu a třetí se věnuje přísedícím.</w:t>
      </w:r>
    </w:p>
    <w:p w14:paraId="6BF51150" w14:textId="6CD4CF8C" w:rsidR="002D7898" w:rsidRPr="00730B1E" w:rsidRDefault="002D7898" w:rsidP="002D7898">
      <w:pPr>
        <w:pStyle w:val="Nadpis3"/>
        <w:keepNext w:val="0"/>
        <w:numPr>
          <w:ilvl w:val="2"/>
          <w:numId w:val="1"/>
        </w:numPr>
        <w:rPr>
          <w:color w:val="auto"/>
        </w:rPr>
      </w:pPr>
      <w:bookmarkStart w:id="678" w:name="_Toc515871246"/>
      <w:bookmarkStart w:id="679" w:name="_Toc106092749"/>
      <w:bookmarkStart w:id="680" w:name="_Toc169250825"/>
      <w:bookmarkStart w:id="681" w:name="_Toc174080861"/>
      <w:r w:rsidRPr="00730B1E">
        <w:rPr>
          <w:color w:val="auto"/>
        </w:rPr>
        <w:t>Soudci</w:t>
      </w:r>
      <w:bookmarkEnd w:id="678"/>
      <w:bookmarkEnd w:id="679"/>
      <w:bookmarkEnd w:id="680"/>
      <w:bookmarkEnd w:id="681"/>
    </w:p>
    <w:p w14:paraId="4C9C038B" w14:textId="578D910C" w:rsidR="00E22139" w:rsidRPr="00730B1E" w:rsidRDefault="00E22139" w:rsidP="00E22139">
      <w:r w:rsidRPr="00730B1E">
        <w:t>Stejně jako u okresních soudů je počet soudců u krajských soudů poměrně stabilní s mírnými výkyvy. V grafu a tabulce níže jsou porovnány plánovaný, evidenční a skutečný počet soudců.</w:t>
      </w:r>
    </w:p>
    <w:p w14:paraId="21E57B36" w14:textId="0B7898BA" w:rsidR="00E22139" w:rsidRPr="00730B1E" w:rsidRDefault="00E22139" w:rsidP="00E22139">
      <w:pPr>
        <w:pStyle w:val="Podnadpis"/>
        <w:numPr>
          <w:ilvl w:val="0"/>
          <w:numId w:val="0"/>
        </w:numPr>
        <w:rPr>
          <w:color w:val="auto"/>
        </w:rPr>
      </w:pPr>
      <w:bookmarkStart w:id="682" w:name="_Ref512499826"/>
      <w:bookmarkStart w:id="683" w:name="_Toc515871376"/>
      <w:bookmarkStart w:id="684" w:name="_Toc11135107"/>
      <w:bookmarkStart w:id="685" w:name="_Toc43841426"/>
      <w:bookmarkStart w:id="686" w:name="_Toc75952230"/>
      <w:bookmarkStart w:id="687" w:name="_Toc106106686"/>
      <w:bookmarkStart w:id="688" w:name="_Toc109802010"/>
      <w:bookmarkStart w:id="689" w:name="_Toc144104160"/>
      <w:bookmarkStart w:id="690" w:name="_Toc169250971"/>
      <w:bookmarkStart w:id="691" w:name="_Toc17408065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52</w:t>
      </w:r>
      <w:r w:rsidRPr="00730B1E">
        <w:rPr>
          <w:color w:val="auto"/>
        </w:rPr>
        <w:fldChar w:fldCharType="end"/>
      </w:r>
      <w:bookmarkEnd w:id="682"/>
      <w:r w:rsidRPr="00730B1E">
        <w:rPr>
          <w:color w:val="auto"/>
        </w:rPr>
        <w:t xml:space="preserve">: </w:t>
      </w:r>
      <w:bookmarkEnd w:id="683"/>
      <w:bookmarkEnd w:id="684"/>
      <w:bookmarkEnd w:id="685"/>
      <w:bookmarkEnd w:id="686"/>
      <w:bookmarkEnd w:id="687"/>
      <w:bookmarkEnd w:id="688"/>
      <w:bookmarkEnd w:id="689"/>
      <w:r w:rsidRPr="00730B1E">
        <w:rPr>
          <w:color w:val="auto"/>
        </w:rPr>
        <w:t>KS – počet soudců v roce 2023</w:t>
      </w:r>
      <w:bookmarkEnd w:id="690"/>
      <w:bookmarkEnd w:id="691"/>
    </w:p>
    <w:p w14:paraId="70F29D14" w14:textId="6EDCC4AF" w:rsidR="00E22139" w:rsidRPr="00730B1E" w:rsidRDefault="00344CCA" w:rsidP="00E22139">
      <w:pPr>
        <w:pStyle w:val="Podnadpis"/>
        <w:numPr>
          <w:ilvl w:val="0"/>
          <w:numId w:val="0"/>
        </w:numPr>
        <w:rPr>
          <w:color w:val="auto"/>
        </w:rPr>
      </w:pPr>
      <w:r w:rsidRPr="00730B1E">
        <w:rPr>
          <w:noProof/>
          <w:color w:val="auto"/>
          <w:lang w:eastAsia="cs-CZ"/>
        </w:rPr>
        <w:drawing>
          <wp:inline distT="0" distB="0" distL="0" distR="0" wp14:anchorId="09B21449" wp14:editId="24767114">
            <wp:extent cx="5029200" cy="3657600"/>
            <wp:effectExtent l="0" t="0" r="0" b="0"/>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654072A" w14:textId="77777777" w:rsidR="00043040" w:rsidRPr="00730B1E" w:rsidRDefault="00043040" w:rsidP="00043040"/>
    <w:p w14:paraId="4453CD7C" w14:textId="16CA195D" w:rsidR="00043040" w:rsidRPr="00730B1E" w:rsidRDefault="00043040" w:rsidP="00043040">
      <w:pPr>
        <w:pStyle w:val="Podnadpis"/>
        <w:numPr>
          <w:ilvl w:val="0"/>
          <w:numId w:val="0"/>
        </w:numPr>
        <w:rPr>
          <w:color w:val="auto"/>
        </w:rPr>
      </w:pPr>
      <w:bookmarkStart w:id="692" w:name="_Toc169251090"/>
      <w:bookmarkStart w:id="693" w:name="_Toc174080776"/>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33</w:t>
      </w:r>
      <w:r w:rsidRPr="00730B1E">
        <w:rPr>
          <w:color w:val="auto"/>
        </w:rPr>
        <w:fldChar w:fldCharType="end"/>
      </w:r>
      <w:r w:rsidRPr="00730B1E">
        <w:rPr>
          <w:color w:val="auto"/>
        </w:rPr>
        <w:t>: OS – počet soudců dle krajů</w:t>
      </w:r>
      <w:r w:rsidR="00BF44E3" w:rsidRPr="00730B1E">
        <w:rPr>
          <w:color w:val="auto"/>
        </w:rPr>
        <w:t>,</w:t>
      </w:r>
      <w:r w:rsidR="00E604F1" w:rsidRPr="00730B1E">
        <w:rPr>
          <w:color w:val="auto"/>
        </w:rPr>
        <w:t xml:space="preserve"> 2023</w:t>
      </w:r>
      <w:bookmarkEnd w:id="692"/>
      <w:bookmarkEnd w:id="693"/>
    </w:p>
    <w:tbl>
      <w:tblPr>
        <w:tblW w:w="8904" w:type="dxa"/>
        <w:tblCellMar>
          <w:left w:w="70" w:type="dxa"/>
          <w:right w:w="70" w:type="dxa"/>
        </w:tblCellMar>
        <w:tblLook w:val="04A0" w:firstRow="1" w:lastRow="0" w:firstColumn="1" w:lastColumn="0" w:noHBand="0" w:noVBand="1"/>
      </w:tblPr>
      <w:tblGrid>
        <w:gridCol w:w="2080"/>
        <w:gridCol w:w="1531"/>
        <w:gridCol w:w="1528"/>
        <w:gridCol w:w="1528"/>
        <w:gridCol w:w="2237"/>
      </w:tblGrid>
      <w:tr w:rsidR="0054403B" w:rsidRPr="00730B1E" w14:paraId="1E3999EB" w14:textId="77777777" w:rsidTr="0054403B">
        <w:trPr>
          <w:trHeight w:val="451"/>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5BECAFA3" w14:textId="77777777" w:rsidR="0054403B" w:rsidRPr="00730B1E" w:rsidRDefault="0054403B" w:rsidP="00E740C6">
            <w:pPr>
              <w:spacing w:line="240" w:lineRule="auto"/>
              <w:jc w:val="center"/>
              <w:rPr>
                <w:rFonts w:eastAsia="Times New Roman"/>
                <w:b/>
                <w:bCs/>
                <w:color w:val="000000"/>
                <w:szCs w:val="24"/>
                <w:lang w:eastAsia="cs-CZ"/>
              </w:rPr>
            </w:pPr>
            <w:r w:rsidRPr="00730B1E">
              <w:rPr>
                <w:rFonts w:eastAsia="Times New Roman"/>
                <w:b/>
                <w:bCs/>
                <w:color w:val="000000"/>
                <w:szCs w:val="24"/>
                <w:lang w:eastAsia="cs-CZ"/>
              </w:rPr>
              <w:t>Nadřízený soud</w:t>
            </w:r>
          </w:p>
        </w:tc>
        <w:tc>
          <w:tcPr>
            <w:tcW w:w="1531" w:type="dxa"/>
            <w:vMerge w:val="restart"/>
            <w:tcBorders>
              <w:top w:val="double" w:sz="6" w:space="0" w:color="auto"/>
              <w:left w:val="nil"/>
              <w:bottom w:val="double" w:sz="6" w:space="0" w:color="000000"/>
              <w:right w:val="nil"/>
            </w:tcBorders>
            <w:shd w:val="clear" w:color="auto" w:fill="auto"/>
            <w:vAlign w:val="center"/>
            <w:hideMark/>
          </w:tcPr>
          <w:p w14:paraId="221AEAB1" w14:textId="77777777" w:rsidR="0054403B" w:rsidRPr="00730B1E" w:rsidRDefault="0054403B" w:rsidP="00E740C6">
            <w:pPr>
              <w:spacing w:line="240" w:lineRule="auto"/>
              <w:jc w:val="center"/>
              <w:rPr>
                <w:rFonts w:eastAsia="Times New Roman"/>
                <w:b/>
                <w:bCs/>
                <w:color w:val="000000"/>
                <w:szCs w:val="24"/>
                <w:lang w:eastAsia="cs-CZ"/>
              </w:rPr>
            </w:pPr>
            <w:r w:rsidRPr="00730B1E">
              <w:rPr>
                <w:rFonts w:eastAsia="Times New Roman"/>
                <w:b/>
                <w:bCs/>
                <w:color w:val="000000"/>
                <w:szCs w:val="24"/>
                <w:lang w:eastAsia="cs-CZ"/>
              </w:rPr>
              <w:t>Plánovaný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7DAA400B" w14:textId="38596842" w:rsidR="0054403B" w:rsidRPr="00730B1E" w:rsidRDefault="0054403B" w:rsidP="00E740C6">
            <w:pPr>
              <w:spacing w:line="240" w:lineRule="auto"/>
              <w:jc w:val="center"/>
              <w:rPr>
                <w:rFonts w:eastAsia="Times New Roman"/>
                <w:b/>
                <w:bCs/>
                <w:color w:val="000000"/>
                <w:szCs w:val="24"/>
                <w:lang w:eastAsia="cs-CZ"/>
              </w:rPr>
            </w:pPr>
            <w:r w:rsidRPr="00730B1E">
              <w:rPr>
                <w:rFonts w:eastAsia="Times New Roman"/>
                <w:b/>
                <w:bCs/>
                <w:color w:val="000000"/>
                <w:szCs w:val="24"/>
                <w:lang w:eastAsia="cs-CZ"/>
              </w:rPr>
              <w:t>Evidenční počet soudců</w:t>
            </w:r>
          </w:p>
        </w:tc>
        <w:tc>
          <w:tcPr>
            <w:tcW w:w="1528" w:type="dxa"/>
            <w:vMerge w:val="restart"/>
            <w:tcBorders>
              <w:top w:val="double" w:sz="6" w:space="0" w:color="auto"/>
              <w:left w:val="nil"/>
              <w:bottom w:val="double" w:sz="6" w:space="0" w:color="000000"/>
              <w:right w:val="nil"/>
            </w:tcBorders>
            <w:shd w:val="clear" w:color="auto" w:fill="auto"/>
            <w:vAlign w:val="center"/>
            <w:hideMark/>
          </w:tcPr>
          <w:p w14:paraId="0767EB99" w14:textId="77777777" w:rsidR="0054403B" w:rsidRPr="00730B1E" w:rsidRDefault="0054403B" w:rsidP="00E740C6">
            <w:pPr>
              <w:spacing w:line="240" w:lineRule="auto"/>
              <w:jc w:val="center"/>
              <w:rPr>
                <w:rFonts w:eastAsia="Times New Roman"/>
                <w:b/>
                <w:bCs/>
                <w:color w:val="000000"/>
                <w:szCs w:val="24"/>
                <w:lang w:eastAsia="cs-CZ"/>
              </w:rPr>
            </w:pPr>
            <w:r w:rsidRPr="00730B1E">
              <w:rPr>
                <w:rFonts w:eastAsia="Times New Roman"/>
                <w:b/>
                <w:bCs/>
                <w:color w:val="000000"/>
                <w:szCs w:val="24"/>
                <w:lang w:eastAsia="cs-CZ"/>
              </w:rPr>
              <w:t>Skutečný počet soudců</w:t>
            </w:r>
          </w:p>
        </w:tc>
        <w:tc>
          <w:tcPr>
            <w:tcW w:w="2237" w:type="dxa"/>
            <w:vMerge w:val="restart"/>
            <w:tcBorders>
              <w:top w:val="double" w:sz="6" w:space="0" w:color="auto"/>
              <w:left w:val="nil"/>
              <w:bottom w:val="double" w:sz="6" w:space="0" w:color="000000"/>
              <w:right w:val="nil"/>
            </w:tcBorders>
            <w:shd w:val="clear" w:color="auto" w:fill="auto"/>
            <w:vAlign w:val="center"/>
            <w:hideMark/>
          </w:tcPr>
          <w:p w14:paraId="38C5FAF7" w14:textId="77777777" w:rsidR="0054403B" w:rsidRPr="00730B1E" w:rsidRDefault="0054403B" w:rsidP="00E740C6">
            <w:pPr>
              <w:spacing w:line="240" w:lineRule="auto"/>
              <w:jc w:val="center"/>
              <w:rPr>
                <w:rFonts w:eastAsia="Times New Roman"/>
                <w:b/>
                <w:bCs/>
                <w:color w:val="000000"/>
                <w:szCs w:val="24"/>
                <w:lang w:eastAsia="cs-CZ"/>
              </w:rPr>
            </w:pPr>
            <w:r w:rsidRPr="00730B1E">
              <w:rPr>
                <w:rFonts w:eastAsia="Times New Roman"/>
                <w:b/>
                <w:bCs/>
                <w:color w:val="000000"/>
                <w:szCs w:val="24"/>
                <w:lang w:eastAsia="cs-CZ"/>
              </w:rPr>
              <w:t>Podíl skutečný/plánovaný počet soudců</w:t>
            </w:r>
          </w:p>
        </w:tc>
      </w:tr>
      <w:tr w:rsidR="0054403B" w:rsidRPr="00730B1E" w14:paraId="4E98680A" w14:textId="77777777" w:rsidTr="0054403B">
        <w:trPr>
          <w:trHeight w:val="645"/>
        </w:trPr>
        <w:tc>
          <w:tcPr>
            <w:tcW w:w="2080" w:type="dxa"/>
            <w:vMerge/>
            <w:tcBorders>
              <w:top w:val="double" w:sz="6" w:space="0" w:color="auto"/>
              <w:left w:val="nil"/>
              <w:bottom w:val="double" w:sz="6" w:space="0" w:color="000000"/>
              <w:right w:val="nil"/>
            </w:tcBorders>
            <w:vAlign w:val="center"/>
            <w:hideMark/>
          </w:tcPr>
          <w:p w14:paraId="22D28B17" w14:textId="77777777" w:rsidR="0054403B" w:rsidRPr="00730B1E" w:rsidRDefault="0054403B" w:rsidP="00E740C6">
            <w:pPr>
              <w:spacing w:line="240" w:lineRule="auto"/>
              <w:jc w:val="left"/>
              <w:rPr>
                <w:rFonts w:eastAsia="Times New Roman"/>
                <w:b/>
                <w:bCs/>
                <w:color w:val="000000"/>
                <w:szCs w:val="24"/>
                <w:lang w:eastAsia="cs-CZ"/>
              </w:rPr>
            </w:pPr>
          </w:p>
        </w:tc>
        <w:tc>
          <w:tcPr>
            <w:tcW w:w="1531" w:type="dxa"/>
            <w:vMerge/>
            <w:tcBorders>
              <w:top w:val="double" w:sz="6" w:space="0" w:color="auto"/>
              <w:left w:val="nil"/>
              <w:bottom w:val="double" w:sz="6" w:space="0" w:color="000000"/>
              <w:right w:val="nil"/>
            </w:tcBorders>
            <w:vAlign w:val="center"/>
            <w:hideMark/>
          </w:tcPr>
          <w:p w14:paraId="022EA61C" w14:textId="77777777" w:rsidR="0054403B" w:rsidRPr="00730B1E" w:rsidRDefault="0054403B" w:rsidP="00E740C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52A72EDA" w14:textId="77777777" w:rsidR="0054403B" w:rsidRPr="00730B1E" w:rsidRDefault="0054403B" w:rsidP="00E740C6">
            <w:pPr>
              <w:spacing w:line="240" w:lineRule="auto"/>
              <w:jc w:val="left"/>
              <w:rPr>
                <w:rFonts w:eastAsia="Times New Roman"/>
                <w:b/>
                <w:bCs/>
                <w:color w:val="000000"/>
                <w:szCs w:val="24"/>
                <w:lang w:eastAsia="cs-CZ"/>
              </w:rPr>
            </w:pPr>
          </w:p>
        </w:tc>
        <w:tc>
          <w:tcPr>
            <w:tcW w:w="1528" w:type="dxa"/>
            <w:vMerge/>
            <w:tcBorders>
              <w:top w:val="double" w:sz="6" w:space="0" w:color="auto"/>
              <w:left w:val="nil"/>
              <w:bottom w:val="double" w:sz="6" w:space="0" w:color="000000"/>
              <w:right w:val="nil"/>
            </w:tcBorders>
            <w:vAlign w:val="center"/>
            <w:hideMark/>
          </w:tcPr>
          <w:p w14:paraId="72BD4141" w14:textId="77777777" w:rsidR="0054403B" w:rsidRPr="00730B1E" w:rsidRDefault="0054403B" w:rsidP="00E740C6">
            <w:pPr>
              <w:spacing w:line="240" w:lineRule="auto"/>
              <w:jc w:val="left"/>
              <w:rPr>
                <w:rFonts w:eastAsia="Times New Roman"/>
                <w:b/>
                <w:bCs/>
                <w:color w:val="000000"/>
                <w:szCs w:val="24"/>
                <w:lang w:eastAsia="cs-CZ"/>
              </w:rPr>
            </w:pPr>
          </w:p>
        </w:tc>
        <w:tc>
          <w:tcPr>
            <w:tcW w:w="2237" w:type="dxa"/>
            <w:vMerge/>
            <w:tcBorders>
              <w:top w:val="double" w:sz="6" w:space="0" w:color="auto"/>
              <w:left w:val="nil"/>
              <w:bottom w:val="double" w:sz="6" w:space="0" w:color="000000"/>
              <w:right w:val="nil"/>
            </w:tcBorders>
            <w:vAlign w:val="center"/>
            <w:hideMark/>
          </w:tcPr>
          <w:p w14:paraId="617D4635" w14:textId="77777777" w:rsidR="0054403B" w:rsidRPr="00730B1E" w:rsidRDefault="0054403B" w:rsidP="00E740C6">
            <w:pPr>
              <w:spacing w:line="240" w:lineRule="auto"/>
              <w:jc w:val="left"/>
              <w:rPr>
                <w:rFonts w:eastAsia="Times New Roman"/>
                <w:b/>
                <w:bCs/>
                <w:color w:val="000000"/>
                <w:szCs w:val="24"/>
                <w:lang w:eastAsia="cs-CZ"/>
              </w:rPr>
            </w:pPr>
          </w:p>
        </w:tc>
      </w:tr>
      <w:tr w:rsidR="0054403B" w:rsidRPr="00730B1E" w14:paraId="3DDE1DFD" w14:textId="77777777" w:rsidTr="0054403B">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47DC21EC" w14:textId="77777777" w:rsidR="0054403B" w:rsidRPr="00730B1E" w:rsidRDefault="0054403B" w:rsidP="0054403B">
            <w:pPr>
              <w:spacing w:line="240" w:lineRule="auto"/>
              <w:jc w:val="left"/>
              <w:rPr>
                <w:rFonts w:eastAsia="Times New Roman"/>
                <w:color w:val="000000"/>
                <w:szCs w:val="24"/>
                <w:lang w:eastAsia="cs-CZ"/>
              </w:rPr>
            </w:pPr>
            <w:r w:rsidRPr="00730B1E">
              <w:rPr>
                <w:rFonts w:eastAsia="Times New Roman"/>
                <w:color w:val="000000"/>
                <w:szCs w:val="24"/>
                <w:lang w:eastAsia="cs-CZ"/>
              </w:rPr>
              <w:t>MS Praha</w:t>
            </w:r>
          </w:p>
        </w:tc>
        <w:tc>
          <w:tcPr>
            <w:tcW w:w="1531" w:type="dxa"/>
            <w:tcBorders>
              <w:top w:val="single" w:sz="4" w:space="0" w:color="auto"/>
              <w:left w:val="nil"/>
              <w:bottom w:val="single" w:sz="4" w:space="0" w:color="auto"/>
              <w:right w:val="nil"/>
            </w:tcBorders>
            <w:shd w:val="clear" w:color="auto" w:fill="auto"/>
            <w:noWrap/>
            <w:vAlign w:val="bottom"/>
            <w:hideMark/>
          </w:tcPr>
          <w:p w14:paraId="630E2FDA"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245</w:t>
            </w:r>
          </w:p>
        </w:tc>
        <w:tc>
          <w:tcPr>
            <w:tcW w:w="1528" w:type="dxa"/>
            <w:tcBorders>
              <w:top w:val="single" w:sz="4" w:space="0" w:color="auto"/>
              <w:left w:val="nil"/>
              <w:bottom w:val="single" w:sz="4" w:space="0" w:color="auto"/>
              <w:right w:val="nil"/>
            </w:tcBorders>
            <w:shd w:val="clear" w:color="auto" w:fill="auto"/>
            <w:noWrap/>
            <w:vAlign w:val="bottom"/>
            <w:hideMark/>
          </w:tcPr>
          <w:p w14:paraId="324EA539"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218</w:t>
            </w:r>
          </w:p>
        </w:tc>
        <w:tc>
          <w:tcPr>
            <w:tcW w:w="1528" w:type="dxa"/>
            <w:tcBorders>
              <w:top w:val="single" w:sz="4" w:space="0" w:color="auto"/>
              <w:left w:val="nil"/>
              <w:bottom w:val="single" w:sz="4" w:space="0" w:color="auto"/>
              <w:right w:val="nil"/>
            </w:tcBorders>
            <w:shd w:val="clear" w:color="auto" w:fill="auto"/>
            <w:noWrap/>
            <w:vAlign w:val="bottom"/>
            <w:hideMark/>
          </w:tcPr>
          <w:p w14:paraId="0E254C2F" w14:textId="2A3B1751"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225,55</w:t>
            </w:r>
          </w:p>
        </w:tc>
        <w:tc>
          <w:tcPr>
            <w:tcW w:w="2237" w:type="dxa"/>
            <w:tcBorders>
              <w:top w:val="single" w:sz="4" w:space="0" w:color="auto"/>
              <w:left w:val="nil"/>
              <w:bottom w:val="single" w:sz="4" w:space="0" w:color="auto"/>
              <w:right w:val="nil"/>
            </w:tcBorders>
            <w:shd w:val="clear" w:color="auto" w:fill="auto"/>
            <w:noWrap/>
            <w:vAlign w:val="bottom"/>
            <w:hideMark/>
          </w:tcPr>
          <w:p w14:paraId="47E85DB2" w14:textId="3075A9FC" w:rsidR="0054403B" w:rsidRPr="00730B1E" w:rsidRDefault="0054403B" w:rsidP="0054403B">
            <w:pPr>
              <w:spacing w:line="240" w:lineRule="auto"/>
              <w:jc w:val="center"/>
              <w:rPr>
                <w:rFonts w:eastAsia="Times New Roman"/>
                <w:color w:val="000000"/>
                <w:szCs w:val="24"/>
                <w:lang w:eastAsia="cs-CZ"/>
              </w:rPr>
            </w:pPr>
            <w:r>
              <w:rPr>
                <w:color w:val="000000"/>
              </w:rPr>
              <w:t>92,06 %</w:t>
            </w:r>
          </w:p>
        </w:tc>
      </w:tr>
      <w:tr w:rsidR="0054403B" w:rsidRPr="00730B1E" w14:paraId="5534CF7D" w14:textId="77777777" w:rsidTr="0054403B">
        <w:trPr>
          <w:trHeight w:val="315"/>
        </w:trPr>
        <w:tc>
          <w:tcPr>
            <w:tcW w:w="2080" w:type="dxa"/>
            <w:tcBorders>
              <w:top w:val="nil"/>
              <w:left w:val="nil"/>
              <w:bottom w:val="single" w:sz="4" w:space="0" w:color="auto"/>
              <w:right w:val="nil"/>
            </w:tcBorders>
            <w:shd w:val="clear" w:color="auto" w:fill="auto"/>
            <w:noWrap/>
            <w:vAlign w:val="bottom"/>
            <w:hideMark/>
          </w:tcPr>
          <w:p w14:paraId="0D3150E0" w14:textId="77777777" w:rsidR="0054403B" w:rsidRPr="00730B1E" w:rsidRDefault="0054403B" w:rsidP="0054403B">
            <w:pPr>
              <w:spacing w:line="240" w:lineRule="auto"/>
              <w:jc w:val="left"/>
              <w:rPr>
                <w:rFonts w:eastAsia="Times New Roman"/>
                <w:color w:val="000000"/>
                <w:szCs w:val="24"/>
                <w:lang w:eastAsia="cs-CZ"/>
              </w:rPr>
            </w:pPr>
            <w:r w:rsidRPr="00730B1E">
              <w:rPr>
                <w:rFonts w:eastAsia="Times New Roman"/>
                <w:color w:val="000000"/>
                <w:szCs w:val="24"/>
                <w:lang w:eastAsia="cs-CZ"/>
              </w:rPr>
              <w:t>KS Praha</w:t>
            </w:r>
          </w:p>
        </w:tc>
        <w:tc>
          <w:tcPr>
            <w:tcW w:w="1531" w:type="dxa"/>
            <w:tcBorders>
              <w:top w:val="nil"/>
              <w:left w:val="nil"/>
              <w:bottom w:val="single" w:sz="4" w:space="0" w:color="auto"/>
              <w:right w:val="nil"/>
            </w:tcBorders>
            <w:shd w:val="clear" w:color="auto" w:fill="auto"/>
            <w:noWrap/>
            <w:vAlign w:val="bottom"/>
            <w:hideMark/>
          </w:tcPr>
          <w:p w14:paraId="37F84C4F"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92</w:t>
            </w:r>
          </w:p>
        </w:tc>
        <w:tc>
          <w:tcPr>
            <w:tcW w:w="1528" w:type="dxa"/>
            <w:tcBorders>
              <w:top w:val="nil"/>
              <w:left w:val="nil"/>
              <w:bottom w:val="single" w:sz="4" w:space="0" w:color="auto"/>
              <w:right w:val="nil"/>
            </w:tcBorders>
            <w:shd w:val="clear" w:color="auto" w:fill="auto"/>
            <w:noWrap/>
            <w:vAlign w:val="bottom"/>
            <w:hideMark/>
          </w:tcPr>
          <w:p w14:paraId="4B944F9C"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98</w:t>
            </w:r>
          </w:p>
        </w:tc>
        <w:tc>
          <w:tcPr>
            <w:tcW w:w="1528" w:type="dxa"/>
            <w:tcBorders>
              <w:top w:val="nil"/>
              <w:left w:val="nil"/>
              <w:bottom w:val="single" w:sz="4" w:space="0" w:color="auto"/>
              <w:right w:val="nil"/>
            </w:tcBorders>
            <w:shd w:val="clear" w:color="auto" w:fill="auto"/>
            <w:noWrap/>
            <w:vAlign w:val="bottom"/>
            <w:hideMark/>
          </w:tcPr>
          <w:p w14:paraId="13BEF681" w14:textId="15C08C6D"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101,35</w:t>
            </w:r>
          </w:p>
        </w:tc>
        <w:tc>
          <w:tcPr>
            <w:tcW w:w="2237" w:type="dxa"/>
            <w:tcBorders>
              <w:top w:val="nil"/>
              <w:left w:val="nil"/>
              <w:bottom w:val="single" w:sz="4" w:space="0" w:color="auto"/>
              <w:right w:val="nil"/>
            </w:tcBorders>
            <w:shd w:val="clear" w:color="auto" w:fill="auto"/>
            <w:noWrap/>
            <w:vAlign w:val="bottom"/>
            <w:hideMark/>
          </w:tcPr>
          <w:p w14:paraId="20037CBF" w14:textId="7E66DEFD" w:rsidR="0054403B" w:rsidRPr="00730B1E" w:rsidRDefault="0054403B" w:rsidP="0054403B">
            <w:pPr>
              <w:spacing w:line="240" w:lineRule="auto"/>
              <w:jc w:val="center"/>
              <w:rPr>
                <w:rFonts w:eastAsia="Times New Roman"/>
                <w:color w:val="000000"/>
                <w:szCs w:val="24"/>
                <w:lang w:eastAsia="cs-CZ"/>
              </w:rPr>
            </w:pPr>
            <w:r>
              <w:rPr>
                <w:color w:val="000000"/>
              </w:rPr>
              <w:t>103,42 %</w:t>
            </w:r>
          </w:p>
        </w:tc>
      </w:tr>
      <w:tr w:rsidR="0054403B" w:rsidRPr="00730B1E" w14:paraId="3F8C1782" w14:textId="77777777" w:rsidTr="0054403B">
        <w:trPr>
          <w:trHeight w:val="315"/>
        </w:trPr>
        <w:tc>
          <w:tcPr>
            <w:tcW w:w="2080" w:type="dxa"/>
            <w:tcBorders>
              <w:top w:val="nil"/>
              <w:left w:val="nil"/>
              <w:bottom w:val="single" w:sz="4" w:space="0" w:color="auto"/>
              <w:right w:val="nil"/>
            </w:tcBorders>
            <w:shd w:val="clear" w:color="auto" w:fill="auto"/>
            <w:noWrap/>
            <w:vAlign w:val="bottom"/>
            <w:hideMark/>
          </w:tcPr>
          <w:p w14:paraId="6608DFED" w14:textId="77777777" w:rsidR="0054403B" w:rsidRPr="00730B1E" w:rsidRDefault="0054403B" w:rsidP="0054403B">
            <w:pPr>
              <w:spacing w:line="240" w:lineRule="auto"/>
              <w:jc w:val="left"/>
              <w:rPr>
                <w:rFonts w:eastAsia="Times New Roman"/>
                <w:color w:val="000000"/>
                <w:szCs w:val="24"/>
                <w:lang w:eastAsia="cs-CZ"/>
              </w:rPr>
            </w:pPr>
            <w:r w:rsidRPr="00730B1E">
              <w:rPr>
                <w:rFonts w:eastAsia="Times New Roman"/>
                <w:color w:val="000000"/>
                <w:szCs w:val="24"/>
                <w:lang w:eastAsia="cs-CZ"/>
              </w:rPr>
              <w:t>KS Č. Budějovice</w:t>
            </w:r>
          </w:p>
        </w:tc>
        <w:tc>
          <w:tcPr>
            <w:tcW w:w="1531" w:type="dxa"/>
            <w:tcBorders>
              <w:top w:val="nil"/>
              <w:left w:val="nil"/>
              <w:bottom w:val="single" w:sz="4" w:space="0" w:color="auto"/>
              <w:right w:val="nil"/>
            </w:tcBorders>
            <w:shd w:val="clear" w:color="auto" w:fill="auto"/>
            <w:noWrap/>
            <w:vAlign w:val="bottom"/>
            <w:hideMark/>
          </w:tcPr>
          <w:p w14:paraId="7D83680D"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44</w:t>
            </w:r>
          </w:p>
        </w:tc>
        <w:tc>
          <w:tcPr>
            <w:tcW w:w="1528" w:type="dxa"/>
            <w:tcBorders>
              <w:top w:val="nil"/>
              <w:left w:val="nil"/>
              <w:bottom w:val="single" w:sz="4" w:space="0" w:color="auto"/>
              <w:right w:val="nil"/>
            </w:tcBorders>
            <w:shd w:val="clear" w:color="auto" w:fill="auto"/>
            <w:noWrap/>
            <w:vAlign w:val="bottom"/>
            <w:hideMark/>
          </w:tcPr>
          <w:p w14:paraId="353BBC93"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51</w:t>
            </w:r>
          </w:p>
        </w:tc>
        <w:tc>
          <w:tcPr>
            <w:tcW w:w="1528" w:type="dxa"/>
            <w:tcBorders>
              <w:top w:val="nil"/>
              <w:left w:val="nil"/>
              <w:bottom w:val="single" w:sz="4" w:space="0" w:color="auto"/>
              <w:right w:val="nil"/>
            </w:tcBorders>
            <w:shd w:val="clear" w:color="auto" w:fill="auto"/>
            <w:noWrap/>
            <w:vAlign w:val="bottom"/>
            <w:hideMark/>
          </w:tcPr>
          <w:p w14:paraId="4FBE2500" w14:textId="76B4D674"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49,75</w:t>
            </w:r>
          </w:p>
        </w:tc>
        <w:tc>
          <w:tcPr>
            <w:tcW w:w="2237" w:type="dxa"/>
            <w:tcBorders>
              <w:top w:val="nil"/>
              <w:left w:val="nil"/>
              <w:bottom w:val="single" w:sz="4" w:space="0" w:color="auto"/>
              <w:right w:val="nil"/>
            </w:tcBorders>
            <w:shd w:val="clear" w:color="auto" w:fill="auto"/>
            <w:noWrap/>
            <w:vAlign w:val="bottom"/>
            <w:hideMark/>
          </w:tcPr>
          <w:p w14:paraId="4C9E436C" w14:textId="601B81A7" w:rsidR="0054403B" w:rsidRPr="00730B1E" w:rsidRDefault="0054403B" w:rsidP="0054403B">
            <w:pPr>
              <w:spacing w:line="240" w:lineRule="auto"/>
              <w:jc w:val="center"/>
              <w:rPr>
                <w:rFonts w:eastAsia="Times New Roman"/>
                <w:color w:val="000000"/>
                <w:szCs w:val="24"/>
                <w:lang w:eastAsia="cs-CZ"/>
              </w:rPr>
            </w:pPr>
            <w:r>
              <w:rPr>
                <w:color w:val="000000"/>
              </w:rPr>
              <w:t>97,55 %</w:t>
            </w:r>
          </w:p>
        </w:tc>
      </w:tr>
      <w:tr w:rsidR="0054403B" w:rsidRPr="00730B1E" w14:paraId="70C0A3A3" w14:textId="77777777" w:rsidTr="0054403B">
        <w:trPr>
          <w:trHeight w:val="315"/>
        </w:trPr>
        <w:tc>
          <w:tcPr>
            <w:tcW w:w="2080" w:type="dxa"/>
            <w:tcBorders>
              <w:top w:val="nil"/>
              <w:left w:val="nil"/>
              <w:bottom w:val="single" w:sz="4" w:space="0" w:color="auto"/>
              <w:right w:val="nil"/>
            </w:tcBorders>
            <w:shd w:val="clear" w:color="auto" w:fill="auto"/>
            <w:noWrap/>
            <w:vAlign w:val="bottom"/>
            <w:hideMark/>
          </w:tcPr>
          <w:p w14:paraId="7C6EA5DF" w14:textId="77777777" w:rsidR="0054403B" w:rsidRPr="00730B1E" w:rsidRDefault="0054403B" w:rsidP="0054403B">
            <w:pPr>
              <w:spacing w:line="240" w:lineRule="auto"/>
              <w:jc w:val="left"/>
              <w:rPr>
                <w:rFonts w:eastAsia="Times New Roman"/>
                <w:color w:val="000000"/>
                <w:szCs w:val="24"/>
                <w:lang w:eastAsia="cs-CZ"/>
              </w:rPr>
            </w:pPr>
            <w:r w:rsidRPr="00730B1E">
              <w:rPr>
                <w:rFonts w:eastAsia="Times New Roman"/>
                <w:color w:val="000000"/>
                <w:szCs w:val="24"/>
                <w:lang w:eastAsia="cs-CZ"/>
              </w:rPr>
              <w:t>KS Plzeň</w:t>
            </w:r>
          </w:p>
        </w:tc>
        <w:tc>
          <w:tcPr>
            <w:tcW w:w="1531" w:type="dxa"/>
            <w:tcBorders>
              <w:top w:val="nil"/>
              <w:left w:val="nil"/>
              <w:bottom w:val="single" w:sz="4" w:space="0" w:color="auto"/>
              <w:right w:val="nil"/>
            </w:tcBorders>
            <w:shd w:val="clear" w:color="auto" w:fill="auto"/>
            <w:noWrap/>
            <w:vAlign w:val="bottom"/>
            <w:hideMark/>
          </w:tcPr>
          <w:p w14:paraId="3BDE5F70"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74</w:t>
            </w:r>
          </w:p>
        </w:tc>
        <w:tc>
          <w:tcPr>
            <w:tcW w:w="1528" w:type="dxa"/>
            <w:tcBorders>
              <w:top w:val="nil"/>
              <w:left w:val="nil"/>
              <w:bottom w:val="single" w:sz="4" w:space="0" w:color="auto"/>
              <w:right w:val="nil"/>
            </w:tcBorders>
            <w:shd w:val="clear" w:color="auto" w:fill="auto"/>
            <w:noWrap/>
            <w:vAlign w:val="bottom"/>
            <w:hideMark/>
          </w:tcPr>
          <w:p w14:paraId="5D00163D"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74</w:t>
            </w:r>
          </w:p>
        </w:tc>
        <w:tc>
          <w:tcPr>
            <w:tcW w:w="1528" w:type="dxa"/>
            <w:tcBorders>
              <w:top w:val="nil"/>
              <w:left w:val="nil"/>
              <w:bottom w:val="single" w:sz="4" w:space="0" w:color="auto"/>
              <w:right w:val="nil"/>
            </w:tcBorders>
            <w:shd w:val="clear" w:color="auto" w:fill="auto"/>
            <w:noWrap/>
            <w:vAlign w:val="bottom"/>
            <w:hideMark/>
          </w:tcPr>
          <w:p w14:paraId="67621818" w14:textId="5892772A"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73,8</w:t>
            </w:r>
          </w:p>
        </w:tc>
        <w:tc>
          <w:tcPr>
            <w:tcW w:w="2237" w:type="dxa"/>
            <w:tcBorders>
              <w:top w:val="nil"/>
              <w:left w:val="nil"/>
              <w:bottom w:val="single" w:sz="4" w:space="0" w:color="auto"/>
              <w:right w:val="nil"/>
            </w:tcBorders>
            <w:shd w:val="clear" w:color="auto" w:fill="auto"/>
            <w:noWrap/>
            <w:vAlign w:val="bottom"/>
            <w:hideMark/>
          </w:tcPr>
          <w:p w14:paraId="39434D2D" w14:textId="1EC35EAE" w:rsidR="0054403B" w:rsidRPr="00730B1E" w:rsidRDefault="0054403B" w:rsidP="0054403B">
            <w:pPr>
              <w:spacing w:line="240" w:lineRule="auto"/>
              <w:jc w:val="center"/>
              <w:rPr>
                <w:rFonts w:eastAsia="Times New Roman"/>
                <w:color w:val="000000"/>
                <w:szCs w:val="24"/>
                <w:lang w:eastAsia="cs-CZ"/>
              </w:rPr>
            </w:pPr>
            <w:r>
              <w:rPr>
                <w:color w:val="000000"/>
              </w:rPr>
              <w:t>99,73 %</w:t>
            </w:r>
          </w:p>
        </w:tc>
      </w:tr>
      <w:tr w:rsidR="0054403B" w:rsidRPr="00730B1E" w14:paraId="630B8E07" w14:textId="77777777" w:rsidTr="0054403B">
        <w:trPr>
          <w:trHeight w:val="315"/>
        </w:trPr>
        <w:tc>
          <w:tcPr>
            <w:tcW w:w="2080" w:type="dxa"/>
            <w:tcBorders>
              <w:top w:val="nil"/>
              <w:left w:val="nil"/>
              <w:bottom w:val="single" w:sz="4" w:space="0" w:color="auto"/>
              <w:right w:val="nil"/>
            </w:tcBorders>
            <w:shd w:val="clear" w:color="auto" w:fill="auto"/>
            <w:noWrap/>
            <w:vAlign w:val="bottom"/>
            <w:hideMark/>
          </w:tcPr>
          <w:p w14:paraId="29528613" w14:textId="77777777" w:rsidR="0054403B" w:rsidRPr="00730B1E" w:rsidRDefault="0054403B" w:rsidP="0054403B">
            <w:pPr>
              <w:spacing w:line="240" w:lineRule="auto"/>
              <w:jc w:val="left"/>
              <w:rPr>
                <w:rFonts w:eastAsia="Times New Roman"/>
                <w:color w:val="000000"/>
                <w:szCs w:val="24"/>
                <w:lang w:eastAsia="cs-CZ"/>
              </w:rPr>
            </w:pPr>
            <w:r w:rsidRPr="00730B1E">
              <w:rPr>
                <w:rFonts w:eastAsia="Times New Roman"/>
                <w:color w:val="000000"/>
                <w:szCs w:val="24"/>
                <w:lang w:eastAsia="cs-CZ"/>
              </w:rPr>
              <w:t>KS Ústí n. Labem</w:t>
            </w:r>
          </w:p>
        </w:tc>
        <w:tc>
          <w:tcPr>
            <w:tcW w:w="1531" w:type="dxa"/>
            <w:tcBorders>
              <w:top w:val="nil"/>
              <w:left w:val="nil"/>
              <w:bottom w:val="single" w:sz="4" w:space="0" w:color="auto"/>
              <w:right w:val="nil"/>
            </w:tcBorders>
            <w:shd w:val="clear" w:color="auto" w:fill="auto"/>
            <w:noWrap/>
            <w:vAlign w:val="bottom"/>
            <w:hideMark/>
          </w:tcPr>
          <w:p w14:paraId="5DEE4311"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121</w:t>
            </w:r>
          </w:p>
        </w:tc>
        <w:tc>
          <w:tcPr>
            <w:tcW w:w="1528" w:type="dxa"/>
            <w:tcBorders>
              <w:top w:val="nil"/>
              <w:left w:val="nil"/>
              <w:bottom w:val="single" w:sz="4" w:space="0" w:color="auto"/>
              <w:right w:val="nil"/>
            </w:tcBorders>
            <w:shd w:val="clear" w:color="auto" w:fill="auto"/>
            <w:noWrap/>
            <w:vAlign w:val="bottom"/>
            <w:hideMark/>
          </w:tcPr>
          <w:p w14:paraId="188FDDE9"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117</w:t>
            </w:r>
          </w:p>
        </w:tc>
        <w:tc>
          <w:tcPr>
            <w:tcW w:w="1528" w:type="dxa"/>
            <w:tcBorders>
              <w:top w:val="nil"/>
              <w:left w:val="nil"/>
              <w:bottom w:val="single" w:sz="4" w:space="0" w:color="auto"/>
              <w:right w:val="nil"/>
            </w:tcBorders>
            <w:shd w:val="clear" w:color="auto" w:fill="auto"/>
            <w:noWrap/>
            <w:vAlign w:val="bottom"/>
            <w:hideMark/>
          </w:tcPr>
          <w:p w14:paraId="6240FB59" w14:textId="4003FDBE"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120,4</w:t>
            </w:r>
          </w:p>
        </w:tc>
        <w:tc>
          <w:tcPr>
            <w:tcW w:w="2237" w:type="dxa"/>
            <w:tcBorders>
              <w:top w:val="nil"/>
              <w:left w:val="nil"/>
              <w:bottom w:val="single" w:sz="4" w:space="0" w:color="auto"/>
              <w:right w:val="nil"/>
            </w:tcBorders>
            <w:shd w:val="clear" w:color="auto" w:fill="auto"/>
            <w:noWrap/>
            <w:vAlign w:val="bottom"/>
            <w:hideMark/>
          </w:tcPr>
          <w:p w14:paraId="71F77F03" w14:textId="401B45B9" w:rsidR="0054403B" w:rsidRPr="00730B1E" w:rsidRDefault="0054403B" w:rsidP="0054403B">
            <w:pPr>
              <w:spacing w:line="240" w:lineRule="auto"/>
              <w:jc w:val="center"/>
              <w:rPr>
                <w:rFonts w:eastAsia="Times New Roman"/>
                <w:color w:val="000000"/>
                <w:szCs w:val="24"/>
                <w:lang w:eastAsia="cs-CZ"/>
              </w:rPr>
            </w:pPr>
            <w:r>
              <w:rPr>
                <w:color w:val="000000"/>
              </w:rPr>
              <w:t>102,91 %</w:t>
            </w:r>
          </w:p>
        </w:tc>
      </w:tr>
      <w:tr w:rsidR="0054403B" w:rsidRPr="00730B1E" w14:paraId="4B441022" w14:textId="77777777" w:rsidTr="0054403B">
        <w:trPr>
          <w:trHeight w:val="315"/>
        </w:trPr>
        <w:tc>
          <w:tcPr>
            <w:tcW w:w="2080" w:type="dxa"/>
            <w:tcBorders>
              <w:top w:val="nil"/>
              <w:left w:val="nil"/>
              <w:bottom w:val="single" w:sz="4" w:space="0" w:color="auto"/>
              <w:right w:val="nil"/>
            </w:tcBorders>
            <w:shd w:val="clear" w:color="auto" w:fill="auto"/>
            <w:noWrap/>
            <w:vAlign w:val="bottom"/>
            <w:hideMark/>
          </w:tcPr>
          <w:p w14:paraId="4D547D81" w14:textId="77777777" w:rsidR="0054403B" w:rsidRPr="00730B1E" w:rsidRDefault="0054403B" w:rsidP="0054403B">
            <w:pPr>
              <w:spacing w:line="240" w:lineRule="auto"/>
              <w:jc w:val="left"/>
              <w:rPr>
                <w:rFonts w:eastAsia="Times New Roman"/>
                <w:color w:val="000000"/>
                <w:szCs w:val="24"/>
                <w:lang w:eastAsia="cs-CZ"/>
              </w:rPr>
            </w:pPr>
            <w:r w:rsidRPr="00730B1E">
              <w:rPr>
                <w:rFonts w:eastAsia="Times New Roman"/>
                <w:color w:val="000000"/>
                <w:szCs w:val="24"/>
                <w:lang w:eastAsia="cs-CZ"/>
              </w:rPr>
              <w:t>KS Hr. Králové</w:t>
            </w:r>
          </w:p>
        </w:tc>
        <w:tc>
          <w:tcPr>
            <w:tcW w:w="1531" w:type="dxa"/>
            <w:tcBorders>
              <w:top w:val="nil"/>
              <w:left w:val="nil"/>
              <w:bottom w:val="single" w:sz="4" w:space="0" w:color="auto"/>
              <w:right w:val="nil"/>
            </w:tcBorders>
            <w:shd w:val="clear" w:color="auto" w:fill="auto"/>
            <w:noWrap/>
            <w:vAlign w:val="bottom"/>
            <w:hideMark/>
          </w:tcPr>
          <w:p w14:paraId="3D5FAB56"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83</w:t>
            </w:r>
          </w:p>
        </w:tc>
        <w:tc>
          <w:tcPr>
            <w:tcW w:w="1528" w:type="dxa"/>
            <w:tcBorders>
              <w:top w:val="nil"/>
              <w:left w:val="nil"/>
              <w:bottom w:val="single" w:sz="4" w:space="0" w:color="auto"/>
              <w:right w:val="nil"/>
            </w:tcBorders>
            <w:shd w:val="clear" w:color="auto" w:fill="auto"/>
            <w:noWrap/>
            <w:vAlign w:val="bottom"/>
            <w:hideMark/>
          </w:tcPr>
          <w:p w14:paraId="1A3CC42F"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82</w:t>
            </w:r>
          </w:p>
        </w:tc>
        <w:tc>
          <w:tcPr>
            <w:tcW w:w="1528" w:type="dxa"/>
            <w:tcBorders>
              <w:top w:val="nil"/>
              <w:left w:val="nil"/>
              <w:bottom w:val="single" w:sz="4" w:space="0" w:color="auto"/>
              <w:right w:val="nil"/>
            </w:tcBorders>
            <w:shd w:val="clear" w:color="auto" w:fill="auto"/>
            <w:noWrap/>
            <w:vAlign w:val="bottom"/>
            <w:hideMark/>
          </w:tcPr>
          <w:p w14:paraId="283EEC8F" w14:textId="1469B1E6"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80,5</w:t>
            </w:r>
          </w:p>
        </w:tc>
        <w:tc>
          <w:tcPr>
            <w:tcW w:w="2237" w:type="dxa"/>
            <w:tcBorders>
              <w:top w:val="nil"/>
              <w:left w:val="nil"/>
              <w:bottom w:val="single" w:sz="4" w:space="0" w:color="auto"/>
              <w:right w:val="nil"/>
            </w:tcBorders>
            <w:shd w:val="clear" w:color="auto" w:fill="auto"/>
            <w:noWrap/>
            <w:vAlign w:val="bottom"/>
            <w:hideMark/>
          </w:tcPr>
          <w:p w14:paraId="1105E73E" w14:textId="6DB97767" w:rsidR="0054403B" w:rsidRPr="00730B1E" w:rsidRDefault="0054403B" w:rsidP="0054403B">
            <w:pPr>
              <w:spacing w:line="240" w:lineRule="auto"/>
              <w:jc w:val="center"/>
              <w:rPr>
                <w:rFonts w:eastAsia="Times New Roman"/>
                <w:color w:val="000000"/>
                <w:szCs w:val="24"/>
                <w:lang w:eastAsia="cs-CZ"/>
              </w:rPr>
            </w:pPr>
            <w:r>
              <w:rPr>
                <w:color w:val="000000"/>
              </w:rPr>
              <w:t>98,17 %</w:t>
            </w:r>
          </w:p>
        </w:tc>
      </w:tr>
      <w:tr w:rsidR="0054403B" w:rsidRPr="00730B1E" w14:paraId="2D5FAD0D" w14:textId="77777777" w:rsidTr="0054403B">
        <w:trPr>
          <w:trHeight w:val="315"/>
        </w:trPr>
        <w:tc>
          <w:tcPr>
            <w:tcW w:w="2080" w:type="dxa"/>
            <w:tcBorders>
              <w:top w:val="nil"/>
              <w:left w:val="nil"/>
              <w:bottom w:val="single" w:sz="4" w:space="0" w:color="auto"/>
              <w:right w:val="nil"/>
            </w:tcBorders>
            <w:shd w:val="clear" w:color="auto" w:fill="auto"/>
            <w:noWrap/>
            <w:vAlign w:val="bottom"/>
            <w:hideMark/>
          </w:tcPr>
          <w:p w14:paraId="0D2BC14B" w14:textId="77777777" w:rsidR="0054403B" w:rsidRPr="00730B1E" w:rsidRDefault="0054403B" w:rsidP="0054403B">
            <w:pPr>
              <w:spacing w:line="240" w:lineRule="auto"/>
              <w:jc w:val="left"/>
              <w:rPr>
                <w:rFonts w:eastAsia="Times New Roman"/>
                <w:color w:val="000000"/>
                <w:szCs w:val="24"/>
                <w:lang w:eastAsia="cs-CZ"/>
              </w:rPr>
            </w:pPr>
            <w:r w:rsidRPr="00730B1E">
              <w:rPr>
                <w:rFonts w:eastAsia="Times New Roman"/>
                <w:color w:val="000000"/>
                <w:szCs w:val="24"/>
                <w:lang w:eastAsia="cs-CZ"/>
              </w:rPr>
              <w:t>KS Brno</w:t>
            </w:r>
          </w:p>
        </w:tc>
        <w:tc>
          <w:tcPr>
            <w:tcW w:w="1531" w:type="dxa"/>
            <w:tcBorders>
              <w:top w:val="nil"/>
              <w:left w:val="nil"/>
              <w:bottom w:val="single" w:sz="4" w:space="0" w:color="auto"/>
              <w:right w:val="nil"/>
            </w:tcBorders>
            <w:shd w:val="clear" w:color="auto" w:fill="auto"/>
            <w:noWrap/>
            <w:vAlign w:val="bottom"/>
            <w:hideMark/>
          </w:tcPr>
          <w:p w14:paraId="62A32506"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149</w:t>
            </w:r>
          </w:p>
        </w:tc>
        <w:tc>
          <w:tcPr>
            <w:tcW w:w="1528" w:type="dxa"/>
            <w:tcBorders>
              <w:top w:val="nil"/>
              <w:left w:val="nil"/>
              <w:bottom w:val="single" w:sz="4" w:space="0" w:color="auto"/>
              <w:right w:val="nil"/>
            </w:tcBorders>
            <w:shd w:val="clear" w:color="auto" w:fill="auto"/>
            <w:noWrap/>
            <w:vAlign w:val="bottom"/>
            <w:hideMark/>
          </w:tcPr>
          <w:p w14:paraId="27D03BA9"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157</w:t>
            </w:r>
          </w:p>
        </w:tc>
        <w:tc>
          <w:tcPr>
            <w:tcW w:w="1528" w:type="dxa"/>
            <w:tcBorders>
              <w:top w:val="nil"/>
              <w:left w:val="nil"/>
              <w:bottom w:val="single" w:sz="4" w:space="0" w:color="auto"/>
              <w:right w:val="nil"/>
            </w:tcBorders>
            <w:shd w:val="clear" w:color="auto" w:fill="auto"/>
            <w:noWrap/>
            <w:vAlign w:val="bottom"/>
            <w:hideMark/>
          </w:tcPr>
          <w:p w14:paraId="7A8D8C1F" w14:textId="1A0A9345"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164,5</w:t>
            </w:r>
          </w:p>
        </w:tc>
        <w:tc>
          <w:tcPr>
            <w:tcW w:w="2237" w:type="dxa"/>
            <w:tcBorders>
              <w:top w:val="nil"/>
              <w:left w:val="nil"/>
              <w:bottom w:val="single" w:sz="4" w:space="0" w:color="auto"/>
              <w:right w:val="nil"/>
            </w:tcBorders>
            <w:shd w:val="clear" w:color="auto" w:fill="auto"/>
            <w:noWrap/>
            <w:vAlign w:val="bottom"/>
            <w:hideMark/>
          </w:tcPr>
          <w:p w14:paraId="23457747" w14:textId="09A0252F" w:rsidR="0054403B" w:rsidRPr="00730B1E" w:rsidRDefault="0054403B" w:rsidP="0054403B">
            <w:pPr>
              <w:spacing w:line="240" w:lineRule="auto"/>
              <w:jc w:val="center"/>
              <w:rPr>
                <w:rFonts w:eastAsia="Times New Roman"/>
                <w:color w:val="000000"/>
                <w:szCs w:val="24"/>
                <w:lang w:eastAsia="cs-CZ"/>
              </w:rPr>
            </w:pPr>
            <w:r>
              <w:rPr>
                <w:color w:val="000000"/>
              </w:rPr>
              <w:t>104,78 %</w:t>
            </w:r>
          </w:p>
        </w:tc>
      </w:tr>
      <w:tr w:rsidR="0054403B" w:rsidRPr="00730B1E" w14:paraId="632EC920" w14:textId="77777777" w:rsidTr="0054403B">
        <w:trPr>
          <w:trHeight w:val="330"/>
        </w:trPr>
        <w:tc>
          <w:tcPr>
            <w:tcW w:w="2080" w:type="dxa"/>
            <w:tcBorders>
              <w:top w:val="nil"/>
              <w:left w:val="nil"/>
              <w:bottom w:val="double" w:sz="6" w:space="0" w:color="auto"/>
              <w:right w:val="nil"/>
            </w:tcBorders>
            <w:shd w:val="clear" w:color="auto" w:fill="auto"/>
            <w:noWrap/>
            <w:vAlign w:val="bottom"/>
            <w:hideMark/>
          </w:tcPr>
          <w:p w14:paraId="4A7E893D" w14:textId="77777777" w:rsidR="0054403B" w:rsidRPr="00730B1E" w:rsidRDefault="0054403B" w:rsidP="0054403B">
            <w:pPr>
              <w:spacing w:line="240" w:lineRule="auto"/>
              <w:jc w:val="left"/>
              <w:rPr>
                <w:rFonts w:eastAsia="Times New Roman"/>
                <w:color w:val="000000"/>
                <w:szCs w:val="24"/>
                <w:lang w:eastAsia="cs-CZ"/>
              </w:rPr>
            </w:pPr>
            <w:r w:rsidRPr="00730B1E">
              <w:rPr>
                <w:rFonts w:eastAsia="Times New Roman"/>
                <w:color w:val="000000"/>
                <w:szCs w:val="24"/>
                <w:lang w:eastAsia="cs-CZ"/>
              </w:rPr>
              <w:t>KS Ostrava</w:t>
            </w:r>
          </w:p>
        </w:tc>
        <w:tc>
          <w:tcPr>
            <w:tcW w:w="1531" w:type="dxa"/>
            <w:tcBorders>
              <w:top w:val="nil"/>
              <w:left w:val="nil"/>
              <w:bottom w:val="double" w:sz="6" w:space="0" w:color="auto"/>
              <w:right w:val="nil"/>
            </w:tcBorders>
            <w:shd w:val="clear" w:color="auto" w:fill="auto"/>
            <w:noWrap/>
            <w:vAlign w:val="bottom"/>
            <w:hideMark/>
          </w:tcPr>
          <w:p w14:paraId="7363C7DE"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150</w:t>
            </w:r>
          </w:p>
        </w:tc>
        <w:tc>
          <w:tcPr>
            <w:tcW w:w="1528" w:type="dxa"/>
            <w:tcBorders>
              <w:top w:val="nil"/>
              <w:left w:val="nil"/>
              <w:bottom w:val="double" w:sz="6" w:space="0" w:color="auto"/>
              <w:right w:val="nil"/>
            </w:tcBorders>
            <w:shd w:val="clear" w:color="auto" w:fill="auto"/>
            <w:noWrap/>
            <w:vAlign w:val="bottom"/>
            <w:hideMark/>
          </w:tcPr>
          <w:p w14:paraId="55F78044" w14:textId="77777777"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139</w:t>
            </w:r>
          </w:p>
        </w:tc>
        <w:tc>
          <w:tcPr>
            <w:tcW w:w="1528" w:type="dxa"/>
            <w:tcBorders>
              <w:top w:val="nil"/>
              <w:left w:val="nil"/>
              <w:bottom w:val="double" w:sz="6" w:space="0" w:color="auto"/>
              <w:right w:val="nil"/>
            </w:tcBorders>
            <w:shd w:val="clear" w:color="auto" w:fill="auto"/>
            <w:noWrap/>
            <w:vAlign w:val="bottom"/>
            <w:hideMark/>
          </w:tcPr>
          <w:p w14:paraId="13008AD8" w14:textId="4D46625B" w:rsidR="0054403B" w:rsidRPr="00730B1E" w:rsidRDefault="0054403B" w:rsidP="0054403B">
            <w:pPr>
              <w:spacing w:line="240" w:lineRule="auto"/>
              <w:jc w:val="center"/>
              <w:rPr>
                <w:rFonts w:eastAsia="Times New Roman"/>
                <w:color w:val="000000"/>
                <w:szCs w:val="24"/>
                <w:lang w:eastAsia="cs-CZ"/>
              </w:rPr>
            </w:pPr>
            <w:r w:rsidRPr="00730B1E">
              <w:rPr>
                <w:rFonts w:eastAsia="Times New Roman"/>
                <w:color w:val="000000"/>
                <w:szCs w:val="24"/>
                <w:lang w:eastAsia="cs-CZ"/>
              </w:rPr>
              <w:t>137,72</w:t>
            </w:r>
          </w:p>
        </w:tc>
        <w:tc>
          <w:tcPr>
            <w:tcW w:w="2237" w:type="dxa"/>
            <w:tcBorders>
              <w:top w:val="nil"/>
              <w:left w:val="nil"/>
              <w:bottom w:val="single" w:sz="4" w:space="0" w:color="auto"/>
              <w:right w:val="nil"/>
            </w:tcBorders>
            <w:shd w:val="clear" w:color="auto" w:fill="auto"/>
            <w:noWrap/>
            <w:vAlign w:val="bottom"/>
            <w:hideMark/>
          </w:tcPr>
          <w:p w14:paraId="16DB47A7" w14:textId="45EEB61E" w:rsidR="0054403B" w:rsidRPr="00730B1E" w:rsidRDefault="0054403B" w:rsidP="0054403B">
            <w:pPr>
              <w:spacing w:line="240" w:lineRule="auto"/>
              <w:jc w:val="center"/>
              <w:rPr>
                <w:rFonts w:eastAsia="Times New Roman"/>
                <w:color w:val="000000"/>
                <w:szCs w:val="24"/>
                <w:lang w:eastAsia="cs-CZ"/>
              </w:rPr>
            </w:pPr>
            <w:r>
              <w:rPr>
                <w:color w:val="000000"/>
              </w:rPr>
              <w:t>99,08 %</w:t>
            </w:r>
          </w:p>
        </w:tc>
      </w:tr>
      <w:tr w:rsidR="0054403B" w:rsidRPr="00730B1E" w14:paraId="6AFFC313" w14:textId="77777777" w:rsidTr="0054403B">
        <w:trPr>
          <w:trHeight w:val="345"/>
        </w:trPr>
        <w:tc>
          <w:tcPr>
            <w:tcW w:w="2080" w:type="dxa"/>
            <w:tcBorders>
              <w:top w:val="nil"/>
              <w:left w:val="nil"/>
              <w:bottom w:val="double" w:sz="6" w:space="0" w:color="auto"/>
              <w:right w:val="nil"/>
            </w:tcBorders>
            <w:shd w:val="clear" w:color="auto" w:fill="auto"/>
            <w:noWrap/>
            <w:vAlign w:val="bottom"/>
            <w:hideMark/>
          </w:tcPr>
          <w:p w14:paraId="14E6B4A8" w14:textId="77777777" w:rsidR="0054403B" w:rsidRPr="00730B1E" w:rsidRDefault="0054403B" w:rsidP="0054403B">
            <w:pPr>
              <w:spacing w:line="240" w:lineRule="auto"/>
              <w:jc w:val="left"/>
              <w:rPr>
                <w:rFonts w:eastAsia="Times New Roman"/>
                <w:b/>
                <w:bCs/>
                <w:color w:val="000000"/>
                <w:szCs w:val="24"/>
                <w:lang w:eastAsia="cs-CZ"/>
              </w:rPr>
            </w:pPr>
            <w:r w:rsidRPr="00730B1E">
              <w:rPr>
                <w:rFonts w:eastAsia="Times New Roman"/>
                <w:b/>
                <w:bCs/>
                <w:color w:val="000000"/>
                <w:szCs w:val="24"/>
                <w:lang w:eastAsia="cs-CZ"/>
              </w:rPr>
              <w:t>Celkem ČR</w:t>
            </w:r>
          </w:p>
        </w:tc>
        <w:tc>
          <w:tcPr>
            <w:tcW w:w="1531" w:type="dxa"/>
            <w:tcBorders>
              <w:top w:val="nil"/>
              <w:left w:val="nil"/>
              <w:bottom w:val="double" w:sz="6" w:space="0" w:color="auto"/>
              <w:right w:val="nil"/>
            </w:tcBorders>
            <w:shd w:val="clear" w:color="auto" w:fill="auto"/>
            <w:noWrap/>
            <w:vAlign w:val="bottom"/>
            <w:hideMark/>
          </w:tcPr>
          <w:p w14:paraId="71AD5750" w14:textId="77777777" w:rsidR="0054403B" w:rsidRPr="00730B1E" w:rsidRDefault="0054403B" w:rsidP="0054403B">
            <w:pPr>
              <w:spacing w:line="240" w:lineRule="auto"/>
              <w:jc w:val="center"/>
              <w:rPr>
                <w:rFonts w:eastAsia="Times New Roman"/>
                <w:b/>
                <w:bCs/>
                <w:color w:val="000000"/>
                <w:szCs w:val="24"/>
                <w:lang w:eastAsia="cs-CZ"/>
              </w:rPr>
            </w:pPr>
            <w:r w:rsidRPr="00730B1E">
              <w:rPr>
                <w:rFonts w:eastAsia="Times New Roman"/>
                <w:b/>
                <w:bCs/>
                <w:color w:val="000000"/>
                <w:szCs w:val="24"/>
                <w:lang w:eastAsia="cs-CZ"/>
              </w:rPr>
              <w:t>958</w:t>
            </w:r>
          </w:p>
        </w:tc>
        <w:tc>
          <w:tcPr>
            <w:tcW w:w="1528" w:type="dxa"/>
            <w:tcBorders>
              <w:top w:val="nil"/>
              <w:left w:val="nil"/>
              <w:bottom w:val="double" w:sz="6" w:space="0" w:color="auto"/>
              <w:right w:val="nil"/>
            </w:tcBorders>
            <w:shd w:val="clear" w:color="auto" w:fill="auto"/>
            <w:noWrap/>
            <w:vAlign w:val="bottom"/>
            <w:hideMark/>
          </w:tcPr>
          <w:p w14:paraId="21FB8071" w14:textId="77777777" w:rsidR="0054403B" w:rsidRPr="00730B1E" w:rsidRDefault="0054403B" w:rsidP="0054403B">
            <w:pPr>
              <w:spacing w:line="240" w:lineRule="auto"/>
              <w:jc w:val="center"/>
              <w:rPr>
                <w:rFonts w:eastAsia="Times New Roman"/>
                <w:b/>
                <w:bCs/>
                <w:color w:val="000000"/>
                <w:szCs w:val="24"/>
                <w:lang w:eastAsia="cs-CZ"/>
              </w:rPr>
            </w:pPr>
            <w:r w:rsidRPr="00730B1E">
              <w:rPr>
                <w:rFonts w:eastAsia="Times New Roman"/>
                <w:b/>
                <w:bCs/>
                <w:color w:val="000000"/>
                <w:szCs w:val="24"/>
                <w:lang w:eastAsia="cs-CZ"/>
              </w:rPr>
              <w:t>936</w:t>
            </w:r>
          </w:p>
        </w:tc>
        <w:tc>
          <w:tcPr>
            <w:tcW w:w="1528" w:type="dxa"/>
            <w:tcBorders>
              <w:top w:val="nil"/>
              <w:left w:val="nil"/>
              <w:bottom w:val="double" w:sz="6" w:space="0" w:color="auto"/>
              <w:right w:val="nil"/>
            </w:tcBorders>
            <w:shd w:val="clear" w:color="auto" w:fill="auto"/>
            <w:noWrap/>
            <w:vAlign w:val="bottom"/>
            <w:hideMark/>
          </w:tcPr>
          <w:p w14:paraId="487B2393" w14:textId="22F5C5AD" w:rsidR="0054403B" w:rsidRPr="00730B1E" w:rsidRDefault="0054403B" w:rsidP="0054403B">
            <w:pPr>
              <w:spacing w:line="240" w:lineRule="auto"/>
              <w:jc w:val="center"/>
              <w:rPr>
                <w:rFonts w:eastAsia="Times New Roman"/>
                <w:b/>
                <w:bCs/>
                <w:color w:val="000000"/>
                <w:szCs w:val="24"/>
                <w:lang w:eastAsia="cs-CZ"/>
              </w:rPr>
            </w:pPr>
            <w:r w:rsidRPr="00730B1E">
              <w:rPr>
                <w:rFonts w:eastAsia="Times New Roman"/>
                <w:b/>
                <w:bCs/>
                <w:color w:val="000000"/>
                <w:szCs w:val="24"/>
                <w:lang w:eastAsia="cs-CZ"/>
              </w:rPr>
              <w:t>953,57</w:t>
            </w:r>
          </w:p>
        </w:tc>
        <w:tc>
          <w:tcPr>
            <w:tcW w:w="2237" w:type="dxa"/>
            <w:tcBorders>
              <w:top w:val="double" w:sz="6" w:space="0" w:color="auto"/>
              <w:left w:val="nil"/>
              <w:bottom w:val="double" w:sz="6" w:space="0" w:color="auto"/>
              <w:right w:val="nil"/>
            </w:tcBorders>
            <w:shd w:val="clear" w:color="auto" w:fill="auto"/>
            <w:noWrap/>
            <w:vAlign w:val="bottom"/>
            <w:hideMark/>
          </w:tcPr>
          <w:p w14:paraId="3710A4E8" w14:textId="71A48A17" w:rsidR="0054403B" w:rsidRPr="00730B1E" w:rsidRDefault="0054403B" w:rsidP="0054403B">
            <w:pPr>
              <w:spacing w:line="240" w:lineRule="auto"/>
              <w:jc w:val="center"/>
              <w:rPr>
                <w:rFonts w:eastAsia="Times New Roman"/>
                <w:b/>
                <w:bCs/>
                <w:color w:val="000000"/>
                <w:szCs w:val="24"/>
                <w:lang w:eastAsia="cs-CZ"/>
              </w:rPr>
            </w:pPr>
            <w:r>
              <w:rPr>
                <w:b/>
                <w:bCs/>
                <w:color w:val="000000"/>
              </w:rPr>
              <w:t>101,88 %</w:t>
            </w:r>
          </w:p>
        </w:tc>
      </w:tr>
    </w:tbl>
    <w:p w14:paraId="7E4A1333" w14:textId="34096583" w:rsidR="00F405D9" w:rsidRPr="00730B1E" w:rsidRDefault="008C5F8F" w:rsidP="00E22139">
      <w:r w:rsidRPr="00730B1E">
        <w:lastRenderedPageBreak/>
        <w:t>S</w:t>
      </w:r>
      <w:r w:rsidR="00574E93" w:rsidRPr="00730B1E">
        <w:t xml:space="preserve">ituace </w:t>
      </w:r>
      <w:r w:rsidRPr="00730B1E">
        <w:t>krajských soudů</w:t>
      </w:r>
      <w:r w:rsidR="00574E93" w:rsidRPr="00730B1E">
        <w:t xml:space="preserve"> je odlišná od soudů</w:t>
      </w:r>
      <w:r w:rsidRPr="00730B1E">
        <w:t xml:space="preserve"> okresních</w:t>
      </w:r>
      <w:r w:rsidR="00574E93" w:rsidRPr="00730B1E">
        <w:t xml:space="preserve">. Zatímco u okresních soudů byl počet skutečných soudců citelně nižší než plánovaný a evidenční počet soudců, </w:t>
      </w:r>
      <w:r w:rsidRPr="00730B1E">
        <w:t xml:space="preserve">u krajských soudů </w:t>
      </w:r>
      <w:r w:rsidR="00684166" w:rsidRPr="00730B1E">
        <w:t xml:space="preserve">tomu </w:t>
      </w:r>
      <w:r w:rsidR="00574E93" w:rsidRPr="00730B1E">
        <w:t xml:space="preserve">tak není </w:t>
      </w:r>
      <w:r w:rsidRPr="00730B1E">
        <w:t>a</w:t>
      </w:r>
      <w:r w:rsidR="00574E93" w:rsidRPr="00730B1E">
        <w:t xml:space="preserve"> </w:t>
      </w:r>
      <w:r w:rsidRPr="00730B1E">
        <w:t>p</w:t>
      </w:r>
      <w:r w:rsidR="00574E93" w:rsidRPr="00730B1E">
        <w:t>očty jsou poměrně vyrovnané. Mezi jednotlivými soudy jsou ale značné rozdíly – 2 soudy mají skutečn</w:t>
      </w:r>
      <w:r w:rsidRPr="00730B1E">
        <w:t xml:space="preserve">é počty soudců </w:t>
      </w:r>
      <w:r w:rsidR="00574E93" w:rsidRPr="00730B1E">
        <w:t xml:space="preserve">znatelně </w:t>
      </w:r>
      <w:r w:rsidR="00EC3ED8" w:rsidRPr="00730B1E">
        <w:t>nižší,</w:t>
      </w:r>
      <w:r w:rsidR="00574E93" w:rsidRPr="00730B1E">
        <w:t xml:space="preserve"> než počet plánovaných soudců, 3 soudy asi stejný a 3 soudy citelně vyšší. Analyzovat tento jev ale přesahuje účel Výroční statistické zprávy.</w:t>
      </w:r>
      <w:r w:rsidR="00EC3ED8" w:rsidRPr="00730B1E">
        <w:t xml:space="preserve"> Roli zde určitě hraje dopad načasování jmenovacích etap a dopad stážistů z OS, který má tendenci zvyšovat skutečné počty. Protisměrný dopad mají nepřítomnosti (MD/RD, stáže u vyšších soudů, nemoci, dočasná zproštění).</w:t>
      </w:r>
    </w:p>
    <w:p w14:paraId="2F50D7D4" w14:textId="62017351" w:rsidR="004931EC" w:rsidRPr="00730B1E" w:rsidRDefault="004931EC" w:rsidP="004931EC">
      <w:pPr>
        <w:pStyle w:val="OdstavecASR"/>
      </w:pPr>
      <w:r w:rsidRPr="00730B1E">
        <w:t>Poměr velikosti soudních úseků je také poměrně stab</w:t>
      </w:r>
      <w:r w:rsidR="00826C46" w:rsidRPr="00730B1E">
        <w:t xml:space="preserve">ilní. U krajských soudů sledujeme výrazně více kategorií (agend), než u soudů okresních. </w:t>
      </w:r>
      <w:r w:rsidR="008C5F8F" w:rsidRPr="00730B1E">
        <w:t xml:space="preserve">V této souvislosti je třeba </w:t>
      </w:r>
      <w:r w:rsidR="00826C46" w:rsidRPr="00730B1E">
        <w:t>upozornit na to, že obchodní úsek nezahrnuje insolvenční agendu a insolvenční agenda nezahrnuje rejstřík ICm (incidenční spory).</w:t>
      </w:r>
    </w:p>
    <w:p w14:paraId="581097F8" w14:textId="0EE0329B" w:rsidR="004931EC" w:rsidRPr="00730B1E" w:rsidRDefault="004931EC" w:rsidP="004931EC">
      <w:pPr>
        <w:pStyle w:val="Podnadpis"/>
        <w:numPr>
          <w:ilvl w:val="0"/>
          <w:numId w:val="0"/>
        </w:numPr>
        <w:rPr>
          <w:color w:val="auto"/>
        </w:rPr>
      </w:pPr>
      <w:bookmarkStart w:id="694" w:name="_Toc169250972"/>
      <w:bookmarkStart w:id="695" w:name="_Toc17408065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53</w:t>
      </w:r>
      <w:r w:rsidRPr="00730B1E">
        <w:rPr>
          <w:color w:val="auto"/>
        </w:rPr>
        <w:fldChar w:fldCharType="end"/>
      </w:r>
      <w:r w:rsidRPr="00730B1E">
        <w:rPr>
          <w:color w:val="auto"/>
        </w:rPr>
        <w:t xml:space="preserve">: </w:t>
      </w:r>
      <w:r w:rsidR="00A15D97" w:rsidRPr="00730B1E">
        <w:rPr>
          <w:color w:val="auto"/>
        </w:rPr>
        <w:t>K</w:t>
      </w:r>
      <w:r w:rsidRPr="00730B1E">
        <w:rPr>
          <w:color w:val="auto"/>
        </w:rPr>
        <w:t xml:space="preserve">S – </w:t>
      </w:r>
      <w:r w:rsidR="000601BB" w:rsidRPr="00730B1E">
        <w:rPr>
          <w:color w:val="auto"/>
        </w:rPr>
        <w:t xml:space="preserve">skutečný </w:t>
      </w:r>
      <w:r w:rsidRPr="00730B1E">
        <w:rPr>
          <w:color w:val="auto"/>
        </w:rPr>
        <w:t>počet soudců dle úseků v roce 2023</w:t>
      </w:r>
      <w:bookmarkEnd w:id="694"/>
      <w:bookmarkEnd w:id="695"/>
    </w:p>
    <w:p w14:paraId="44F54676" w14:textId="0E5CF91D" w:rsidR="00F405D9" w:rsidRPr="00730B1E" w:rsidRDefault="00EC3ED8" w:rsidP="00E22139">
      <w:r w:rsidRPr="00730B1E">
        <w:rPr>
          <w:noProof/>
          <w:lang w:eastAsia="cs-CZ"/>
        </w:rPr>
        <w:drawing>
          <wp:inline distT="0" distB="0" distL="0" distR="0" wp14:anchorId="6DBFD105" wp14:editId="46498AC1">
            <wp:extent cx="5029200" cy="3657600"/>
            <wp:effectExtent l="0" t="0" r="0" b="0"/>
            <wp:docPr id="176" name="Obráze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441456" w14:textId="77777777" w:rsidR="00F405D9" w:rsidRPr="00730B1E" w:rsidRDefault="00F405D9" w:rsidP="00E22139"/>
    <w:p w14:paraId="2B1F5A54" w14:textId="202979D4" w:rsidR="00826C46" w:rsidRPr="00730B1E" w:rsidRDefault="00826C46" w:rsidP="00826C46">
      <w:pPr>
        <w:pStyle w:val="OdstavecASR"/>
      </w:pPr>
      <w:r w:rsidRPr="00730B1E">
        <w:t>Z</w:t>
      </w:r>
      <w:r w:rsidR="00D5779E" w:rsidRPr="00730B1E">
        <w:t> </w:t>
      </w:r>
      <w:r w:rsidRPr="00730B1E">
        <w:t>grafu</w:t>
      </w:r>
      <w:r w:rsidR="00D5779E" w:rsidRPr="00730B1E">
        <w:t xml:space="preserve"> a z následující tabulky</w:t>
      </w:r>
      <w:r w:rsidRPr="00730B1E">
        <w:t xml:space="preserve"> lze vyčíst poměrně velké množství informací. Například:</w:t>
      </w:r>
    </w:p>
    <w:p w14:paraId="3D9C0070" w14:textId="7EC14078" w:rsidR="00EC3ED8" w:rsidRPr="00730B1E" w:rsidRDefault="00EC3ED8" w:rsidP="00EC3ED8">
      <w:pPr>
        <w:pStyle w:val="OdstavecASR"/>
        <w:numPr>
          <w:ilvl w:val="0"/>
          <w:numId w:val="23"/>
        </w:numPr>
      </w:pPr>
      <w:r w:rsidRPr="00730B1E">
        <w:t>Asi 41 % soudců vyřizuje civilní agendu, přibližně 25 % působí na trestním úseku, cca 22 % se zabývá obchodní agendou (včetně insolvencí a incidenčních sporů) a zbytek (12 %) jsou soudci správní.</w:t>
      </w:r>
    </w:p>
    <w:p w14:paraId="4E6C3D4B" w14:textId="1350960C" w:rsidR="00826C46" w:rsidRPr="00730B1E" w:rsidRDefault="00826C46" w:rsidP="00A94F8F">
      <w:pPr>
        <w:pStyle w:val="OdstavecASR"/>
        <w:numPr>
          <w:ilvl w:val="0"/>
          <w:numId w:val="23"/>
        </w:numPr>
      </w:pPr>
      <w:r w:rsidRPr="00730B1E">
        <w:t>Velmi malý počet soudců vyřizuje prvostupňovou civilní agendu</w:t>
      </w:r>
      <w:r w:rsidR="00047C91" w:rsidRPr="00730B1E">
        <w:t xml:space="preserve"> (představuje v zásadě jen rejstřík C)</w:t>
      </w:r>
      <w:r w:rsidRPr="00730B1E">
        <w:t xml:space="preserve">, naopak civilní odvolací agenda </w:t>
      </w:r>
      <w:r w:rsidR="00047C91" w:rsidRPr="00730B1E">
        <w:t xml:space="preserve">(kde se rozhoduje </w:t>
      </w:r>
      <w:r w:rsidR="00B95486" w:rsidRPr="00730B1E">
        <w:t>v</w:t>
      </w:r>
      <w:r w:rsidR="00047C91" w:rsidRPr="00730B1E">
        <w:t> tříčle</w:t>
      </w:r>
      <w:r w:rsidR="00801F5D" w:rsidRPr="00730B1E">
        <w:t>n</w:t>
      </w:r>
      <w:r w:rsidR="00047C91" w:rsidRPr="00730B1E">
        <w:t xml:space="preserve">ných </w:t>
      </w:r>
      <w:r w:rsidR="00B95486" w:rsidRPr="00730B1E">
        <w:t>senátech</w:t>
      </w:r>
      <w:r w:rsidR="00047C91" w:rsidRPr="00730B1E">
        <w:t>)</w:t>
      </w:r>
      <w:r w:rsidR="008C5F8F" w:rsidRPr="00730B1E">
        <w:t xml:space="preserve"> je nejobsáhlejší</w:t>
      </w:r>
      <w:r w:rsidRPr="00730B1E">
        <w:t>.</w:t>
      </w:r>
    </w:p>
    <w:p w14:paraId="29325B8E" w14:textId="04C7F78C" w:rsidR="00826C46" w:rsidRPr="00730B1E" w:rsidRDefault="00826C46" w:rsidP="00A94F8F">
      <w:pPr>
        <w:pStyle w:val="OdstavecASR"/>
        <w:numPr>
          <w:ilvl w:val="0"/>
          <w:numId w:val="23"/>
        </w:numPr>
      </w:pPr>
      <w:r w:rsidRPr="00730B1E">
        <w:t xml:space="preserve">V trestní agendě jsou </w:t>
      </w:r>
      <w:r w:rsidR="008C5F8F" w:rsidRPr="00730B1E">
        <w:t xml:space="preserve">si </w:t>
      </w:r>
      <w:r w:rsidRPr="00730B1E">
        <w:t xml:space="preserve">počty soudců mnohem </w:t>
      </w:r>
      <w:r w:rsidR="008C5F8F" w:rsidRPr="00730B1E">
        <w:t>bližší</w:t>
      </w:r>
      <w:r w:rsidRPr="00730B1E">
        <w:t>, ale odvolací agendu stále vyřizuje více soudců než agendu prvostupňovou</w:t>
      </w:r>
      <w:r w:rsidR="00047C91" w:rsidRPr="00730B1E">
        <w:t>; o odvol</w:t>
      </w:r>
      <w:r w:rsidR="00842141" w:rsidRPr="00730B1E">
        <w:t>á</w:t>
      </w:r>
      <w:r w:rsidR="00047C91" w:rsidRPr="00730B1E">
        <w:t>ních a stížnostech rozhoduje senát</w:t>
      </w:r>
      <w:r w:rsidR="00DC4D27" w:rsidRPr="00730B1E">
        <w:t xml:space="preserve"> </w:t>
      </w:r>
      <w:r w:rsidR="00DC4D27" w:rsidRPr="00730B1E">
        <w:lastRenderedPageBreak/>
        <w:t>o</w:t>
      </w:r>
      <w:r w:rsidR="008C5F8F" w:rsidRPr="00730B1E">
        <w:t> </w:t>
      </w:r>
      <w:r w:rsidR="00047C91" w:rsidRPr="00730B1E">
        <w:t>3 soudc</w:t>
      </w:r>
      <w:r w:rsidR="00DC4D27" w:rsidRPr="00730B1E">
        <w:t>ích</w:t>
      </w:r>
      <w:r w:rsidR="008C5F8F" w:rsidRPr="00730B1E">
        <w:t xml:space="preserve">, zatímco prvostupňovou agendu řeší </w:t>
      </w:r>
      <w:r w:rsidR="00047C91" w:rsidRPr="00730B1E">
        <w:t xml:space="preserve">vždy </w:t>
      </w:r>
      <w:r w:rsidR="008C5F8F" w:rsidRPr="00730B1E">
        <w:t>jeden</w:t>
      </w:r>
      <w:r w:rsidR="00047C91" w:rsidRPr="00730B1E">
        <w:t xml:space="preserve"> soudc</w:t>
      </w:r>
      <w:r w:rsidR="008C5F8F" w:rsidRPr="00730B1E">
        <w:t>e</w:t>
      </w:r>
      <w:r w:rsidR="00047C91" w:rsidRPr="00730B1E">
        <w:t xml:space="preserve"> jako samosoudc</w:t>
      </w:r>
      <w:r w:rsidR="008C5F8F" w:rsidRPr="00730B1E">
        <w:t>e</w:t>
      </w:r>
      <w:r w:rsidR="00047C91" w:rsidRPr="00730B1E">
        <w:t xml:space="preserve"> nebo předsed</w:t>
      </w:r>
      <w:r w:rsidR="008C5F8F" w:rsidRPr="00730B1E">
        <w:t>a</w:t>
      </w:r>
      <w:r w:rsidR="00047C91" w:rsidRPr="00730B1E">
        <w:t xml:space="preserve"> senátu se dvěma přísedícími</w:t>
      </w:r>
      <w:r w:rsidRPr="00730B1E">
        <w:t>.</w:t>
      </w:r>
    </w:p>
    <w:p w14:paraId="4E037155" w14:textId="77777777" w:rsidR="00826C46" w:rsidRPr="00730B1E" w:rsidRDefault="00826C46" w:rsidP="00826C46">
      <w:pPr>
        <w:pStyle w:val="OdstavecASR"/>
      </w:pPr>
    </w:p>
    <w:p w14:paraId="2FC65EB6" w14:textId="51480912" w:rsidR="00ED1B5D" w:rsidRPr="00730B1E" w:rsidRDefault="00ED1B5D" w:rsidP="00ED1B5D">
      <w:pPr>
        <w:pStyle w:val="Podnadpis"/>
        <w:numPr>
          <w:ilvl w:val="0"/>
          <w:numId w:val="0"/>
        </w:numPr>
        <w:rPr>
          <w:color w:val="auto"/>
        </w:rPr>
      </w:pPr>
      <w:bookmarkStart w:id="696" w:name="_Toc169251091"/>
      <w:bookmarkStart w:id="697" w:name="_Toc174080777"/>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34</w:t>
      </w:r>
      <w:r w:rsidRPr="00730B1E">
        <w:rPr>
          <w:color w:val="auto"/>
        </w:rPr>
        <w:fldChar w:fldCharType="end"/>
      </w:r>
      <w:r w:rsidRPr="00730B1E">
        <w:rPr>
          <w:color w:val="auto"/>
        </w:rPr>
        <w:t xml:space="preserve">: </w:t>
      </w:r>
      <w:r w:rsidR="00A15D97" w:rsidRPr="00730B1E">
        <w:rPr>
          <w:color w:val="auto"/>
        </w:rPr>
        <w:t>K</w:t>
      </w:r>
      <w:r w:rsidRPr="00730B1E">
        <w:rPr>
          <w:color w:val="auto"/>
        </w:rPr>
        <w:t>S – počet soudců dle úseků a krajů</w:t>
      </w:r>
      <w:bookmarkEnd w:id="696"/>
      <w:bookmarkEnd w:id="697"/>
    </w:p>
    <w:tbl>
      <w:tblPr>
        <w:tblW w:w="9214" w:type="dxa"/>
        <w:tblCellMar>
          <w:left w:w="70" w:type="dxa"/>
          <w:right w:w="70" w:type="dxa"/>
        </w:tblCellMar>
        <w:tblLook w:val="04A0" w:firstRow="1" w:lastRow="0" w:firstColumn="1" w:lastColumn="0" w:noHBand="0" w:noVBand="1"/>
      </w:tblPr>
      <w:tblGrid>
        <w:gridCol w:w="2080"/>
        <w:gridCol w:w="1540"/>
        <w:gridCol w:w="1342"/>
        <w:gridCol w:w="1540"/>
        <w:gridCol w:w="1436"/>
        <w:gridCol w:w="1276"/>
      </w:tblGrid>
      <w:tr w:rsidR="00B64E96" w:rsidRPr="00730B1E" w14:paraId="44E803F5" w14:textId="77777777" w:rsidTr="00EC3ED8">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38F1D37B" w14:textId="03AAA9C7" w:rsidR="00ED1B5D" w:rsidRPr="00730B1E" w:rsidRDefault="002856BC" w:rsidP="00ED1B5D">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7134" w:type="dxa"/>
            <w:gridSpan w:val="5"/>
            <w:tcBorders>
              <w:top w:val="double" w:sz="6" w:space="0" w:color="auto"/>
              <w:left w:val="nil"/>
              <w:bottom w:val="nil"/>
              <w:right w:val="nil"/>
            </w:tcBorders>
            <w:shd w:val="clear" w:color="auto" w:fill="auto"/>
            <w:vAlign w:val="center"/>
            <w:hideMark/>
          </w:tcPr>
          <w:p w14:paraId="304AE961"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Skutečný počet úvazků</w:t>
            </w:r>
          </w:p>
        </w:tc>
      </w:tr>
      <w:tr w:rsidR="00B64E96" w:rsidRPr="00730B1E" w14:paraId="3C652C7B" w14:textId="77777777" w:rsidTr="00EC3ED8">
        <w:trPr>
          <w:trHeight w:val="645"/>
        </w:trPr>
        <w:tc>
          <w:tcPr>
            <w:tcW w:w="2080" w:type="dxa"/>
            <w:vMerge/>
            <w:tcBorders>
              <w:top w:val="double" w:sz="6" w:space="0" w:color="auto"/>
              <w:left w:val="nil"/>
              <w:bottom w:val="double" w:sz="6" w:space="0" w:color="000000"/>
              <w:right w:val="nil"/>
            </w:tcBorders>
            <w:vAlign w:val="center"/>
            <w:hideMark/>
          </w:tcPr>
          <w:p w14:paraId="13ECA00E" w14:textId="77777777" w:rsidR="00ED1B5D" w:rsidRPr="00730B1E" w:rsidRDefault="00ED1B5D" w:rsidP="00ED1B5D">
            <w:pPr>
              <w:spacing w:line="240" w:lineRule="auto"/>
              <w:jc w:val="left"/>
              <w:rPr>
                <w:rFonts w:eastAsia="Times New Roman"/>
                <w:b/>
                <w:bCs/>
                <w:szCs w:val="24"/>
                <w:lang w:eastAsia="cs-CZ"/>
              </w:rPr>
            </w:pPr>
          </w:p>
        </w:tc>
        <w:tc>
          <w:tcPr>
            <w:tcW w:w="1540" w:type="dxa"/>
            <w:tcBorders>
              <w:top w:val="nil"/>
              <w:left w:val="nil"/>
              <w:bottom w:val="double" w:sz="6" w:space="0" w:color="auto"/>
              <w:right w:val="nil"/>
            </w:tcBorders>
            <w:shd w:val="clear" w:color="auto" w:fill="auto"/>
            <w:vAlign w:val="center"/>
            <w:hideMark/>
          </w:tcPr>
          <w:p w14:paraId="77C4E896" w14:textId="41EA786C"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Civilní prvostupňov</w:t>
            </w:r>
            <w:r w:rsidR="00EC3ED8" w:rsidRPr="00730B1E">
              <w:rPr>
                <w:rFonts w:eastAsia="Times New Roman"/>
                <w:b/>
                <w:bCs/>
                <w:szCs w:val="24"/>
                <w:lang w:eastAsia="cs-CZ"/>
              </w:rPr>
              <w:t>ý</w:t>
            </w:r>
          </w:p>
        </w:tc>
        <w:tc>
          <w:tcPr>
            <w:tcW w:w="1342" w:type="dxa"/>
            <w:tcBorders>
              <w:top w:val="nil"/>
              <w:left w:val="nil"/>
              <w:bottom w:val="double" w:sz="6" w:space="0" w:color="auto"/>
              <w:right w:val="nil"/>
            </w:tcBorders>
            <w:shd w:val="clear" w:color="auto" w:fill="auto"/>
            <w:vAlign w:val="center"/>
            <w:hideMark/>
          </w:tcPr>
          <w:p w14:paraId="581BC8D6"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Civilní odvolací</w:t>
            </w:r>
          </w:p>
        </w:tc>
        <w:tc>
          <w:tcPr>
            <w:tcW w:w="1540" w:type="dxa"/>
            <w:tcBorders>
              <w:top w:val="nil"/>
              <w:left w:val="nil"/>
              <w:bottom w:val="double" w:sz="6" w:space="0" w:color="auto"/>
              <w:right w:val="nil"/>
            </w:tcBorders>
            <w:shd w:val="clear" w:color="auto" w:fill="auto"/>
            <w:vAlign w:val="center"/>
            <w:hideMark/>
          </w:tcPr>
          <w:p w14:paraId="3CF4ADCE" w14:textId="1CE2F876"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Trestní prvostupňov</w:t>
            </w:r>
            <w:r w:rsidR="00EC3ED8" w:rsidRPr="00730B1E">
              <w:rPr>
                <w:rFonts w:eastAsia="Times New Roman"/>
                <w:b/>
                <w:bCs/>
                <w:szCs w:val="24"/>
                <w:lang w:eastAsia="cs-CZ"/>
              </w:rPr>
              <w:t>ý</w:t>
            </w:r>
          </w:p>
        </w:tc>
        <w:tc>
          <w:tcPr>
            <w:tcW w:w="1436" w:type="dxa"/>
            <w:tcBorders>
              <w:top w:val="nil"/>
              <w:left w:val="nil"/>
              <w:bottom w:val="double" w:sz="6" w:space="0" w:color="auto"/>
              <w:right w:val="nil"/>
            </w:tcBorders>
            <w:shd w:val="clear" w:color="auto" w:fill="auto"/>
            <w:vAlign w:val="center"/>
            <w:hideMark/>
          </w:tcPr>
          <w:p w14:paraId="11BC9F8A"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Trestní odvolací</w:t>
            </w:r>
          </w:p>
        </w:tc>
        <w:tc>
          <w:tcPr>
            <w:tcW w:w="1276" w:type="dxa"/>
            <w:tcBorders>
              <w:top w:val="nil"/>
              <w:left w:val="nil"/>
              <w:bottom w:val="double" w:sz="6" w:space="0" w:color="auto"/>
              <w:right w:val="nil"/>
            </w:tcBorders>
            <w:shd w:val="clear" w:color="auto" w:fill="auto"/>
            <w:vAlign w:val="center"/>
            <w:hideMark/>
          </w:tcPr>
          <w:p w14:paraId="0C413399"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Obchodní</w:t>
            </w:r>
          </w:p>
        </w:tc>
      </w:tr>
      <w:tr w:rsidR="00B64E96" w:rsidRPr="00730B1E" w14:paraId="40B5F21A" w14:textId="77777777" w:rsidTr="00EC3ED8">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1068317E"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MS Praha</w:t>
            </w:r>
          </w:p>
        </w:tc>
        <w:tc>
          <w:tcPr>
            <w:tcW w:w="1540" w:type="dxa"/>
            <w:tcBorders>
              <w:top w:val="single" w:sz="4" w:space="0" w:color="auto"/>
              <w:left w:val="nil"/>
              <w:bottom w:val="single" w:sz="4" w:space="0" w:color="auto"/>
              <w:right w:val="nil"/>
            </w:tcBorders>
            <w:shd w:val="clear" w:color="auto" w:fill="auto"/>
            <w:noWrap/>
            <w:vAlign w:val="bottom"/>
            <w:hideMark/>
          </w:tcPr>
          <w:p w14:paraId="083F7B34" w14:textId="3A27F04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0,8</w:t>
            </w:r>
          </w:p>
        </w:tc>
        <w:tc>
          <w:tcPr>
            <w:tcW w:w="1342" w:type="dxa"/>
            <w:tcBorders>
              <w:top w:val="single" w:sz="4" w:space="0" w:color="auto"/>
              <w:left w:val="nil"/>
              <w:bottom w:val="single" w:sz="4" w:space="0" w:color="auto"/>
              <w:right w:val="nil"/>
            </w:tcBorders>
            <w:shd w:val="clear" w:color="auto" w:fill="auto"/>
            <w:noWrap/>
            <w:vAlign w:val="bottom"/>
            <w:hideMark/>
          </w:tcPr>
          <w:p w14:paraId="066637DC" w14:textId="0997CAA0"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95,0</w:t>
            </w:r>
          </w:p>
        </w:tc>
        <w:tc>
          <w:tcPr>
            <w:tcW w:w="1540" w:type="dxa"/>
            <w:tcBorders>
              <w:top w:val="single" w:sz="4" w:space="0" w:color="auto"/>
              <w:left w:val="nil"/>
              <w:bottom w:val="single" w:sz="4" w:space="0" w:color="auto"/>
              <w:right w:val="nil"/>
            </w:tcBorders>
            <w:shd w:val="clear" w:color="auto" w:fill="auto"/>
            <w:noWrap/>
            <w:vAlign w:val="bottom"/>
            <w:hideMark/>
          </w:tcPr>
          <w:p w14:paraId="1A79AEB8" w14:textId="37C7B4DE"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18,7</w:t>
            </w:r>
          </w:p>
        </w:tc>
        <w:tc>
          <w:tcPr>
            <w:tcW w:w="1436" w:type="dxa"/>
            <w:tcBorders>
              <w:top w:val="single" w:sz="4" w:space="0" w:color="auto"/>
              <w:left w:val="nil"/>
              <w:bottom w:val="single" w:sz="4" w:space="0" w:color="auto"/>
              <w:right w:val="nil"/>
            </w:tcBorders>
            <w:shd w:val="clear" w:color="auto" w:fill="auto"/>
            <w:noWrap/>
            <w:vAlign w:val="bottom"/>
            <w:hideMark/>
          </w:tcPr>
          <w:p w14:paraId="49307A5F" w14:textId="5A49EF7D"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21,3</w:t>
            </w:r>
          </w:p>
        </w:tc>
        <w:tc>
          <w:tcPr>
            <w:tcW w:w="1276" w:type="dxa"/>
            <w:tcBorders>
              <w:top w:val="single" w:sz="4" w:space="0" w:color="auto"/>
              <w:left w:val="nil"/>
              <w:bottom w:val="single" w:sz="4" w:space="0" w:color="auto"/>
              <w:right w:val="nil"/>
            </w:tcBorders>
            <w:shd w:val="clear" w:color="auto" w:fill="auto"/>
            <w:noWrap/>
            <w:vAlign w:val="bottom"/>
            <w:hideMark/>
          </w:tcPr>
          <w:p w14:paraId="63D36AD2" w14:textId="700212DC"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26,5</w:t>
            </w:r>
          </w:p>
        </w:tc>
      </w:tr>
      <w:tr w:rsidR="00B64E96" w:rsidRPr="00730B1E" w14:paraId="674EF46D"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1F1593EF"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Praha</w:t>
            </w:r>
          </w:p>
        </w:tc>
        <w:tc>
          <w:tcPr>
            <w:tcW w:w="1540" w:type="dxa"/>
            <w:tcBorders>
              <w:top w:val="nil"/>
              <w:left w:val="nil"/>
              <w:bottom w:val="single" w:sz="4" w:space="0" w:color="auto"/>
              <w:right w:val="nil"/>
            </w:tcBorders>
            <w:shd w:val="clear" w:color="auto" w:fill="auto"/>
            <w:noWrap/>
            <w:vAlign w:val="bottom"/>
            <w:hideMark/>
          </w:tcPr>
          <w:p w14:paraId="19D8EC0D" w14:textId="323191F6"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0,4</w:t>
            </w:r>
          </w:p>
        </w:tc>
        <w:tc>
          <w:tcPr>
            <w:tcW w:w="1342" w:type="dxa"/>
            <w:tcBorders>
              <w:top w:val="nil"/>
              <w:left w:val="nil"/>
              <w:bottom w:val="single" w:sz="4" w:space="0" w:color="auto"/>
              <w:right w:val="nil"/>
            </w:tcBorders>
            <w:shd w:val="clear" w:color="auto" w:fill="auto"/>
            <w:noWrap/>
            <w:vAlign w:val="bottom"/>
            <w:hideMark/>
          </w:tcPr>
          <w:p w14:paraId="31E4795A" w14:textId="09AB6071"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48,6</w:t>
            </w:r>
          </w:p>
        </w:tc>
        <w:tc>
          <w:tcPr>
            <w:tcW w:w="1540" w:type="dxa"/>
            <w:tcBorders>
              <w:top w:val="nil"/>
              <w:left w:val="nil"/>
              <w:bottom w:val="single" w:sz="4" w:space="0" w:color="auto"/>
              <w:right w:val="nil"/>
            </w:tcBorders>
            <w:shd w:val="clear" w:color="auto" w:fill="auto"/>
            <w:noWrap/>
            <w:vAlign w:val="bottom"/>
            <w:hideMark/>
          </w:tcPr>
          <w:p w14:paraId="2510483D" w14:textId="1B14078D"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5,9</w:t>
            </w:r>
          </w:p>
        </w:tc>
        <w:tc>
          <w:tcPr>
            <w:tcW w:w="1436" w:type="dxa"/>
            <w:tcBorders>
              <w:top w:val="nil"/>
              <w:left w:val="nil"/>
              <w:bottom w:val="single" w:sz="4" w:space="0" w:color="auto"/>
              <w:right w:val="nil"/>
            </w:tcBorders>
            <w:shd w:val="clear" w:color="auto" w:fill="auto"/>
            <w:noWrap/>
            <w:vAlign w:val="bottom"/>
            <w:hideMark/>
          </w:tcPr>
          <w:p w14:paraId="7CB01E21" w14:textId="4160C11B"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18,0</w:t>
            </w:r>
          </w:p>
        </w:tc>
        <w:tc>
          <w:tcPr>
            <w:tcW w:w="1276" w:type="dxa"/>
            <w:tcBorders>
              <w:top w:val="nil"/>
              <w:left w:val="nil"/>
              <w:bottom w:val="single" w:sz="4" w:space="0" w:color="auto"/>
              <w:right w:val="nil"/>
            </w:tcBorders>
            <w:shd w:val="clear" w:color="auto" w:fill="auto"/>
            <w:noWrap/>
            <w:vAlign w:val="bottom"/>
            <w:hideMark/>
          </w:tcPr>
          <w:p w14:paraId="0B80CD41" w14:textId="31E9EC70"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1,6</w:t>
            </w:r>
          </w:p>
        </w:tc>
      </w:tr>
      <w:tr w:rsidR="00B64E96" w:rsidRPr="00730B1E" w14:paraId="5E99B1C1"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5B03F42E"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Č. Budějovice</w:t>
            </w:r>
          </w:p>
        </w:tc>
        <w:tc>
          <w:tcPr>
            <w:tcW w:w="1540" w:type="dxa"/>
            <w:tcBorders>
              <w:top w:val="nil"/>
              <w:left w:val="nil"/>
              <w:bottom w:val="single" w:sz="4" w:space="0" w:color="auto"/>
              <w:right w:val="nil"/>
            </w:tcBorders>
            <w:shd w:val="clear" w:color="auto" w:fill="auto"/>
            <w:noWrap/>
            <w:vAlign w:val="bottom"/>
            <w:hideMark/>
          </w:tcPr>
          <w:p w14:paraId="41BB68D8" w14:textId="528F55F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0,5</w:t>
            </w:r>
          </w:p>
        </w:tc>
        <w:tc>
          <w:tcPr>
            <w:tcW w:w="1342" w:type="dxa"/>
            <w:tcBorders>
              <w:top w:val="nil"/>
              <w:left w:val="nil"/>
              <w:bottom w:val="single" w:sz="4" w:space="0" w:color="auto"/>
              <w:right w:val="nil"/>
            </w:tcBorders>
            <w:shd w:val="clear" w:color="auto" w:fill="auto"/>
            <w:noWrap/>
            <w:vAlign w:val="bottom"/>
            <w:hideMark/>
          </w:tcPr>
          <w:p w14:paraId="4DB20208" w14:textId="597C970A"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19,8</w:t>
            </w:r>
          </w:p>
        </w:tc>
        <w:tc>
          <w:tcPr>
            <w:tcW w:w="1540" w:type="dxa"/>
            <w:tcBorders>
              <w:top w:val="nil"/>
              <w:left w:val="nil"/>
              <w:bottom w:val="single" w:sz="4" w:space="0" w:color="auto"/>
              <w:right w:val="nil"/>
            </w:tcBorders>
            <w:shd w:val="clear" w:color="auto" w:fill="auto"/>
            <w:noWrap/>
            <w:vAlign w:val="bottom"/>
            <w:hideMark/>
          </w:tcPr>
          <w:p w14:paraId="4104C566" w14:textId="76D06386"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5,2</w:t>
            </w:r>
          </w:p>
        </w:tc>
        <w:tc>
          <w:tcPr>
            <w:tcW w:w="1436" w:type="dxa"/>
            <w:tcBorders>
              <w:top w:val="nil"/>
              <w:left w:val="nil"/>
              <w:bottom w:val="single" w:sz="4" w:space="0" w:color="auto"/>
              <w:right w:val="nil"/>
            </w:tcBorders>
            <w:shd w:val="clear" w:color="auto" w:fill="auto"/>
            <w:noWrap/>
            <w:vAlign w:val="bottom"/>
            <w:hideMark/>
          </w:tcPr>
          <w:p w14:paraId="6F15A162" w14:textId="5E21F76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9,8</w:t>
            </w:r>
          </w:p>
        </w:tc>
        <w:tc>
          <w:tcPr>
            <w:tcW w:w="1276" w:type="dxa"/>
            <w:tcBorders>
              <w:top w:val="nil"/>
              <w:left w:val="nil"/>
              <w:bottom w:val="single" w:sz="4" w:space="0" w:color="auto"/>
              <w:right w:val="nil"/>
            </w:tcBorders>
            <w:shd w:val="clear" w:color="auto" w:fill="auto"/>
            <w:noWrap/>
            <w:vAlign w:val="bottom"/>
            <w:hideMark/>
          </w:tcPr>
          <w:p w14:paraId="2BDD29CF" w14:textId="50F8C386"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2,0</w:t>
            </w:r>
          </w:p>
        </w:tc>
      </w:tr>
      <w:tr w:rsidR="00B64E96" w:rsidRPr="00730B1E" w14:paraId="241B86FE"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494524DC"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Plzeň</w:t>
            </w:r>
          </w:p>
        </w:tc>
        <w:tc>
          <w:tcPr>
            <w:tcW w:w="1540" w:type="dxa"/>
            <w:tcBorders>
              <w:top w:val="nil"/>
              <w:left w:val="nil"/>
              <w:bottom w:val="single" w:sz="4" w:space="0" w:color="auto"/>
              <w:right w:val="nil"/>
            </w:tcBorders>
            <w:shd w:val="clear" w:color="auto" w:fill="auto"/>
            <w:noWrap/>
            <w:vAlign w:val="bottom"/>
            <w:hideMark/>
          </w:tcPr>
          <w:p w14:paraId="7CA3ED66" w14:textId="0FFB84C7"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1,0</w:t>
            </w:r>
          </w:p>
        </w:tc>
        <w:tc>
          <w:tcPr>
            <w:tcW w:w="1342" w:type="dxa"/>
            <w:tcBorders>
              <w:top w:val="nil"/>
              <w:left w:val="nil"/>
              <w:bottom w:val="single" w:sz="4" w:space="0" w:color="auto"/>
              <w:right w:val="nil"/>
            </w:tcBorders>
            <w:shd w:val="clear" w:color="auto" w:fill="auto"/>
            <w:noWrap/>
            <w:vAlign w:val="bottom"/>
            <w:hideMark/>
          </w:tcPr>
          <w:p w14:paraId="37D76E52" w14:textId="04BBF00D"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25,5</w:t>
            </w:r>
          </w:p>
        </w:tc>
        <w:tc>
          <w:tcPr>
            <w:tcW w:w="1540" w:type="dxa"/>
            <w:tcBorders>
              <w:top w:val="nil"/>
              <w:left w:val="nil"/>
              <w:bottom w:val="single" w:sz="4" w:space="0" w:color="auto"/>
              <w:right w:val="nil"/>
            </w:tcBorders>
            <w:shd w:val="clear" w:color="auto" w:fill="auto"/>
            <w:noWrap/>
            <w:vAlign w:val="bottom"/>
            <w:hideMark/>
          </w:tcPr>
          <w:p w14:paraId="5EB01AD3" w14:textId="2151D0A7"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6,0</w:t>
            </w:r>
          </w:p>
        </w:tc>
        <w:tc>
          <w:tcPr>
            <w:tcW w:w="1436" w:type="dxa"/>
            <w:tcBorders>
              <w:top w:val="nil"/>
              <w:left w:val="nil"/>
              <w:bottom w:val="single" w:sz="4" w:space="0" w:color="auto"/>
              <w:right w:val="nil"/>
            </w:tcBorders>
            <w:shd w:val="clear" w:color="auto" w:fill="auto"/>
            <w:noWrap/>
            <w:vAlign w:val="bottom"/>
            <w:hideMark/>
          </w:tcPr>
          <w:p w14:paraId="25020518" w14:textId="54C155FD"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17,3</w:t>
            </w:r>
          </w:p>
        </w:tc>
        <w:tc>
          <w:tcPr>
            <w:tcW w:w="1276" w:type="dxa"/>
            <w:tcBorders>
              <w:top w:val="nil"/>
              <w:left w:val="nil"/>
              <w:bottom w:val="single" w:sz="4" w:space="0" w:color="auto"/>
              <w:right w:val="nil"/>
            </w:tcBorders>
            <w:shd w:val="clear" w:color="auto" w:fill="auto"/>
            <w:noWrap/>
            <w:vAlign w:val="bottom"/>
            <w:hideMark/>
          </w:tcPr>
          <w:p w14:paraId="598A2789" w14:textId="371C36CE"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4,0</w:t>
            </w:r>
          </w:p>
        </w:tc>
      </w:tr>
      <w:tr w:rsidR="00B64E96" w:rsidRPr="00730B1E" w14:paraId="1CFF311F"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4F16780B"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Ústí n. Labem</w:t>
            </w:r>
          </w:p>
        </w:tc>
        <w:tc>
          <w:tcPr>
            <w:tcW w:w="1540" w:type="dxa"/>
            <w:tcBorders>
              <w:top w:val="nil"/>
              <w:left w:val="nil"/>
              <w:bottom w:val="single" w:sz="4" w:space="0" w:color="auto"/>
              <w:right w:val="nil"/>
            </w:tcBorders>
            <w:shd w:val="clear" w:color="auto" w:fill="auto"/>
            <w:noWrap/>
            <w:vAlign w:val="bottom"/>
            <w:hideMark/>
          </w:tcPr>
          <w:p w14:paraId="2C08198F" w14:textId="5726E181"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1,3</w:t>
            </w:r>
          </w:p>
        </w:tc>
        <w:tc>
          <w:tcPr>
            <w:tcW w:w="1342" w:type="dxa"/>
            <w:tcBorders>
              <w:top w:val="nil"/>
              <w:left w:val="nil"/>
              <w:bottom w:val="single" w:sz="4" w:space="0" w:color="auto"/>
              <w:right w:val="nil"/>
            </w:tcBorders>
            <w:shd w:val="clear" w:color="auto" w:fill="auto"/>
            <w:noWrap/>
            <w:vAlign w:val="bottom"/>
            <w:hideMark/>
          </w:tcPr>
          <w:p w14:paraId="4DC95B70" w14:textId="41667AFD"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45,4</w:t>
            </w:r>
          </w:p>
        </w:tc>
        <w:tc>
          <w:tcPr>
            <w:tcW w:w="1540" w:type="dxa"/>
            <w:tcBorders>
              <w:top w:val="nil"/>
              <w:left w:val="nil"/>
              <w:bottom w:val="single" w:sz="4" w:space="0" w:color="auto"/>
              <w:right w:val="nil"/>
            </w:tcBorders>
            <w:shd w:val="clear" w:color="auto" w:fill="auto"/>
            <w:noWrap/>
            <w:vAlign w:val="bottom"/>
            <w:hideMark/>
          </w:tcPr>
          <w:p w14:paraId="40C5C562" w14:textId="0C6D7FED"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14,0</w:t>
            </w:r>
          </w:p>
        </w:tc>
        <w:tc>
          <w:tcPr>
            <w:tcW w:w="1436" w:type="dxa"/>
            <w:tcBorders>
              <w:top w:val="nil"/>
              <w:left w:val="nil"/>
              <w:bottom w:val="single" w:sz="4" w:space="0" w:color="auto"/>
              <w:right w:val="nil"/>
            </w:tcBorders>
            <w:shd w:val="clear" w:color="auto" w:fill="auto"/>
            <w:noWrap/>
            <w:vAlign w:val="bottom"/>
            <w:hideMark/>
          </w:tcPr>
          <w:p w14:paraId="7E321771" w14:textId="7ECE7C96"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22,8</w:t>
            </w:r>
          </w:p>
        </w:tc>
        <w:tc>
          <w:tcPr>
            <w:tcW w:w="1276" w:type="dxa"/>
            <w:tcBorders>
              <w:top w:val="nil"/>
              <w:left w:val="nil"/>
              <w:bottom w:val="single" w:sz="4" w:space="0" w:color="auto"/>
              <w:right w:val="nil"/>
            </w:tcBorders>
            <w:shd w:val="clear" w:color="auto" w:fill="auto"/>
            <w:noWrap/>
            <w:vAlign w:val="bottom"/>
            <w:hideMark/>
          </w:tcPr>
          <w:p w14:paraId="62BA37E5" w14:textId="4092EF4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5,5</w:t>
            </w:r>
          </w:p>
        </w:tc>
      </w:tr>
      <w:tr w:rsidR="00B64E96" w:rsidRPr="00730B1E" w14:paraId="28AABCAF"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050C3F71"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Hr. Králové</w:t>
            </w:r>
          </w:p>
        </w:tc>
        <w:tc>
          <w:tcPr>
            <w:tcW w:w="1540" w:type="dxa"/>
            <w:tcBorders>
              <w:top w:val="nil"/>
              <w:left w:val="nil"/>
              <w:bottom w:val="single" w:sz="4" w:space="0" w:color="auto"/>
              <w:right w:val="nil"/>
            </w:tcBorders>
            <w:shd w:val="clear" w:color="auto" w:fill="auto"/>
            <w:noWrap/>
            <w:vAlign w:val="bottom"/>
            <w:hideMark/>
          </w:tcPr>
          <w:p w14:paraId="41EA88F9" w14:textId="4E9E728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0,4</w:t>
            </w:r>
          </w:p>
        </w:tc>
        <w:tc>
          <w:tcPr>
            <w:tcW w:w="1342" w:type="dxa"/>
            <w:tcBorders>
              <w:top w:val="nil"/>
              <w:left w:val="nil"/>
              <w:bottom w:val="single" w:sz="4" w:space="0" w:color="auto"/>
              <w:right w:val="nil"/>
            </w:tcBorders>
            <w:shd w:val="clear" w:color="auto" w:fill="auto"/>
            <w:noWrap/>
            <w:vAlign w:val="bottom"/>
            <w:hideMark/>
          </w:tcPr>
          <w:p w14:paraId="5D9597C4" w14:textId="030C773A"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29,9</w:t>
            </w:r>
          </w:p>
        </w:tc>
        <w:tc>
          <w:tcPr>
            <w:tcW w:w="1540" w:type="dxa"/>
            <w:tcBorders>
              <w:top w:val="nil"/>
              <w:left w:val="nil"/>
              <w:bottom w:val="single" w:sz="4" w:space="0" w:color="auto"/>
              <w:right w:val="nil"/>
            </w:tcBorders>
            <w:shd w:val="clear" w:color="auto" w:fill="auto"/>
            <w:noWrap/>
            <w:vAlign w:val="bottom"/>
            <w:hideMark/>
          </w:tcPr>
          <w:p w14:paraId="4EEC15D7" w14:textId="7DEE0BDA"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7,4</w:t>
            </w:r>
          </w:p>
        </w:tc>
        <w:tc>
          <w:tcPr>
            <w:tcW w:w="1436" w:type="dxa"/>
            <w:tcBorders>
              <w:top w:val="nil"/>
              <w:left w:val="nil"/>
              <w:bottom w:val="single" w:sz="4" w:space="0" w:color="auto"/>
              <w:right w:val="nil"/>
            </w:tcBorders>
            <w:shd w:val="clear" w:color="auto" w:fill="auto"/>
            <w:noWrap/>
            <w:vAlign w:val="bottom"/>
            <w:hideMark/>
          </w:tcPr>
          <w:p w14:paraId="520EB890" w14:textId="15C1954E"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14,0</w:t>
            </w:r>
          </w:p>
        </w:tc>
        <w:tc>
          <w:tcPr>
            <w:tcW w:w="1276" w:type="dxa"/>
            <w:tcBorders>
              <w:top w:val="nil"/>
              <w:left w:val="nil"/>
              <w:bottom w:val="single" w:sz="4" w:space="0" w:color="auto"/>
              <w:right w:val="nil"/>
            </w:tcBorders>
            <w:shd w:val="clear" w:color="auto" w:fill="auto"/>
            <w:noWrap/>
            <w:vAlign w:val="bottom"/>
            <w:hideMark/>
          </w:tcPr>
          <w:p w14:paraId="19CB55E4" w14:textId="3C5FD53E"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5,1</w:t>
            </w:r>
          </w:p>
        </w:tc>
      </w:tr>
      <w:tr w:rsidR="00B64E96" w:rsidRPr="00730B1E" w14:paraId="2AEB95C5"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39154989"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Brno</w:t>
            </w:r>
          </w:p>
        </w:tc>
        <w:tc>
          <w:tcPr>
            <w:tcW w:w="1540" w:type="dxa"/>
            <w:tcBorders>
              <w:top w:val="nil"/>
              <w:left w:val="nil"/>
              <w:bottom w:val="single" w:sz="4" w:space="0" w:color="auto"/>
              <w:right w:val="nil"/>
            </w:tcBorders>
            <w:shd w:val="clear" w:color="auto" w:fill="auto"/>
            <w:noWrap/>
            <w:vAlign w:val="bottom"/>
            <w:hideMark/>
          </w:tcPr>
          <w:p w14:paraId="00B2DCF2" w14:textId="4FD19D60"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6,0</w:t>
            </w:r>
          </w:p>
        </w:tc>
        <w:tc>
          <w:tcPr>
            <w:tcW w:w="1342" w:type="dxa"/>
            <w:tcBorders>
              <w:top w:val="nil"/>
              <w:left w:val="nil"/>
              <w:bottom w:val="single" w:sz="4" w:space="0" w:color="auto"/>
              <w:right w:val="nil"/>
            </w:tcBorders>
            <w:shd w:val="clear" w:color="auto" w:fill="auto"/>
            <w:noWrap/>
            <w:vAlign w:val="bottom"/>
            <w:hideMark/>
          </w:tcPr>
          <w:p w14:paraId="68D2F106" w14:textId="11328F78"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72,0</w:t>
            </w:r>
          </w:p>
        </w:tc>
        <w:tc>
          <w:tcPr>
            <w:tcW w:w="1540" w:type="dxa"/>
            <w:tcBorders>
              <w:top w:val="nil"/>
              <w:left w:val="nil"/>
              <w:bottom w:val="single" w:sz="4" w:space="0" w:color="auto"/>
              <w:right w:val="nil"/>
            </w:tcBorders>
            <w:shd w:val="clear" w:color="auto" w:fill="auto"/>
            <w:noWrap/>
            <w:vAlign w:val="bottom"/>
            <w:hideMark/>
          </w:tcPr>
          <w:p w14:paraId="7F756D76" w14:textId="0C4E51DB"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13,0</w:t>
            </w:r>
          </w:p>
        </w:tc>
        <w:tc>
          <w:tcPr>
            <w:tcW w:w="1436" w:type="dxa"/>
            <w:tcBorders>
              <w:top w:val="nil"/>
              <w:left w:val="nil"/>
              <w:bottom w:val="single" w:sz="4" w:space="0" w:color="auto"/>
              <w:right w:val="nil"/>
            </w:tcBorders>
            <w:shd w:val="clear" w:color="auto" w:fill="auto"/>
            <w:noWrap/>
            <w:vAlign w:val="bottom"/>
            <w:hideMark/>
          </w:tcPr>
          <w:p w14:paraId="56F53DF4" w14:textId="2771EB81"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22,0</w:t>
            </w:r>
          </w:p>
        </w:tc>
        <w:tc>
          <w:tcPr>
            <w:tcW w:w="1276" w:type="dxa"/>
            <w:tcBorders>
              <w:top w:val="nil"/>
              <w:left w:val="nil"/>
              <w:bottom w:val="single" w:sz="4" w:space="0" w:color="auto"/>
              <w:right w:val="nil"/>
            </w:tcBorders>
            <w:shd w:val="clear" w:color="auto" w:fill="auto"/>
            <w:noWrap/>
            <w:vAlign w:val="bottom"/>
            <w:hideMark/>
          </w:tcPr>
          <w:p w14:paraId="19569DAC" w14:textId="1FB4DC95"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11,0</w:t>
            </w:r>
          </w:p>
        </w:tc>
      </w:tr>
      <w:tr w:rsidR="00B64E96" w:rsidRPr="00730B1E" w14:paraId="060A614A" w14:textId="77777777" w:rsidTr="00EC3ED8">
        <w:trPr>
          <w:trHeight w:val="330"/>
        </w:trPr>
        <w:tc>
          <w:tcPr>
            <w:tcW w:w="2080" w:type="dxa"/>
            <w:tcBorders>
              <w:top w:val="nil"/>
              <w:left w:val="nil"/>
              <w:bottom w:val="double" w:sz="6" w:space="0" w:color="auto"/>
              <w:right w:val="nil"/>
            </w:tcBorders>
            <w:shd w:val="clear" w:color="auto" w:fill="auto"/>
            <w:noWrap/>
            <w:vAlign w:val="bottom"/>
            <w:hideMark/>
          </w:tcPr>
          <w:p w14:paraId="2ADD6894"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Ostrava</w:t>
            </w:r>
          </w:p>
        </w:tc>
        <w:tc>
          <w:tcPr>
            <w:tcW w:w="1540" w:type="dxa"/>
            <w:tcBorders>
              <w:top w:val="nil"/>
              <w:left w:val="nil"/>
              <w:bottom w:val="double" w:sz="6" w:space="0" w:color="auto"/>
              <w:right w:val="nil"/>
            </w:tcBorders>
            <w:shd w:val="clear" w:color="auto" w:fill="auto"/>
            <w:noWrap/>
            <w:vAlign w:val="bottom"/>
            <w:hideMark/>
          </w:tcPr>
          <w:p w14:paraId="0B01D095" w14:textId="38EFB78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1,3</w:t>
            </w:r>
          </w:p>
        </w:tc>
        <w:tc>
          <w:tcPr>
            <w:tcW w:w="1342" w:type="dxa"/>
            <w:tcBorders>
              <w:top w:val="nil"/>
              <w:left w:val="nil"/>
              <w:bottom w:val="double" w:sz="6" w:space="0" w:color="auto"/>
              <w:right w:val="nil"/>
            </w:tcBorders>
            <w:shd w:val="clear" w:color="auto" w:fill="auto"/>
            <w:noWrap/>
            <w:vAlign w:val="bottom"/>
            <w:hideMark/>
          </w:tcPr>
          <w:p w14:paraId="5FAB9D4C" w14:textId="784DFE66"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45,7</w:t>
            </w:r>
          </w:p>
        </w:tc>
        <w:tc>
          <w:tcPr>
            <w:tcW w:w="1540" w:type="dxa"/>
            <w:tcBorders>
              <w:top w:val="nil"/>
              <w:left w:val="nil"/>
              <w:bottom w:val="double" w:sz="6" w:space="0" w:color="auto"/>
              <w:right w:val="nil"/>
            </w:tcBorders>
            <w:shd w:val="clear" w:color="auto" w:fill="auto"/>
            <w:noWrap/>
            <w:vAlign w:val="bottom"/>
            <w:hideMark/>
          </w:tcPr>
          <w:p w14:paraId="55BE5D27" w14:textId="31747A0E"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17,0</w:t>
            </w:r>
          </w:p>
        </w:tc>
        <w:tc>
          <w:tcPr>
            <w:tcW w:w="1436" w:type="dxa"/>
            <w:tcBorders>
              <w:top w:val="nil"/>
              <w:left w:val="nil"/>
              <w:bottom w:val="single" w:sz="4" w:space="0" w:color="auto"/>
              <w:right w:val="nil"/>
            </w:tcBorders>
            <w:shd w:val="clear" w:color="auto" w:fill="auto"/>
            <w:noWrap/>
            <w:vAlign w:val="bottom"/>
            <w:hideMark/>
          </w:tcPr>
          <w:p w14:paraId="03087444" w14:textId="7D8F069B"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26,0</w:t>
            </w:r>
          </w:p>
        </w:tc>
        <w:tc>
          <w:tcPr>
            <w:tcW w:w="1276" w:type="dxa"/>
            <w:tcBorders>
              <w:top w:val="nil"/>
              <w:left w:val="nil"/>
              <w:bottom w:val="double" w:sz="6" w:space="0" w:color="auto"/>
              <w:right w:val="nil"/>
            </w:tcBorders>
            <w:shd w:val="clear" w:color="auto" w:fill="auto"/>
            <w:noWrap/>
            <w:vAlign w:val="bottom"/>
            <w:hideMark/>
          </w:tcPr>
          <w:p w14:paraId="76611909" w14:textId="7E4BDF29"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11,5</w:t>
            </w:r>
          </w:p>
        </w:tc>
      </w:tr>
      <w:tr w:rsidR="00B64E96" w:rsidRPr="00730B1E" w14:paraId="2D7E2149" w14:textId="77777777" w:rsidTr="00EC3ED8">
        <w:trPr>
          <w:trHeight w:val="345"/>
        </w:trPr>
        <w:tc>
          <w:tcPr>
            <w:tcW w:w="2080" w:type="dxa"/>
            <w:tcBorders>
              <w:top w:val="nil"/>
              <w:left w:val="nil"/>
              <w:bottom w:val="double" w:sz="6" w:space="0" w:color="auto"/>
              <w:right w:val="nil"/>
            </w:tcBorders>
            <w:shd w:val="clear" w:color="auto" w:fill="auto"/>
            <w:noWrap/>
            <w:vAlign w:val="bottom"/>
            <w:hideMark/>
          </w:tcPr>
          <w:p w14:paraId="57431764" w14:textId="77777777" w:rsidR="00ED1B5D" w:rsidRPr="00730B1E" w:rsidRDefault="00ED1B5D" w:rsidP="00ED1B5D">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540" w:type="dxa"/>
            <w:tcBorders>
              <w:top w:val="nil"/>
              <w:left w:val="nil"/>
              <w:bottom w:val="double" w:sz="6" w:space="0" w:color="auto"/>
              <w:right w:val="nil"/>
            </w:tcBorders>
            <w:shd w:val="clear" w:color="auto" w:fill="auto"/>
            <w:noWrap/>
            <w:vAlign w:val="bottom"/>
            <w:hideMark/>
          </w:tcPr>
          <w:p w14:paraId="43E54A6B" w14:textId="53AA3C01"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11,66</w:t>
            </w:r>
          </w:p>
        </w:tc>
        <w:tc>
          <w:tcPr>
            <w:tcW w:w="1342" w:type="dxa"/>
            <w:tcBorders>
              <w:top w:val="nil"/>
              <w:left w:val="nil"/>
              <w:bottom w:val="double" w:sz="6" w:space="0" w:color="auto"/>
              <w:right w:val="nil"/>
            </w:tcBorders>
            <w:shd w:val="clear" w:color="auto" w:fill="auto"/>
            <w:noWrap/>
            <w:vAlign w:val="bottom"/>
            <w:hideMark/>
          </w:tcPr>
          <w:p w14:paraId="4E64C4B6" w14:textId="01FEBED5"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381,78</w:t>
            </w:r>
          </w:p>
        </w:tc>
        <w:tc>
          <w:tcPr>
            <w:tcW w:w="1540" w:type="dxa"/>
            <w:tcBorders>
              <w:top w:val="nil"/>
              <w:left w:val="nil"/>
              <w:bottom w:val="double" w:sz="6" w:space="0" w:color="auto"/>
              <w:right w:val="nil"/>
            </w:tcBorders>
            <w:shd w:val="clear" w:color="auto" w:fill="auto"/>
            <w:noWrap/>
            <w:vAlign w:val="bottom"/>
            <w:hideMark/>
          </w:tcPr>
          <w:p w14:paraId="0ADB4BCB" w14:textId="7CE430F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87,2</w:t>
            </w:r>
          </w:p>
        </w:tc>
        <w:tc>
          <w:tcPr>
            <w:tcW w:w="1436" w:type="dxa"/>
            <w:tcBorders>
              <w:top w:val="double" w:sz="6" w:space="0" w:color="auto"/>
              <w:left w:val="nil"/>
              <w:bottom w:val="double" w:sz="6" w:space="0" w:color="auto"/>
              <w:right w:val="nil"/>
            </w:tcBorders>
            <w:shd w:val="clear" w:color="auto" w:fill="auto"/>
            <w:noWrap/>
            <w:vAlign w:val="bottom"/>
            <w:hideMark/>
          </w:tcPr>
          <w:p w14:paraId="19F75DC6" w14:textId="3F33ABE6"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151,2</w:t>
            </w:r>
          </w:p>
        </w:tc>
        <w:tc>
          <w:tcPr>
            <w:tcW w:w="1276" w:type="dxa"/>
            <w:tcBorders>
              <w:top w:val="nil"/>
              <w:left w:val="nil"/>
              <w:bottom w:val="double" w:sz="6" w:space="0" w:color="auto"/>
              <w:right w:val="nil"/>
            </w:tcBorders>
            <w:shd w:val="clear" w:color="auto" w:fill="auto"/>
            <w:noWrap/>
            <w:vAlign w:val="bottom"/>
            <w:hideMark/>
          </w:tcPr>
          <w:p w14:paraId="41D54328" w14:textId="4DD0570D" w:rsidR="00ED1B5D" w:rsidRPr="00730B1E" w:rsidRDefault="00033DD2" w:rsidP="00ED1B5D">
            <w:pPr>
              <w:spacing w:line="240" w:lineRule="auto"/>
              <w:jc w:val="center"/>
              <w:rPr>
                <w:rFonts w:eastAsia="Times New Roman"/>
                <w:b/>
                <w:bCs/>
                <w:szCs w:val="24"/>
                <w:lang w:eastAsia="cs-CZ"/>
              </w:rPr>
            </w:pPr>
            <w:r w:rsidRPr="00730B1E">
              <w:rPr>
                <w:rFonts w:eastAsia="Times New Roman"/>
                <w:b/>
                <w:bCs/>
                <w:szCs w:val="24"/>
                <w:lang w:eastAsia="cs-CZ"/>
              </w:rPr>
              <w:t>67,2</w:t>
            </w:r>
          </w:p>
        </w:tc>
      </w:tr>
      <w:tr w:rsidR="00B64E96" w:rsidRPr="00730B1E" w14:paraId="61E87A55" w14:textId="77777777" w:rsidTr="00EC3ED8">
        <w:trPr>
          <w:trHeight w:val="330"/>
        </w:trPr>
        <w:tc>
          <w:tcPr>
            <w:tcW w:w="2080" w:type="dxa"/>
            <w:vMerge w:val="restart"/>
            <w:tcBorders>
              <w:top w:val="nil"/>
              <w:left w:val="nil"/>
              <w:bottom w:val="double" w:sz="6" w:space="0" w:color="000000"/>
              <w:right w:val="nil"/>
            </w:tcBorders>
            <w:shd w:val="clear" w:color="auto" w:fill="auto"/>
            <w:noWrap/>
            <w:vAlign w:val="center"/>
            <w:hideMark/>
          </w:tcPr>
          <w:p w14:paraId="5ACFB97F" w14:textId="54C16DA2" w:rsidR="00ED1B5D" w:rsidRPr="00730B1E" w:rsidRDefault="002856BC" w:rsidP="00ED1B5D">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7134" w:type="dxa"/>
            <w:gridSpan w:val="5"/>
            <w:tcBorders>
              <w:top w:val="double" w:sz="6" w:space="0" w:color="auto"/>
              <w:left w:val="nil"/>
              <w:bottom w:val="nil"/>
              <w:right w:val="nil"/>
            </w:tcBorders>
            <w:shd w:val="clear" w:color="auto" w:fill="auto"/>
            <w:vAlign w:val="center"/>
            <w:hideMark/>
          </w:tcPr>
          <w:p w14:paraId="6E0C1E04"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Skutečný počet úvazků</w:t>
            </w:r>
          </w:p>
        </w:tc>
      </w:tr>
      <w:tr w:rsidR="00B64E96" w:rsidRPr="00730B1E" w14:paraId="0C0E88A6" w14:textId="77777777" w:rsidTr="00EC3ED8">
        <w:trPr>
          <w:trHeight w:val="645"/>
        </w:trPr>
        <w:tc>
          <w:tcPr>
            <w:tcW w:w="2080" w:type="dxa"/>
            <w:vMerge/>
            <w:tcBorders>
              <w:top w:val="nil"/>
              <w:left w:val="nil"/>
              <w:bottom w:val="double" w:sz="6" w:space="0" w:color="000000"/>
              <w:right w:val="nil"/>
            </w:tcBorders>
            <w:vAlign w:val="center"/>
            <w:hideMark/>
          </w:tcPr>
          <w:p w14:paraId="2EAA0AE3" w14:textId="77777777" w:rsidR="00ED1B5D" w:rsidRPr="00730B1E" w:rsidRDefault="00ED1B5D" w:rsidP="00ED1B5D">
            <w:pPr>
              <w:spacing w:line="240" w:lineRule="auto"/>
              <w:jc w:val="left"/>
              <w:rPr>
                <w:rFonts w:eastAsia="Times New Roman"/>
                <w:b/>
                <w:bCs/>
                <w:szCs w:val="24"/>
                <w:lang w:eastAsia="cs-CZ"/>
              </w:rPr>
            </w:pPr>
          </w:p>
        </w:tc>
        <w:tc>
          <w:tcPr>
            <w:tcW w:w="1540" w:type="dxa"/>
            <w:tcBorders>
              <w:top w:val="nil"/>
              <w:left w:val="nil"/>
              <w:bottom w:val="double" w:sz="6" w:space="0" w:color="auto"/>
              <w:right w:val="nil"/>
            </w:tcBorders>
            <w:shd w:val="clear" w:color="auto" w:fill="auto"/>
            <w:vAlign w:val="center"/>
            <w:hideMark/>
          </w:tcPr>
          <w:p w14:paraId="4C70718B"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Insolvenční</w:t>
            </w:r>
          </w:p>
        </w:tc>
        <w:tc>
          <w:tcPr>
            <w:tcW w:w="1342" w:type="dxa"/>
            <w:tcBorders>
              <w:top w:val="nil"/>
              <w:left w:val="nil"/>
              <w:bottom w:val="double" w:sz="6" w:space="0" w:color="auto"/>
              <w:right w:val="nil"/>
            </w:tcBorders>
            <w:shd w:val="clear" w:color="auto" w:fill="auto"/>
            <w:vAlign w:val="center"/>
            <w:hideMark/>
          </w:tcPr>
          <w:p w14:paraId="10C0BB7D" w14:textId="3640AF49"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Rejstřík I</w:t>
            </w:r>
            <w:r w:rsidR="00E5732D">
              <w:rPr>
                <w:rFonts w:eastAsia="Times New Roman"/>
                <w:b/>
                <w:bCs/>
                <w:szCs w:val="24"/>
                <w:lang w:eastAsia="cs-CZ"/>
              </w:rPr>
              <w:t>C</w:t>
            </w:r>
            <w:r w:rsidRPr="00730B1E">
              <w:rPr>
                <w:rFonts w:eastAsia="Times New Roman"/>
                <w:b/>
                <w:bCs/>
                <w:szCs w:val="24"/>
                <w:lang w:eastAsia="cs-CZ"/>
              </w:rPr>
              <w:t>m</w:t>
            </w:r>
          </w:p>
        </w:tc>
        <w:tc>
          <w:tcPr>
            <w:tcW w:w="1540" w:type="dxa"/>
            <w:tcBorders>
              <w:top w:val="nil"/>
              <w:left w:val="nil"/>
              <w:bottom w:val="double" w:sz="6" w:space="0" w:color="auto"/>
              <w:right w:val="nil"/>
            </w:tcBorders>
            <w:shd w:val="clear" w:color="auto" w:fill="auto"/>
            <w:vAlign w:val="center"/>
            <w:hideMark/>
          </w:tcPr>
          <w:p w14:paraId="4CE563A8"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Správní</w:t>
            </w:r>
          </w:p>
        </w:tc>
        <w:tc>
          <w:tcPr>
            <w:tcW w:w="1436" w:type="dxa"/>
            <w:tcBorders>
              <w:top w:val="nil"/>
              <w:left w:val="nil"/>
              <w:bottom w:val="double" w:sz="6" w:space="0" w:color="auto"/>
              <w:right w:val="nil"/>
            </w:tcBorders>
            <w:shd w:val="clear" w:color="auto" w:fill="auto"/>
            <w:noWrap/>
            <w:vAlign w:val="center"/>
            <w:hideMark/>
          </w:tcPr>
          <w:p w14:paraId="172CF52E"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Celkem</w:t>
            </w:r>
          </w:p>
        </w:tc>
        <w:tc>
          <w:tcPr>
            <w:tcW w:w="1276" w:type="dxa"/>
            <w:tcBorders>
              <w:top w:val="nil"/>
              <w:left w:val="nil"/>
              <w:bottom w:val="double" w:sz="6" w:space="0" w:color="auto"/>
              <w:right w:val="nil"/>
            </w:tcBorders>
            <w:shd w:val="clear" w:color="auto" w:fill="auto"/>
            <w:vAlign w:val="center"/>
            <w:hideMark/>
          </w:tcPr>
          <w:p w14:paraId="32C6B4B0" w14:textId="77777777"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Na 100 000 obyvatel</w:t>
            </w:r>
          </w:p>
        </w:tc>
      </w:tr>
      <w:tr w:rsidR="00B64E96" w:rsidRPr="00730B1E" w14:paraId="6D0F0B6A" w14:textId="77777777" w:rsidTr="00EC3ED8">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249D1170"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MS Praha</w:t>
            </w:r>
          </w:p>
        </w:tc>
        <w:tc>
          <w:tcPr>
            <w:tcW w:w="1540" w:type="dxa"/>
            <w:tcBorders>
              <w:top w:val="single" w:sz="4" w:space="0" w:color="auto"/>
              <w:left w:val="nil"/>
              <w:bottom w:val="single" w:sz="4" w:space="0" w:color="auto"/>
              <w:right w:val="nil"/>
            </w:tcBorders>
            <w:shd w:val="clear" w:color="auto" w:fill="auto"/>
            <w:noWrap/>
            <w:vAlign w:val="bottom"/>
            <w:hideMark/>
          </w:tcPr>
          <w:p w14:paraId="38B2B3F4" w14:textId="19B7F05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17,3</w:t>
            </w:r>
          </w:p>
        </w:tc>
        <w:tc>
          <w:tcPr>
            <w:tcW w:w="1342" w:type="dxa"/>
            <w:tcBorders>
              <w:top w:val="single" w:sz="4" w:space="0" w:color="auto"/>
              <w:left w:val="nil"/>
              <w:bottom w:val="single" w:sz="4" w:space="0" w:color="auto"/>
              <w:right w:val="nil"/>
            </w:tcBorders>
            <w:shd w:val="clear" w:color="auto" w:fill="auto"/>
            <w:noWrap/>
            <w:vAlign w:val="bottom"/>
            <w:hideMark/>
          </w:tcPr>
          <w:p w14:paraId="3AAE6F4F" w14:textId="3ABE088D"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7,0</w:t>
            </w:r>
          </w:p>
        </w:tc>
        <w:tc>
          <w:tcPr>
            <w:tcW w:w="1540" w:type="dxa"/>
            <w:tcBorders>
              <w:top w:val="single" w:sz="4" w:space="0" w:color="auto"/>
              <w:left w:val="nil"/>
              <w:bottom w:val="single" w:sz="4" w:space="0" w:color="auto"/>
              <w:right w:val="nil"/>
            </w:tcBorders>
            <w:shd w:val="clear" w:color="auto" w:fill="auto"/>
            <w:noWrap/>
            <w:vAlign w:val="bottom"/>
            <w:hideMark/>
          </w:tcPr>
          <w:p w14:paraId="50F0F11B" w14:textId="63755D9D"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39,0</w:t>
            </w:r>
          </w:p>
        </w:tc>
        <w:tc>
          <w:tcPr>
            <w:tcW w:w="1436" w:type="dxa"/>
            <w:tcBorders>
              <w:top w:val="single" w:sz="4" w:space="0" w:color="auto"/>
              <w:left w:val="nil"/>
              <w:bottom w:val="single" w:sz="4" w:space="0" w:color="auto"/>
              <w:right w:val="nil"/>
            </w:tcBorders>
            <w:shd w:val="clear" w:color="auto" w:fill="auto"/>
            <w:noWrap/>
            <w:vAlign w:val="bottom"/>
            <w:hideMark/>
          </w:tcPr>
          <w:p w14:paraId="465E769E" w14:textId="00A78331"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225,6</w:t>
            </w:r>
          </w:p>
        </w:tc>
        <w:tc>
          <w:tcPr>
            <w:tcW w:w="1276" w:type="dxa"/>
            <w:tcBorders>
              <w:top w:val="single" w:sz="4" w:space="0" w:color="auto"/>
              <w:left w:val="nil"/>
              <w:bottom w:val="single" w:sz="4" w:space="0" w:color="auto"/>
              <w:right w:val="nil"/>
            </w:tcBorders>
            <w:shd w:val="clear" w:color="auto" w:fill="auto"/>
            <w:noWrap/>
            <w:vAlign w:val="bottom"/>
            <w:hideMark/>
          </w:tcPr>
          <w:p w14:paraId="30F97520" w14:textId="596356C3"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17,0</w:t>
            </w:r>
          </w:p>
        </w:tc>
      </w:tr>
      <w:tr w:rsidR="00B64E96" w:rsidRPr="00730B1E" w14:paraId="39794F34"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7535C396"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Praha</w:t>
            </w:r>
          </w:p>
        </w:tc>
        <w:tc>
          <w:tcPr>
            <w:tcW w:w="1540" w:type="dxa"/>
            <w:tcBorders>
              <w:top w:val="nil"/>
              <w:left w:val="nil"/>
              <w:bottom w:val="single" w:sz="4" w:space="0" w:color="auto"/>
              <w:right w:val="nil"/>
            </w:tcBorders>
            <w:shd w:val="clear" w:color="auto" w:fill="auto"/>
            <w:noWrap/>
            <w:vAlign w:val="bottom"/>
            <w:hideMark/>
          </w:tcPr>
          <w:p w14:paraId="2A9D48DB" w14:textId="6C05F1D3"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11,3</w:t>
            </w:r>
          </w:p>
        </w:tc>
        <w:tc>
          <w:tcPr>
            <w:tcW w:w="1342" w:type="dxa"/>
            <w:tcBorders>
              <w:top w:val="nil"/>
              <w:left w:val="nil"/>
              <w:bottom w:val="single" w:sz="4" w:space="0" w:color="auto"/>
              <w:right w:val="nil"/>
            </w:tcBorders>
            <w:shd w:val="clear" w:color="auto" w:fill="auto"/>
            <w:noWrap/>
            <w:vAlign w:val="bottom"/>
            <w:hideMark/>
          </w:tcPr>
          <w:p w14:paraId="6F00BAAB" w14:textId="19AB221F"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2,6</w:t>
            </w:r>
          </w:p>
        </w:tc>
        <w:tc>
          <w:tcPr>
            <w:tcW w:w="1540" w:type="dxa"/>
            <w:tcBorders>
              <w:top w:val="nil"/>
              <w:left w:val="nil"/>
              <w:bottom w:val="single" w:sz="4" w:space="0" w:color="auto"/>
              <w:right w:val="nil"/>
            </w:tcBorders>
            <w:shd w:val="clear" w:color="auto" w:fill="auto"/>
            <w:noWrap/>
            <w:vAlign w:val="bottom"/>
            <w:hideMark/>
          </w:tcPr>
          <w:p w14:paraId="0A062C68" w14:textId="646A86E3"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13,0</w:t>
            </w:r>
          </w:p>
        </w:tc>
        <w:tc>
          <w:tcPr>
            <w:tcW w:w="1436" w:type="dxa"/>
            <w:tcBorders>
              <w:top w:val="nil"/>
              <w:left w:val="nil"/>
              <w:bottom w:val="single" w:sz="4" w:space="0" w:color="auto"/>
              <w:right w:val="nil"/>
            </w:tcBorders>
            <w:shd w:val="clear" w:color="auto" w:fill="auto"/>
            <w:noWrap/>
            <w:vAlign w:val="bottom"/>
            <w:hideMark/>
          </w:tcPr>
          <w:p w14:paraId="29E2560B" w14:textId="67EEEF2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101,4</w:t>
            </w:r>
          </w:p>
        </w:tc>
        <w:tc>
          <w:tcPr>
            <w:tcW w:w="1276" w:type="dxa"/>
            <w:tcBorders>
              <w:top w:val="nil"/>
              <w:left w:val="nil"/>
              <w:bottom w:val="single" w:sz="4" w:space="0" w:color="auto"/>
              <w:right w:val="nil"/>
            </w:tcBorders>
            <w:shd w:val="clear" w:color="auto" w:fill="auto"/>
            <w:noWrap/>
            <w:vAlign w:val="bottom"/>
            <w:hideMark/>
          </w:tcPr>
          <w:p w14:paraId="6B0BA9AD" w14:textId="7037F070"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7,3</w:t>
            </w:r>
          </w:p>
        </w:tc>
      </w:tr>
      <w:tr w:rsidR="00B64E96" w:rsidRPr="00730B1E" w14:paraId="5003D454"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7DE05361"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Č. Budějovice</w:t>
            </w:r>
          </w:p>
        </w:tc>
        <w:tc>
          <w:tcPr>
            <w:tcW w:w="1540" w:type="dxa"/>
            <w:tcBorders>
              <w:top w:val="nil"/>
              <w:left w:val="nil"/>
              <w:bottom w:val="single" w:sz="4" w:space="0" w:color="auto"/>
              <w:right w:val="nil"/>
            </w:tcBorders>
            <w:shd w:val="clear" w:color="auto" w:fill="auto"/>
            <w:noWrap/>
            <w:vAlign w:val="bottom"/>
            <w:hideMark/>
          </w:tcPr>
          <w:p w14:paraId="21EBBA1C" w14:textId="593C2F9B"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6,0</w:t>
            </w:r>
          </w:p>
        </w:tc>
        <w:tc>
          <w:tcPr>
            <w:tcW w:w="1342" w:type="dxa"/>
            <w:tcBorders>
              <w:top w:val="nil"/>
              <w:left w:val="nil"/>
              <w:bottom w:val="single" w:sz="4" w:space="0" w:color="auto"/>
              <w:right w:val="nil"/>
            </w:tcBorders>
            <w:shd w:val="clear" w:color="auto" w:fill="auto"/>
            <w:noWrap/>
            <w:vAlign w:val="bottom"/>
            <w:hideMark/>
          </w:tcPr>
          <w:p w14:paraId="6B4F800A" w14:textId="630843BE"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2,5</w:t>
            </w:r>
          </w:p>
        </w:tc>
        <w:tc>
          <w:tcPr>
            <w:tcW w:w="1540" w:type="dxa"/>
            <w:tcBorders>
              <w:top w:val="nil"/>
              <w:left w:val="nil"/>
              <w:bottom w:val="single" w:sz="4" w:space="0" w:color="auto"/>
              <w:right w:val="nil"/>
            </w:tcBorders>
            <w:shd w:val="clear" w:color="auto" w:fill="auto"/>
            <w:noWrap/>
            <w:vAlign w:val="bottom"/>
            <w:hideMark/>
          </w:tcPr>
          <w:p w14:paraId="63EFDE7D" w14:textId="73BD900A"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4,0</w:t>
            </w:r>
          </w:p>
        </w:tc>
        <w:tc>
          <w:tcPr>
            <w:tcW w:w="1436" w:type="dxa"/>
            <w:tcBorders>
              <w:top w:val="nil"/>
              <w:left w:val="nil"/>
              <w:bottom w:val="single" w:sz="4" w:space="0" w:color="auto"/>
              <w:right w:val="nil"/>
            </w:tcBorders>
            <w:shd w:val="clear" w:color="auto" w:fill="auto"/>
            <w:noWrap/>
            <w:vAlign w:val="bottom"/>
            <w:hideMark/>
          </w:tcPr>
          <w:p w14:paraId="0437601E" w14:textId="58E71CB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49,8</w:t>
            </w:r>
          </w:p>
        </w:tc>
        <w:tc>
          <w:tcPr>
            <w:tcW w:w="1276" w:type="dxa"/>
            <w:tcBorders>
              <w:top w:val="nil"/>
              <w:left w:val="nil"/>
              <w:bottom w:val="single" w:sz="4" w:space="0" w:color="auto"/>
              <w:right w:val="nil"/>
            </w:tcBorders>
            <w:shd w:val="clear" w:color="auto" w:fill="auto"/>
            <w:noWrap/>
            <w:vAlign w:val="bottom"/>
            <w:hideMark/>
          </w:tcPr>
          <w:p w14:paraId="5B6F184B" w14:textId="2960DAF0"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6,9</w:t>
            </w:r>
          </w:p>
        </w:tc>
      </w:tr>
      <w:tr w:rsidR="00B64E96" w:rsidRPr="00730B1E" w14:paraId="1CB7A6B9"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3DF5879D"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Plzeň</w:t>
            </w:r>
          </w:p>
        </w:tc>
        <w:tc>
          <w:tcPr>
            <w:tcW w:w="1540" w:type="dxa"/>
            <w:tcBorders>
              <w:top w:val="nil"/>
              <w:left w:val="nil"/>
              <w:bottom w:val="single" w:sz="4" w:space="0" w:color="auto"/>
              <w:right w:val="nil"/>
            </w:tcBorders>
            <w:shd w:val="clear" w:color="auto" w:fill="auto"/>
            <w:noWrap/>
            <w:vAlign w:val="bottom"/>
            <w:hideMark/>
          </w:tcPr>
          <w:p w14:paraId="0F60577F" w14:textId="5F14D1FB"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8,4</w:t>
            </w:r>
          </w:p>
        </w:tc>
        <w:tc>
          <w:tcPr>
            <w:tcW w:w="1342" w:type="dxa"/>
            <w:tcBorders>
              <w:top w:val="nil"/>
              <w:left w:val="nil"/>
              <w:bottom w:val="single" w:sz="4" w:space="0" w:color="auto"/>
              <w:right w:val="nil"/>
            </w:tcBorders>
            <w:shd w:val="clear" w:color="auto" w:fill="auto"/>
            <w:noWrap/>
            <w:vAlign w:val="bottom"/>
            <w:hideMark/>
          </w:tcPr>
          <w:p w14:paraId="7E096538" w14:textId="706F97CE"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2,1</w:t>
            </w:r>
          </w:p>
        </w:tc>
        <w:tc>
          <w:tcPr>
            <w:tcW w:w="1540" w:type="dxa"/>
            <w:tcBorders>
              <w:top w:val="nil"/>
              <w:left w:val="nil"/>
              <w:bottom w:val="single" w:sz="4" w:space="0" w:color="auto"/>
              <w:right w:val="nil"/>
            </w:tcBorders>
            <w:shd w:val="clear" w:color="auto" w:fill="auto"/>
            <w:noWrap/>
            <w:vAlign w:val="bottom"/>
            <w:hideMark/>
          </w:tcPr>
          <w:p w14:paraId="497D1D7D" w14:textId="4C626F25"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9,5</w:t>
            </w:r>
          </w:p>
        </w:tc>
        <w:tc>
          <w:tcPr>
            <w:tcW w:w="1436" w:type="dxa"/>
            <w:tcBorders>
              <w:top w:val="nil"/>
              <w:left w:val="nil"/>
              <w:bottom w:val="single" w:sz="4" w:space="0" w:color="auto"/>
              <w:right w:val="nil"/>
            </w:tcBorders>
            <w:shd w:val="clear" w:color="auto" w:fill="auto"/>
            <w:noWrap/>
            <w:vAlign w:val="bottom"/>
            <w:hideMark/>
          </w:tcPr>
          <w:p w14:paraId="5FE11FE5" w14:textId="2453790F"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73,8</w:t>
            </w:r>
          </w:p>
        </w:tc>
        <w:tc>
          <w:tcPr>
            <w:tcW w:w="1276" w:type="dxa"/>
            <w:tcBorders>
              <w:top w:val="nil"/>
              <w:left w:val="nil"/>
              <w:bottom w:val="single" w:sz="4" w:space="0" w:color="auto"/>
              <w:right w:val="nil"/>
            </w:tcBorders>
            <w:shd w:val="clear" w:color="auto" w:fill="auto"/>
            <w:noWrap/>
            <w:vAlign w:val="bottom"/>
            <w:hideMark/>
          </w:tcPr>
          <w:p w14:paraId="5A918C13" w14:textId="18BECEDA"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8,3</w:t>
            </w:r>
          </w:p>
        </w:tc>
      </w:tr>
      <w:tr w:rsidR="00B64E96" w:rsidRPr="00730B1E" w14:paraId="68EA1647"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4C83B750"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Ústí n. Labem</w:t>
            </w:r>
          </w:p>
        </w:tc>
        <w:tc>
          <w:tcPr>
            <w:tcW w:w="1540" w:type="dxa"/>
            <w:tcBorders>
              <w:top w:val="nil"/>
              <w:left w:val="nil"/>
              <w:bottom w:val="single" w:sz="4" w:space="0" w:color="auto"/>
              <w:right w:val="nil"/>
            </w:tcBorders>
            <w:shd w:val="clear" w:color="auto" w:fill="auto"/>
            <w:noWrap/>
            <w:vAlign w:val="bottom"/>
            <w:hideMark/>
          </w:tcPr>
          <w:p w14:paraId="741C4310" w14:textId="377DD97F"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15,5</w:t>
            </w:r>
          </w:p>
        </w:tc>
        <w:tc>
          <w:tcPr>
            <w:tcW w:w="1342" w:type="dxa"/>
            <w:tcBorders>
              <w:top w:val="nil"/>
              <w:left w:val="nil"/>
              <w:bottom w:val="single" w:sz="4" w:space="0" w:color="auto"/>
              <w:right w:val="nil"/>
            </w:tcBorders>
            <w:shd w:val="clear" w:color="auto" w:fill="auto"/>
            <w:noWrap/>
            <w:vAlign w:val="bottom"/>
            <w:hideMark/>
          </w:tcPr>
          <w:p w14:paraId="7B45B631" w14:textId="145C590C"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3,5</w:t>
            </w:r>
          </w:p>
        </w:tc>
        <w:tc>
          <w:tcPr>
            <w:tcW w:w="1540" w:type="dxa"/>
            <w:tcBorders>
              <w:top w:val="nil"/>
              <w:left w:val="nil"/>
              <w:bottom w:val="single" w:sz="4" w:space="0" w:color="auto"/>
              <w:right w:val="nil"/>
            </w:tcBorders>
            <w:shd w:val="clear" w:color="auto" w:fill="auto"/>
            <w:noWrap/>
            <w:vAlign w:val="bottom"/>
            <w:hideMark/>
          </w:tcPr>
          <w:p w14:paraId="3C6B7FE5" w14:textId="26797350"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12,4</w:t>
            </w:r>
          </w:p>
        </w:tc>
        <w:tc>
          <w:tcPr>
            <w:tcW w:w="1436" w:type="dxa"/>
            <w:tcBorders>
              <w:top w:val="nil"/>
              <w:left w:val="nil"/>
              <w:bottom w:val="single" w:sz="4" w:space="0" w:color="auto"/>
              <w:right w:val="nil"/>
            </w:tcBorders>
            <w:shd w:val="clear" w:color="auto" w:fill="auto"/>
            <w:noWrap/>
            <w:vAlign w:val="bottom"/>
            <w:hideMark/>
          </w:tcPr>
          <w:p w14:paraId="0316450B" w14:textId="4E7DC120"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120,4</w:t>
            </w:r>
          </w:p>
        </w:tc>
        <w:tc>
          <w:tcPr>
            <w:tcW w:w="1276" w:type="dxa"/>
            <w:tcBorders>
              <w:top w:val="nil"/>
              <w:left w:val="nil"/>
              <w:bottom w:val="single" w:sz="4" w:space="0" w:color="auto"/>
              <w:right w:val="nil"/>
            </w:tcBorders>
            <w:shd w:val="clear" w:color="auto" w:fill="auto"/>
            <w:noWrap/>
            <w:vAlign w:val="bottom"/>
            <w:hideMark/>
          </w:tcPr>
          <w:p w14:paraId="08636A1A" w14:textId="06B21BBC"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10,1</w:t>
            </w:r>
          </w:p>
        </w:tc>
      </w:tr>
      <w:tr w:rsidR="00B64E96" w:rsidRPr="00730B1E" w14:paraId="00CF565E"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7765806A"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Hr. Králové</w:t>
            </w:r>
          </w:p>
        </w:tc>
        <w:tc>
          <w:tcPr>
            <w:tcW w:w="1540" w:type="dxa"/>
            <w:tcBorders>
              <w:top w:val="nil"/>
              <w:left w:val="nil"/>
              <w:bottom w:val="single" w:sz="4" w:space="0" w:color="auto"/>
              <w:right w:val="nil"/>
            </w:tcBorders>
            <w:shd w:val="clear" w:color="auto" w:fill="auto"/>
            <w:noWrap/>
            <w:vAlign w:val="bottom"/>
            <w:hideMark/>
          </w:tcPr>
          <w:p w14:paraId="0BFC633D" w14:textId="6D1D8808"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9,1</w:t>
            </w:r>
          </w:p>
        </w:tc>
        <w:tc>
          <w:tcPr>
            <w:tcW w:w="1342" w:type="dxa"/>
            <w:tcBorders>
              <w:top w:val="nil"/>
              <w:left w:val="nil"/>
              <w:bottom w:val="single" w:sz="4" w:space="0" w:color="auto"/>
              <w:right w:val="nil"/>
            </w:tcBorders>
            <w:shd w:val="clear" w:color="auto" w:fill="auto"/>
            <w:noWrap/>
            <w:vAlign w:val="bottom"/>
            <w:hideMark/>
          </w:tcPr>
          <w:p w14:paraId="6C77D108" w14:textId="7C29D580"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2,9</w:t>
            </w:r>
          </w:p>
        </w:tc>
        <w:tc>
          <w:tcPr>
            <w:tcW w:w="1540" w:type="dxa"/>
            <w:tcBorders>
              <w:top w:val="nil"/>
              <w:left w:val="nil"/>
              <w:bottom w:val="single" w:sz="4" w:space="0" w:color="auto"/>
              <w:right w:val="nil"/>
            </w:tcBorders>
            <w:shd w:val="clear" w:color="auto" w:fill="auto"/>
            <w:noWrap/>
            <w:vAlign w:val="bottom"/>
            <w:hideMark/>
          </w:tcPr>
          <w:p w14:paraId="4B9B10BF" w14:textId="089A4923"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11,7</w:t>
            </w:r>
          </w:p>
        </w:tc>
        <w:tc>
          <w:tcPr>
            <w:tcW w:w="1436" w:type="dxa"/>
            <w:tcBorders>
              <w:top w:val="nil"/>
              <w:left w:val="nil"/>
              <w:bottom w:val="single" w:sz="4" w:space="0" w:color="auto"/>
              <w:right w:val="nil"/>
            </w:tcBorders>
            <w:shd w:val="clear" w:color="auto" w:fill="auto"/>
            <w:noWrap/>
            <w:vAlign w:val="bottom"/>
            <w:hideMark/>
          </w:tcPr>
          <w:p w14:paraId="16DE5E82" w14:textId="39A76ED2"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80,5</w:t>
            </w:r>
          </w:p>
        </w:tc>
        <w:tc>
          <w:tcPr>
            <w:tcW w:w="1276" w:type="dxa"/>
            <w:tcBorders>
              <w:top w:val="nil"/>
              <w:left w:val="nil"/>
              <w:bottom w:val="single" w:sz="4" w:space="0" w:color="auto"/>
              <w:right w:val="nil"/>
            </w:tcBorders>
            <w:shd w:val="clear" w:color="auto" w:fill="auto"/>
            <w:noWrap/>
            <w:vAlign w:val="bottom"/>
            <w:hideMark/>
          </w:tcPr>
          <w:p w14:paraId="6BDC6303" w14:textId="7E9BC755"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6,5</w:t>
            </w:r>
          </w:p>
        </w:tc>
      </w:tr>
      <w:tr w:rsidR="00B64E96" w:rsidRPr="00730B1E" w14:paraId="4D236869" w14:textId="77777777" w:rsidTr="00EC3ED8">
        <w:trPr>
          <w:trHeight w:val="315"/>
        </w:trPr>
        <w:tc>
          <w:tcPr>
            <w:tcW w:w="2080" w:type="dxa"/>
            <w:tcBorders>
              <w:top w:val="nil"/>
              <w:left w:val="nil"/>
              <w:bottom w:val="single" w:sz="4" w:space="0" w:color="auto"/>
              <w:right w:val="nil"/>
            </w:tcBorders>
            <w:shd w:val="clear" w:color="auto" w:fill="auto"/>
            <w:noWrap/>
            <w:vAlign w:val="bottom"/>
            <w:hideMark/>
          </w:tcPr>
          <w:p w14:paraId="2D30F365"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Brno</w:t>
            </w:r>
          </w:p>
        </w:tc>
        <w:tc>
          <w:tcPr>
            <w:tcW w:w="1540" w:type="dxa"/>
            <w:tcBorders>
              <w:top w:val="nil"/>
              <w:left w:val="nil"/>
              <w:bottom w:val="single" w:sz="4" w:space="0" w:color="auto"/>
              <w:right w:val="nil"/>
            </w:tcBorders>
            <w:shd w:val="clear" w:color="auto" w:fill="auto"/>
            <w:noWrap/>
            <w:vAlign w:val="bottom"/>
            <w:hideMark/>
          </w:tcPr>
          <w:p w14:paraId="49F639B7" w14:textId="288F60EE"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18,0</w:t>
            </w:r>
          </w:p>
        </w:tc>
        <w:tc>
          <w:tcPr>
            <w:tcW w:w="1342" w:type="dxa"/>
            <w:tcBorders>
              <w:top w:val="nil"/>
              <w:left w:val="nil"/>
              <w:bottom w:val="single" w:sz="4" w:space="0" w:color="auto"/>
              <w:right w:val="nil"/>
            </w:tcBorders>
            <w:shd w:val="clear" w:color="auto" w:fill="auto"/>
            <w:noWrap/>
            <w:vAlign w:val="bottom"/>
            <w:hideMark/>
          </w:tcPr>
          <w:p w14:paraId="06110686" w14:textId="7EA67377"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6,0</w:t>
            </w:r>
          </w:p>
        </w:tc>
        <w:tc>
          <w:tcPr>
            <w:tcW w:w="1540" w:type="dxa"/>
            <w:tcBorders>
              <w:top w:val="nil"/>
              <w:left w:val="nil"/>
              <w:bottom w:val="single" w:sz="4" w:space="0" w:color="auto"/>
              <w:right w:val="nil"/>
            </w:tcBorders>
            <w:shd w:val="clear" w:color="auto" w:fill="auto"/>
            <w:noWrap/>
            <w:vAlign w:val="bottom"/>
            <w:hideMark/>
          </w:tcPr>
          <w:p w14:paraId="5634072A" w14:textId="280D90F1"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16,5</w:t>
            </w:r>
          </w:p>
        </w:tc>
        <w:tc>
          <w:tcPr>
            <w:tcW w:w="1436" w:type="dxa"/>
            <w:tcBorders>
              <w:top w:val="nil"/>
              <w:left w:val="nil"/>
              <w:bottom w:val="single" w:sz="4" w:space="0" w:color="auto"/>
              <w:right w:val="nil"/>
            </w:tcBorders>
            <w:shd w:val="clear" w:color="auto" w:fill="auto"/>
            <w:noWrap/>
            <w:vAlign w:val="bottom"/>
            <w:hideMark/>
          </w:tcPr>
          <w:p w14:paraId="2503B0D9" w14:textId="211EF735"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164,5</w:t>
            </w:r>
          </w:p>
        </w:tc>
        <w:tc>
          <w:tcPr>
            <w:tcW w:w="1276" w:type="dxa"/>
            <w:tcBorders>
              <w:top w:val="nil"/>
              <w:left w:val="nil"/>
              <w:bottom w:val="single" w:sz="4" w:space="0" w:color="auto"/>
              <w:right w:val="nil"/>
            </w:tcBorders>
            <w:shd w:val="clear" w:color="auto" w:fill="auto"/>
            <w:noWrap/>
            <w:vAlign w:val="bottom"/>
            <w:hideMark/>
          </w:tcPr>
          <w:p w14:paraId="19A43F77" w14:textId="2C740F06"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7,9</w:t>
            </w:r>
          </w:p>
        </w:tc>
      </w:tr>
      <w:tr w:rsidR="00B64E96" w:rsidRPr="00730B1E" w14:paraId="0CE3334C" w14:textId="77777777" w:rsidTr="00EC3ED8">
        <w:trPr>
          <w:trHeight w:val="330"/>
        </w:trPr>
        <w:tc>
          <w:tcPr>
            <w:tcW w:w="2080" w:type="dxa"/>
            <w:tcBorders>
              <w:top w:val="nil"/>
              <w:left w:val="nil"/>
              <w:bottom w:val="double" w:sz="6" w:space="0" w:color="auto"/>
              <w:right w:val="nil"/>
            </w:tcBorders>
            <w:shd w:val="clear" w:color="auto" w:fill="auto"/>
            <w:noWrap/>
            <w:vAlign w:val="bottom"/>
            <w:hideMark/>
          </w:tcPr>
          <w:p w14:paraId="6269561D" w14:textId="77777777" w:rsidR="00ED1B5D" w:rsidRPr="00730B1E" w:rsidRDefault="00ED1B5D" w:rsidP="00ED1B5D">
            <w:pPr>
              <w:spacing w:line="240" w:lineRule="auto"/>
              <w:jc w:val="left"/>
              <w:rPr>
                <w:rFonts w:eastAsia="Times New Roman"/>
                <w:szCs w:val="24"/>
                <w:lang w:eastAsia="cs-CZ"/>
              </w:rPr>
            </w:pPr>
            <w:r w:rsidRPr="00730B1E">
              <w:rPr>
                <w:rFonts w:eastAsia="Times New Roman"/>
                <w:szCs w:val="24"/>
                <w:lang w:eastAsia="cs-CZ"/>
              </w:rPr>
              <w:t>KS Ostrava</w:t>
            </w:r>
          </w:p>
        </w:tc>
        <w:tc>
          <w:tcPr>
            <w:tcW w:w="1540" w:type="dxa"/>
            <w:tcBorders>
              <w:top w:val="nil"/>
              <w:left w:val="nil"/>
              <w:bottom w:val="double" w:sz="6" w:space="0" w:color="auto"/>
              <w:right w:val="nil"/>
            </w:tcBorders>
            <w:shd w:val="clear" w:color="auto" w:fill="auto"/>
            <w:noWrap/>
            <w:vAlign w:val="bottom"/>
            <w:hideMark/>
          </w:tcPr>
          <w:p w14:paraId="7E198BCB" w14:textId="3F85C696"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14,0</w:t>
            </w:r>
          </w:p>
        </w:tc>
        <w:tc>
          <w:tcPr>
            <w:tcW w:w="1342" w:type="dxa"/>
            <w:tcBorders>
              <w:top w:val="nil"/>
              <w:left w:val="nil"/>
              <w:bottom w:val="double" w:sz="6" w:space="0" w:color="auto"/>
              <w:right w:val="nil"/>
            </w:tcBorders>
            <w:shd w:val="clear" w:color="auto" w:fill="auto"/>
            <w:noWrap/>
            <w:vAlign w:val="bottom"/>
            <w:hideMark/>
          </w:tcPr>
          <w:p w14:paraId="3514F537" w14:textId="10E2DC78"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10,5</w:t>
            </w:r>
          </w:p>
        </w:tc>
        <w:tc>
          <w:tcPr>
            <w:tcW w:w="1540" w:type="dxa"/>
            <w:tcBorders>
              <w:top w:val="nil"/>
              <w:left w:val="nil"/>
              <w:bottom w:val="double" w:sz="6" w:space="0" w:color="auto"/>
              <w:right w:val="nil"/>
            </w:tcBorders>
            <w:shd w:val="clear" w:color="auto" w:fill="auto"/>
            <w:noWrap/>
            <w:vAlign w:val="bottom"/>
            <w:hideMark/>
          </w:tcPr>
          <w:p w14:paraId="00100C3C" w14:textId="68C7B008"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11,7</w:t>
            </w:r>
          </w:p>
        </w:tc>
        <w:tc>
          <w:tcPr>
            <w:tcW w:w="1436" w:type="dxa"/>
            <w:tcBorders>
              <w:top w:val="nil"/>
              <w:left w:val="nil"/>
              <w:bottom w:val="single" w:sz="4" w:space="0" w:color="auto"/>
              <w:right w:val="nil"/>
            </w:tcBorders>
            <w:shd w:val="clear" w:color="auto" w:fill="auto"/>
            <w:noWrap/>
            <w:vAlign w:val="bottom"/>
            <w:hideMark/>
          </w:tcPr>
          <w:p w14:paraId="02B217B1" w14:textId="0B318A1C"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137,7</w:t>
            </w:r>
          </w:p>
        </w:tc>
        <w:tc>
          <w:tcPr>
            <w:tcW w:w="1276" w:type="dxa"/>
            <w:tcBorders>
              <w:top w:val="nil"/>
              <w:left w:val="nil"/>
              <w:bottom w:val="double" w:sz="6" w:space="0" w:color="auto"/>
              <w:right w:val="nil"/>
            </w:tcBorders>
            <w:shd w:val="clear" w:color="auto" w:fill="auto"/>
            <w:noWrap/>
            <w:vAlign w:val="bottom"/>
            <w:hideMark/>
          </w:tcPr>
          <w:p w14:paraId="05439621" w14:textId="431FD339" w:rsidR="00ED1B5D" w:rsidRPr="00730B1E" w:rsidRDefault="00ED1B5D" w:rsidP="00ED1B5D">
            <w:pPr>
              <w:spacing w:line="240" w:lineRule="auto"/>
              <w:jc w:val="center"/>
              <w:rPr>
                <w:rFonts w:eastAsia="Times New Roman"/>
                <w:szCs w:val="24"/>
                <w:lang w:eastAsia="cs-CZ"/>
              </w:rPr>
            </w:pPr>
            <w:r w:rsidRPr="00730B1E">
              <w:rPr>
                <w:rFonts w:eastAsia="Times New Roman"/>
                <w:szCs w:val="24"/>
                <w:lang w:eastAsia="cs-CZ"/>
              </w:rPr>
              <w:t>7,4</w:t>
            </w:r>
          </w:p>
        </w:tc>
      </w:tr>
      <w:tr w:rsidR="00ED1B5D" w:rsidRPr="00730B1E" w14:paraId="75FCFBD9" w14:textId="77777777" w:rsidTr="00EC3ED8">
        <w:trPr>
          <w:trHeight w:val="345"/>
        </w:trPr>
        <w:tc>
          <w:tcPr>
            <w:tcW w:w="2080" w:type="dxa"/>
            <w:tcBorders>
              <w:top w:val="nil"/>
              <w:left w:val="nil"/>
              <w:bottom w:val="double" w:sz="6" w:space="0" w:color="auto"/>
              <w:right w:val="nil"/>
            </w:tcBorders>
            <w:shd w:val="clear" w:color="auto" w:fill="auto"/>
            <w:noWrap/>
            <w:vAlign w:val="bottom"/>
            <w:hideMark/>
          </w:tcPr>
          <w:p w14:paraId="03339A96" w14:textId="77777777" w:rsidR="00ED1B5D" w:rsidRPr="00730B1E" w:rsidRDefault="00ED1B5D" w:rsidP="00ED1B5D">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540" w:type="dxa"/>
            <w:tcBorders>
              <w:top w:val="nil"/>
              <w:left w:val="nil"/>
              <w:bottom w:val="double" w:sz="6" w:space="0" w:color="auto"/>
              <w:right w:val="nil"/>
            </w:tcBorders>
            <w:shd w:val="clear" w:color="auto" w:fill="auto"/>
            <w:noWrap/>
            <w:vAlign w:val="bottom"/>
            <w:hideMark/>
          </w:tcPr>
          <w:p w14:paraId="6DBE21B5" w14:textId="3B6F2EF8"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99,6</w:t>
            </w:r>
          </w:p>
        </w:tc>
        <w:tc>
          <w:tcPr>
            <w:tcW w:w="1342" w:type="dxa"/>
            <w:tcBorders>
              <w:top w:val="nil"/>
              <w:left w:val="nil"/>
              <w:bottom w:val="double" w:sz="6" w:space="0" w:color="auto"/>
              <w:right w:val="nil"/>
            </w:tcBorders>
            <w:shd w:val="clear" w:color="auto" w:fill="auto"/>
            <w:noWrap/>
            <w:vAlign w:val="bottom"/>
            <w:hideMark/>
          </w:tcPr>
          <w:p w14:paraId="322013C3" w14:textId="76BBFDC6"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37,1</w:t>
            </w:r>
          </w:p>
        </w:tc>
        <w:tc>
          <w:tcPr>
            <w:tcW w:w="1540" w:type="dxa"/>
            <w:tcBorders>
              <w:top w:val="nil"/>
              <w:left w:val="nil"/>
              <w:bottom w:val="double" w:sz="6" w:space="0" w:color="auto"/>
              <w:right w:val="nil"/>
            </w:tcBorders>
            <w:shd w:val="clear" w:color="auto" w:fill="auto"/>
            <w:noWrap/>
            <w:vAlign w:val="bottom"/>
            <w:hideMark/>
          </w:tcPr>
          <w:p w14:paraId="13A2F3B0" w14:textId="1440D954"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117,83</w:t>
            </w:r>
          </w:p>
        </w:tc>
        <w:tc>
          <w:tcPr>
            <w:tcW w:w="1436" w:type="dxa"/>
            <w:tcBorders>
              <w:top w:val="double" w:sz="6" w:space="0" w:color="auto"/>
              <w:left w:val="nil"/>
              <w:bottom w:val="double" w:sz="6" w:space="0" w:color="auto"/>
              <w:right w:val="nil"/>
            </w:tcBorders>
            <w:shd w:val="clear" w:color="auto" w:fill="auto"/>
            <w:noWrap/>
            <w:vAlign w:val="bottom"/>
            <w:hideMark/>
          </w:tcPr>
          <w:p w14:paraId="6D6B643A" w14:textId="6243A8D9"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953,57</w:t>
            </w:r>
          </w:p>
        </w:tc>
        <w:tc>
          <w:tcPr>
            <w:tcW w:w="1276" w:type="dxa"/>
            <w:tcBorders>
              <w:top w:val="nil"/>
              <w:left w:val="nil"/>
              <w:bottom w:val="double" w:sz="6" w:space="0" w:color="auto"/>
              <w:right w:val="nil"/>
            </w:tcBorders>
            <w:shd w:val="clear" w:color="auto" w:fill="auto"/>
            <w:noWrap/>
            <w:vAlign w:val="bottom"/>
            <w:hideMark/>
          </w:tcPr>
          <w:p w14:paraId="4BF0F53D" w14:textId="2CFE1525" w:rsidR="00ED1B5D" w:rsidRPr="00730B1E" w:rsidRDefault="00ED1B5D" w:rsidP="00ED1B5D">
            <w:pPr>
              <w:spacing w:line="240" w:lineRule="auto"/>
              <w:jc w:val="center"/>
              <w:rPr>
                <w:rFonts w:eastAsia="Times New Roman"/>
                <w:b/>
                <w:bCs/>
                <w:szCs w:val="24"/>
                <w:lang w:eastAsia="cs-CZ"/>
              </w:rPr>
            </w:pPr>
            <w:r w:rsidRPr="00730B1E">
              <w:rPr>
                <w:rFonts w:eastAsia="Times New Roman"/>
                <w:b/>
                <w:bCs/>
                <w:szCs w:val="24"/>
                <w:lang w:eastAsia="cs-CZ"/>
              </w:rPr>
              <w:t>8,9</w:t>
            </w:r>
          </w:p>
        </w:tc>
      </w:tr>
    </w:tbl>
    <w:p w14:paraId="4C6695D9" w14:textId="77777777" w:rsidR="00C87042" w:rsidRPr="00730B1E" w:rsidRDefault="00C87042" w:rsidP="00826C46">
      <w:pPr>
        <w:pStyle w:val="OdstavecASR"/>
      </w:pPr>
    </w:p>
    <w:p w14:paraId="15353297" w14:textId="07A379B9" w:rsidR="00ED1B5D" w:rsidRPr="00730B1E" w:rsidRDefault="00ED1B5D" w:rsidP="00826C46">
      <w:pPr>
        <w:pStyle w:val="OdstavecASR"/>
      </w:pPr>
      <w:r w:rsidRPr="00730B1E">
        <w:t>Jak již bylo zmíněno, u KS sledujeme více agend</w:t>
      </w:r>
      <w:r w:rsidR="00C87042" w:rsidRPr="00730B1E">
        <w:t>, proto může být tabulka méně přehledná</w:t>
      </w:r>
      <w:r w:rsidR="00D5779E" w:rsidRPr="00730B1E">
        <w:t>, na druhou stranu poskytuje detailnější vhled</w:t>
      </w:r>
      <w:r w:rsidR="003C64ED" w:rsidRPr="00730B1E">
        <w:t xml:space="preserve"> než v předchozích zprávách</w:t>
      </w:r>
      <w:r w:rsidR="00C87042" w:rsidRPr="00730B1E">
        <w:t>. Jak je z tabulky patrné, největší je MS Praha a nejmenší je KS České Budějovice. MS Praha je asi čtyřikrát větší než KS České Budějovice. Pozornost také upoutá přepočet na 100 000 obyvatel, kde zcela jasně vyčnívá MS Praha, což je dáno především obchodní a civilní a správní agendou.</w:t>
      </w:r>
    </w:p>
    <w:p w14:paraId="72EC93D4" w14:textId="5A7ECCF6" w:rsidR="00ED1B5D" w:rsidRPr="00730B1E" w:rsidRDefault="00882B92" w:rsidP="00826C46">
      <w:pPr>
        <w:pStyle w:val="OdstavecASR"/>
      </w:pPr>
      <w:r w:rsidRPr="00730B1E">
        <w:t xml:space="preserve">Sledovat </w:t>
      </w:r>
      <w:r w:rsidR="00C87042" w:rsidRPr="00730B1E">
        <w:t xml:space="preserve">můžeme </w:t>
      </w:r>
      <w:r w:rsidRPr="00730B1E">
        <w:t xml:space="preserve">i </w:t>
      </w:r>
      <w:r w:rsidR="00C87042" w:rsidRPr="00730B1E">
        <w:t xml:space="preserve">složení soudců dle pohlaví. Data jsou v tabulce a </w:t>
      </w:r>
      <w:r w:rsidR="00D5779E" w:rsidRPr="00730B1E">
        <w:t xml:space="preserve">grafech </w:t>
      </w:r>
      <w:r w:rsidR="00C87042" w:rsidRPr="00730B1E">
        <w:t>níže.</w:t>
      </w:r>
    </w:p>
    <w:p w14:paraId="57E47204" w14:textId="77777777" w:rsidR="00826C46" w:rsidRPr="00730B1E" w:rsidRDefault="00826C46" w:rsidP="00826C46">
      <w:pPr>
        <w:pStyle w:val="OdstavecASR"/>
      </w:pPr>
    </w:p>
    <w:p w14:paraId="56FAA1E3" w14:textId="4E0AD557" w:rsidR="00C87042" w:rsidRPr="00730B1E" w:rsidRDefault="00C87042">
      <w:pPr>
        <w:spacing w:after="160" w:line="259" w:lineRule="auto"/>
        <w:jc w:val="left"/>
      </w:pPr>
      <w:r w:rsidRPr="00730B1E">
        <w:br w:type="page"/>
      </w:r>
    </w:p>
    <w:p w14:paraId="13744EFE" w14:textId="45D8B395" w:rsidR="00C87042" w:rsidRPr="00730B1E" w:rsidRDefault="00C87042" w:rsidP="00C87042">
      <w:pPr>
        <w:pStyle w:val="Podnadpis"/>
        <w:rPr>
          <w:color w:val="auto"/>
        </w:rPr>
      </w:pPr>
      <w:bookmarkStart w:id="698" w:name="_Toc169250973"/>
      <w:bookmarkStart w:id="699" w:name="_Toc174080659"/>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54</w:t>
      </w:r>
      <w:r w:rsidRPr="00730B1E">
        <w:rPr>
          <w:color w:val="auto"/>
        </w:rPr>
        <w:fldChar w:fldCharType="end"/>
      </w:r>
      <w:r w:rsidRPr="00730B1E">
        <w:rPr>
          <w:color w:val="auto"/>
        </w:rPr>
        <w:t>: KS – skutečný počet soudců dle pohlaví v roce 2023</w:t>
      </w:r>
      <w:bookmarkEnd w:id="698"/>
      <w:bookmarkEnd w:id="699"/>
    </w:p>
    <w:p w14:paraId="541964CE" w14:textId="77777777" w:rsidR="00863B91" w:rsidRPr="00730B1E" w:rsidRDefault="00C87042">
      <w:pPr>
        <w:spacing w:after="160" w:line="259" w:lineRule="auto"/>
        <w:jc w:val="left"/>
      </w:pPr>
      <w:r w:rsidRPr="00730B1E">
        <w:rPr>
          <w:noProof/>
          <w:lang w:eastAsia="cs-CZ"/>
        </w:rPr>
        <w:drawing>
          <wp:inline distT="0" distB="0" distL="0" distR="0" wp14:anchorId="45B9AF1E" wp14:editId="03129F5D">
            <wp:extent cx="5029200" cy="3657600"/>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B07CFEA" w14:textId="77777777" w:rsidR="00863B91" w:rsidRPr="00730B1E" w:rsidRDefault="00863B91">
      <w:pPr>
        <w:spacing w:after="160" w:line="259" w:lineRule="auto"/>
        <w:jc w:val="left"/>
      </w:pPr>
    </w:p>
    <w:p w14:paraId="2F5B7DCA" w14:textId="7D02F50C" w:rsidR="00863B91" w:rsidRPr="00730B1E" w:rsidRDefault="00863B91" w:rsidP="00863B91">
      <w:pPr>
        <w:pStyle w:val="Podnadpis"/>
        <w:rPr>
          <w:color w:val="auto"/>
        </w:rPr>
      </w:pPr>
      <w:bookmarkStart w:id="700" w:name="_Toc169251092"/>
      <w:bookmarkStart w:id="701" w:name="_Toc174080778"/>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35</w:t>
      </w:r>
      <w:r w:rsidRPr="00730B1E">
        <w:rPr>
          <w:noProof/>
          <w:color w:val="auto"/>
        </w:rPr>
        <w:fldChar w:fldCharType="end"/>
      </w:r>
      <w:r w:rsidRPr="00730B1E">
        <w:rPr>
          <w:color w:val="auto"/>
        </w:rPr>
        <w:t xml:space="preserve">: </w:t>
      </w:r>
      <w:r w:rsidR="00A15D97" w:rsidRPr="00730B1E">
        <w:rPr>
          <w:color w:val="auto"/>
        </w:rPr>
        <w:t>K</w:t>
      </w:r>
      <w:r w:rsidRPr="00730B1E">
        <w:rPr>
          <w:color w:val="auto"/>
        </w:rPr>
        <w:t>S – skutečný počet soudců dle pohlaví a krajů</w:t>
      </w:r>
      <w:bookmarkEnd w:id="700"/>
      <w:bookmarkEnd w:id="701"/>
    </w:p>
    <w:tbl>
      <w:tblPr>
        <w:tblW w:w="6800" w:type="dxa"/>
        <w:tblCellMar>
          <w:left w:w="70" w:type="dxa"/>
          <w:right w:w="70" w:type="dxa"/>
        </w:tblCellMar>
        <w:tblLook w:val="04A0" w:firstRow="1" w:lastRow="0" w:firstColumn="1" w:lastColumn="0" w:noHBand="0" w:noVBand="1"/>
      </w:tblPr>
      <w:tblGrid>
        <w:gridCol w:w="2480"/>
        <w:gridCol w:w="1350"/>
        <w:gridCol w:w="1370"/>
        <w:gridCol w:w="1600"/>
      </w:tblGrid>
      <w:tr w:rsidR="00B64E96" w:rsidRPr="00730B1E" w14:paraId="354653CE" w14:textId="77777777" w:rsidTr="00863B91">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0A07C2F" w14:textId="77777777" w:rsidR="00863B91" w:rsidRPr="00730B1E" w:rsidRDefault="00863B91" w:rsidP="00863B91">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2720" w:type="dxa"/>
            <w:gridSpan w:val="2"/>
            <w:tcBorders>
              <w:top w:val="double" w:sz="6" w:space="0" w:color="auto"/>
              <w:left w:val="nil"/>
              <w:bottom w:val="nil"/>
              <w:right w:val="nil"/>
            </w:tcBorders>
            <w:shd w:val="clear" w:color="auto" w:fill="auto"/>
            <w:noWrap/>
            <w:vAlign w:val="center"/>
            <w:hideMark/>
          </w:tcPr>
          <w:p w14:paraId="77C8CF31" w14:textId="77777777" w:rsidR="00863B91" w:rsidRPr="00730B1E" w:rsidRDefault="00863B91" w:rsidP="00863B91">
            <w:pPr>
              <w:spacing w:line="240" w:lineRule="auto"/>
              <w:jc w:val="center"/>
              <w:rPr>
                <w:rFonts w:eastAsia="Times New Roman"/>
                <w:b/>
                <w:bCs/>
                <w:szCs w:val="24"/>
                <w:lang w:eastAsia="cs-CZ"/>
              </w:rPr>
            </w:pPr>
            <w:r w:rsidRPr="00730B1E">
              <w:rPr>
                <w:rFonts w:eastAsia="Times New Roman"/>
                <w:b/>
                <w:bCs/>
                <w:szCs w:val="24"/>
                <w:lang w:eastAsia="cs-CZ"/>
              </w:rPr>
              <w:t>Skutečný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6DC18CE0" w14:textId="77777777" w:rsidR="00863B91" w:rsidRPr="00730B1E" w:rsidRDefault="00863B91" w:rsidP="00863B91">
            <w:pPr>
              <w:spacing w:line="240" w:lineRule="auto"/>
              <w:jc w:val="center"/>
              <w:rPr>
                <w:rFonts w:eastAsia="Times New Roman"/>
                <w:b/>
                <w:bCs/>
                <w:szCs w:val="24"/>
                <w:lang w:eastAsia="cs-CZ"/>
              </w:rPr>
            </w:pPr>
            <w:r w:rsidRPr="00730B1E">
              <w:rPr>
                <w:rFonts w:eastAsia="Times New Roman"/>
                <w:b/>
                <w:bCs/>
                <w:szCs w:val="24"/>
                <w:lang w:eastAsia="cs-CZ"/>
              </w:rPr>
              <w:t>Podíl žen v %</w:t>
            </w:r>
          </w:p>
        </w:tc>
      </w:tr>
      <w:tr w:rsidR="00B64E96" w:rsidRPr="00730B1E" w14:paraId="33D70693" w14:textId="77777777" w:rsidTr="00863B91">
        <w:trPr>
          <w:trHeight w:val="330"/>
        </w:trPr>
        <w:tc>
          <w:tcPr>
            <w:tcW w:w="2480" w:type="dxa"/>
            <w:vMerge/>
            <w:tcBorders>
              <w:top w:val="double" w:sz="6" w:space="0" w:color="auto"/>
              <w:left w:val="nil"/>
              <w:bottom w:val="double" w:sz="6" w:space="0" w:color="000000"/>
              <w:right w:val="nil"/>
            </w:tcBorders>
            <w:vAlign w:val="center"/>
            <w:hideMark/>
          </w:tcPr>
          <w:p w14:paraId="6609C500" w14:textId="77777777" w:rsidR="00863B91" w:rsidRPr="00730B1E" w:rsidRDefault="00863B91" w:rsidP="00863B91">
            <w:pPr>
              <w:spacing w:line="240" w:lineRule="auto"/>
              <w:jc w:val="left"/>
              <w:rPr>
                <w:rFonts w:eastAsia="Times New Roman"/>
                <w:b/>
                <w:bCs/>
                <w:szCs w:val="24"/>
                <w:lang w:eastAsia="cs-CZ"/>
              </w:rPr>
            </w:pPr>
          </w:p>
        </w:tc>
        <w:tc>
          <w:tcPr>
            <w:tcW w:w="1350" w:type="dxa"/>
            <w:tcBorders>
              <w:top w:val="nil"/>
              <w:left w:val="nil"/>
              <w:bottom w:val="double" w:sz="6" w:space="0" w:color="auto"/>
              <w:right w:val="nil"/>
            </w:tcBorders>
            <w:shd w:val="clear" w:color="auto" w:fill="auto"/>
            <w:noWrap/>
            <w:vAlign w:val="center"/>
            <w:hideMark/>
          </w:tcPr>
          <w:p w14:paraId="1FD76F90" w14:textId="77777777" w:rsidR="00863B91" w:rsidRPr="00730B1E" w:rsidRDefault="00863B91" w:rsidP="00863B91">
            <w:pPr>
              <w:spacing w:line="240" w:lineRule="auto"/>
              <w:jc w:val="center"/>
              <w:rPr>
                <w:rFonts w:eastAsia="Times New Roman"/>
                <w:b/>
                <w:bCs/>
                <w:szCs w:val="24"/>
                <w:lang w:eastAsia="cs-CZ"/>
              </w:rPr>
            </w:pPr>
            <w:r w:rsidRPr="00730B1E">
              <w:rPr>
                <w:rFonts w:eastAsia="Times New Roman"/>
                <w:b/>
                <w:bCs/>
                <w:szCs w:val="24"/>
                <w:lang w:eastAsia="cs-CZ"/>
              </w:rPr>
              <w:t>Žen</w:t>
            </w:r>
          </w:p>
        </w:tc>
        <w:tc>
          <w:tcPr>
            <w:tcW w:w="1370" w:type="dxa"/>
            <w:tcBorders>
              <w:top w:val="nil"/>
              <w:left w:val="nil"/>
              <w:bottom w:val="double" w:sz="6" w:space="0" w:color="auto"/>
              <w:right w:val="nil"/>
            </w:tcBorders>
            <w:shd w:val="clear" w:color="auto" w:fill="auto"/>
            <w:noWrap/>
            <w:vAlign w:val="center"/>
            <w:hideMark/>
          </w:tcPr>
          <w:p w14:paraId="26DFA3A2" w14:textId="77777777" w:rsidR="00863B91" w:rsidRPr="00730B1E" w:rsidRDefault="00863B91" w:rsidP="00863B91">
            <w:pPr>
              <w:spacing w:line="240" w:lineRule="auto"/>
              <w:jc w:val="center"/>
              <w:rPr>
                <w:rFonts w:eastAsia="Times New Roman"/>
                <w:b/>
                <w:bCs/>
                <w:szCs w:val="24"/>
                <w:lang w:eastAsia="cs-CZ"/>
              </w:rPr>
            </w:pPr>
            <w:r w:rsidRPr="00730B1E">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6C9539CB" w14:textId="77777777" w:rsidR="00863B91" w:rsidRPr="00730B1E" w:rsidRDefault="00863B91" w:rsidP="00863B91">
            <w:pPr>
              <w:spacing w:line="240" w:lineRule="auto"/>
              <w:jc w:val="left"/>
              <w:rPr>
                <w:rFonts w:eastAsia="Times New Roman"/>
                <w:b/>
                <w:bCs/>
                <w:szCs w:val="24"/>
                <w:lang w:eastAsia="cs-CZ"/>
              </w:rPr>
            </w:pPr>
          </w:p>
        </w:tc>
      </w:tr>
      <w:tr w:rsidR="00B64E96" w:rsidRPr="00730B1E" w14:paraId="69E6C245" w14:textId="77777777" w:rsidTr="00863B9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B24098C" w14:textId="77777777" w:rsidR="00863B91" w:rsidRPr="00730B1E" w:rsidRDefault="00863B91" w:rsidP="00863B91">
            <w:pPr>
              <w:spacing w:line="240" w:lineRule="auto"/>
              <w:jc w:val="left"/>
              <w:rPr>
                <w:rFonts w:eastAsia="Times New Roman"/>
                <w:szCs w:val="24"/>
                <w:lang w:eastAsia="cs-CZ"/>
              </w:rPr>
            </w:pPr>
            <w:r w:rsidRPr="00730B1E">
              <w:rPr>
                <w:rFonts w:eastAsia="Times New Roman"/>
                <w:szCs w:val="24"/>
                <w:lang w:eastAsia="cs-CZ"/>
              </w:rPr>
              <w:t>MS Praha</w:t>
            </w:r>
          </w:p>
        </w:tc>
        <w:tc>
          <w:tcPr>
            <w:tcW w:w="1350" w:type="dxa"/>
            <w:tcBorders>
              <w:top w:val="single" w:sz="4" w:space="0" w:color="auto"/>
              <w:left w:val="nil"/>
              <w:bottom w:val="single" w:sz="4" w:space="0" w:color="auto"/>
              <w:right w:val="nil"/>
            </w:tcBorders>
            <w:shd w:val="clear" w:color="auto" w:fill="auto"/>
            <w:noWrap/>
            <w:vAlign w:val="bottom"/>
            <w:hideMark/>
          </w:tcPr>
          <w:p w14:paraId="108F1907" w14:textId="00701FC3"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140,05</w:t>
            </w:r>
          </w:p>
        </w:tc>
        <w:tc>
          <w:tcPr>
            <w:tcW w:w="1370" w:type="dxa"/>
            <w:tcBorders>
              <w:top w:val="single" w:sz="4" w:space="0" w:color="auto"/>
              <w:left w:val="nil"/>
              <w:bottom w:val="single" w:sz="4" w:space="0" w:color="auto"/>
              <w:right w:val="nil"/>
            </w:tcBorders>
            <w:shd w:val="clear" w:color="auto" w:fill="auto"/>
            <w:noWrap/>
            <w:vAlign w:val="bottom"/>
            <w:hideMark/>
          </w:tcPr>
          <w:p w14:paraId="5CBFDADD" w14:textId="722D2943"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85,5</w:t>
            </w:r>
          </w:p>
        </w:tc>
        <w:tc>
          <w:tcPr>
            <w:tcW w:w="1600" w:type="dxa"/>
            <w:tcBorders>
              <w:top w:val="single" w:sz="4" w:space="0" w:color="auto"/>
              <w:left w:val="nil"/>
              <w:bottom w:val="single" w:sz="4" w:space="0" w:color="auto"/>
              <w:right w:val="nil"/>
            </w:tcBorders>
            <w:shd w:val="clear" w:color="auto" w:fill="auto"/>
            <w:noWrap/>
            <w:vAlign w:val="bottom"/>
            <w:hideMark/>
          </w:tcPr>
          <w:p w14:paraId="473C2867" w14:textId="6D6C6AA5"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62,09</w:t>
            </w:r>
          </w:p>
        </w:tc>
      </w:tr>
      <w:tr w:rsidR="00B64E96" w:rsidRPr="00730B1E" w14:paraId="56AFE1D1" w14:textId="77777777" w:rsidTr="00863B91">
        <w:trPr>
          <w:trHeight w:val="315"/>
        </w:trPr>
        <w:tc>
          <w:tcPr>
            <w:tcW w:w="2480" w:type="dxa"/>
            <w:tcBorders>
              <w:top w:val="nil"/>
              <w:left w:val="nil"/>
              <w:bottom w:val="single" w:sz="4" w:space="0" w:color="auto"/>
              <w:right w:val="nil"/>
            </w:tcBorders>
            <w:shd w:val="clear" w:color="auto" w:fill="auto"/>
            <w:noWrap/>
            <w:vAlign w:val="bottom"/>
            <w:hideMark/>
          </w:tcPr>
          <w:p w14:paraId="54B7BC83" w14:textId="77777777" w:rsidR="00863B91" w:rsidRPr="00730B1E" w:rsidRDefault="00863B91" w:rsidP="00863B91">
            <w:pPr>
              <w:spacing w:line="240" w:lineRule="auto"/>
              <w:jc w:val="left"/>
              <w:rPr>
                <w:rFonts w:eastAsia="Times New Roman"/>
                <w:szCs w:val="24"/>
                <w:lang w:eastAsia="cs-CZ"/>
              </w:rPr>
            </w:pPr>
            <w:r w:rsidRPr="00730B1E">
              <w:rPr>
                <w:rFonts w:eastAsia="Times New Roman"/>
                <w:szCs w:val="24"/>
                <w:lang w:eastAsia="cs-CZ"/>
              </w:rPr>
              <w:t>KS Praha</w:t>
            </w:r>
          </w:p>
        </w:tc>
        <w:tc>
          <w:tcPr>
            <w:tcW w:w="1350" w:type="dxa"/>
            <w:tcBorders>
              <w:top w:val="nil"/>
              <w:left w:val="nil"/>
              <w:bottom w:val="single" w:sz="4" w:space="0" w:color="auto"/>
              <w:right w:val="nil"/>
            </w:tcBorders>
            <w:shd w:val="clear" w:color="auto" w:fill="auto"/>
            <w:noWrap/>
            <w:vAlign w:val="bottom"/>
            <w:hideMark/>
          </w:tcPr>
          <w:p w14:paraId="27C7D990" w14:textId="17323DC0"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64,8</w:t>
            </w:r>
          </w:p>
        </w:tc>
        <w:tc>
          <w:tcPr>
            <w:tcW w:w="1370" w:type="dxa"/>
            <w:tcBorders>
              <w:top w:val="nil"/>
              <w:left w:val="nil"/>
              <w:bottom w:val="single" w:sz="4" w:space="0" w:color="auto"/>
              <w:right w:val="nil"/>
            </w:tcBorders>
            <w:shd w:val="clear" w:color="auto" w:fill="auto"/>
            <w:noWrap/>
            <w:vAlign w:val="bottom"/>
            <w:hideMark/>
          </w:tcPr>
          <w:p w14:paraId="38F23956" w14:textId="75ADADAA"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36,55</w:t>
            </w:r>
          </w:p>
        </w:tc>
        <w:tc>
          <w:tcPr>
            <w:tcW w:w="1600" w:type="dxa"/>
            <w:tcBorders>
              <w:top w:val="nil"/>
              <w:left w:val="nil"/>
              <w:bottom w:val="single" w:sz="4" w:space="0" w:color="auto"/>
              <w:right w:val="nil"/>
            </w:tcBorders>
            <w:shd w:val="clear" w:color="auto" w:fill="auto"/>
            <w:noWrap/>
            <w:vAlign w:val="bottom"/>
            <w:hideMark/>
          </w:tcPr>
          <w:p w14:paraId="3F8E71C8" w14:textId="5E96805B"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63,94</w:t>
            </w:r>
          </w:p>
        </w:tc>
      </w:tr>
      <w:tr w:rsidR="00B64E96" w:rsidRPr="00730B1E" w14:paraId="32033BD4" w14:textId="77777777" w:rsidTr="00863B91">
        <w:trPr>
          <w:trHeight w:val="315"/>
        </w:trPr>
        <w:tc>
          <w:tcPr>
            <w:tcW w:w="2480" w:type="dxa"/>
            <w:tcBorders>
              <w:top w:val="nil"/>
              <w:left w:val="nil"/>
              <w:bottom w:val="single" w:sz="4" w:space="0" w:color="auto"/>
              <w:right w:val="nil"/>
            </w:tcBorders>
            <w:shd w:val="clear" w:color="auto" w:fill="auto"/>
            <w:noWrap/>
            <w:vAlign w:val="bottom"/>
            <w:hideMark/>
          </w:tcPr>
          <w:p w14:paraId="3476F8CD" w14:textId="77777777" w:rsidR="00863B91" w:rsidRPr="00730B1E" w:rsidRDefault="00863B91" w:rsidP="00863B91">
            <w:pPr>
              <w:spacing w:line="240" w:lineRule="auto"/>
              <w:jc w:val="left"/>
              <w:rPr>
                <w:rFonts w:eastAsia="Times New Roman"/>
                <w:szCs w:val="24"/>
                <w:lang w:eastAsia="cs-CZ"/>
              </w:rPr>
            </w:pPr>
            <w:r w:rsidRPr="00730B1E">
              <w:rPr>
                <w:rFonts w:eastAsia="Times New Roman"/>
                <w:szCs w:val="24"/>
                <w:lang w:eastAsia="cs-CZ"/>
              </w:rPr>
              <w:t>KS Č. Budějovice</w:t>
            </w:r>
          </w:p>
        </w:tc>
        <w:tc>
          <w:tcPr>
            <w:tcW w:w="1350" w:type="dxa"/>
            <w:tcBorders>
              <w:top w:val="nil"/>
              <w:left w:val="nil"/>
              <w:bottom w:val="single" w:sz="4" w:space="0" w:color="auto"/>
              <w:right w:val="nil"/>
            </w:tcBorders>
            <w:shd w:val="clear" w:color="auto" w:fill="auto"/>
            <w:noWrap/>
            <w:vAlign w:val="bottom"/>
            <w:hideMark/>
          </w:tcPr>
          <w:p w14:paraId="53339D33" w14:textId="43F1E8F1"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20,25</w:t>
            </w:r>
          </w:p>
        </w:tc>
        <w:tc>
          <w:tcPr>
            <w:tcW w:w="1370" w:type="dxa"/>
            <w:tcBorders>
              <w:top w:val="nil"/>
              <w:left w:val="nil"/>
              <w:bottom w:val="single" w:sz="4" w:space="0" w:color="auto"/>
              <w:right w:val="nil"/>
            </w:tcBorders>
            <w:shd w:val="clear" w:color="auto" w:fill="auto"/>
            <w:noWrap/>
            <w:vAlign w:val="bottom"/>
            <w:hideMark/>
          </w:tcPr>
          <w:p w14:paraId="7E22875D" w14:textId="48879F5B"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29,5</w:t>
            </w:r>
          </w:p>
        </w:tc>
        <w:tc>
          <w:tcPr>
            <w:tcW w:w="1600" w:type="dxa"/>
            <w:tcBorders>
              <w:top w:val="nil"/>
              <w:left w:val="nil"/>
              <w:bottom w:val="single" w:sz="4" w:space="0" w:color="auto"/>
              <w:right w:val="nil"/>
            </w:tcBorders>
            <w:shd w:val="clear" w:color="auto" w:fill="auto"/>
            <w:noWrap/>
            <w:vAlign w:val="bottom"/>
            <w:hideMark/>
          </w:tcPr>
          <w:p w14:paraId="0DAFF2D3" w14:textId="1593D20D"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40,70</w:t>
            </w:r>
          </w:p>
        </w:tc>
      </w:tr>
      <w:tr w:rsidR="00B64E96" w:rsidRPr="00730B1E" w14:paraId="2857CFEE" w14:textId="77777777" w:rsidTr="00863B91">
        <w:trPr>
          <w:trHeight w:val="315"/>
        </w:trPr>
        <w:tc>
          <w:tcPr>
            <w:tcW w:w="2480" w:type="dxa"/>
            <w:tcBorders>
              <w:top w:val="nil"/>
              <w:left w:val="nil"/>
              <w:bottom w:val="single" w:sz="4" w:space="0" w:color="auto"/>
              <w:right w:val="nil"/>
            </w:tcBorders>
            <w:shd w:val="clear" w:color="auto" w:fill="auto"/>
            <w:noWrap/>
            <w:vAlign w:val="bottom"/>
            <w:hideMark/>
          </w:tcPr>
          <w:p w14:paraId="411B102D" w14:textId="77777777" w:rsidR="00863B91" w:rsidRPr="00730B1E" w:rsidRDefault="00863B91" w:rsidP="00863B91">
            <w:pPr>
              <w:spacing w:line="240" w:lineRule="auto"/>
              <w:jc w:val="left"/>
              <w:rPr>
                <w:rFonts w:eastAsia="Times New Roman"/>
                <w:szCs w:val="24"/>
                <w:lang w:eastAsia="cs-CZ"/>
              </w:rPr>
            </w:pPr>
            <w:r w:rsidRPr="00730B1E">
              <w:rPr>
                <w:rFonts w:eastAsia="Times New Roman"/>
                <w:szCs w:val="24"/>
                <w:lang w:eastAsia="cs-CZ"/>
              </w:rPr>
              <w:t>KS Plzeň</w:t>
            </w:r>
          </w:p>
        </w:tc>
        <w:tc>
          <w:tcPr>
            <w:tcW w:w="1350" w:type="dxa"/>
            <w:tcBorders>
              <w:top w:val="nil"/>
              <w:left w:val="nil"/>
              <w:bottom w:val="single" w:sz="4" w:space="0" w:color="auto"/>
              <w:right w:val="nil"/>
            </w:tcBorders>
            <w:shd w:val="clear" w:color="auto" w:fill="auto"/>
            <w:noWrap/>
            <w:vAlign w:val="bottom"/>
            <w:hideMark/>
          </w:tcPr>
          <w:p w14:paraId="46487839" w14:textId="5C1F11F7"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43,2</w:t>
            </w:r>
          </w:p>
        </w:tc>
        <w:tc>
          <w:tcPr>
            <w:tcW w:w="1370" w:type="dxa"/>
            <w:tcBorders>
              <w:top w:val="nil"/>
              <w:left w:val="nil"/>
              <w:bottom w:val="single" w:sz="4" w:space="0" w:color="auto"/>
              <w:right w:val="nil"/>
            </w:tcBorders>
            <w:shd w:val="clear" w:color="auto" w:fill="auto"/>
            <w:noWrap/>
            <w:vAlign w:val="bottom"/>
            <w:hideMark/>
          </w:tcPr>
          <w:p w14:paraId="6538EF6F" w14:textId="5A634225"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30,6</w:t>
            </w:r>
          </w:p>
        </w:tc>
        <w:tc>
          <w:tcPr>
            <w:tcW w:w="1600" w:type="dxa"/>
            <w:tcBorders>
              <w:top w:val="nil"/>
              <w:left w:val="nil"/>
              <w:bottom w:val="single" w:sz="4" w:space="0" w:color="auto"/>
              <w:right w:val="nil"/>
            </w:tcBorders>
            <w:shd w:val="clear" w:color="auto" w:fill="auto"/>
            <w:noWrap/>
            <w:vAlign w:val="bottom"/>
            <w:hideMark/>
          </w:tcPr>
          <w:p w14:paraId="54464F2A" w14:textId="2958FFBC"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58,54</w:t>
            </w:r>
          </w:p>
        </w:tc>
      </w:tr>
      <w:tr w:rsidR="00B64E96" w:rsidRPr="00730B1E" w14:paraId="1FD4E359" w14:textId="77777777" w:rsidTr="00863B91">
        <w:trPr>
          <w:trHeight w:val="315"/>
        </w:trPr>
        <w:tc>
          <w:tcPr>
            <w:tcW w:w="2480" w:type="dxa"/>
            <w:tcBorders>
              <w:top w:val="nil"/>
              <w:left w:val="nil"/>
              <w:bottom w:val="single" w:sz="4" w:space="0" w:color="auto"/>
              <w:right w:val="nil"/>
            </w:tcBorders>
            <w:shd w:val="clear" w:color="auto" w:fill="auto"/>
            <w:noWrap/>
            <w:vAlign w:val="bottom"/>
            <w:hideMark/>
          </w:tcPr>
          <w:p w14:paraId="4BD0B6DA" w14:textId="77777777" w:rsidR="00863B91" w:rsidRPr="00730B1E" w:rsidRDefault="00863B91" w:rsidP="00863B91">
            <w:pPr>
              <w:spacing w:line="240" w:lineRule="auto"/>
              <w:jc w:val="left"/>
              <w:rPr>
                <w:rFonts w:eastAsia="Times New Roman"/>
                <w:szCs w:val="24"/>
                <w:lang w:eastAsia="cs-CZ"/>
              </w:rPr>
            </w:pPr>
            <w:r w:rsidRPr="00730B1E">
              <w:rPr>
                <w:rFonts w:eastAsia="Times New Roman"/>
                <w:szCs w:val="24"/>
                <w:lang w:eastAsia="cs-CZ"/>
              </w:rPr>
              <w:t>KS Ústí n. Labem</w:t>
            </w:r>
          </w:p>
        </w:tc>
        <w:tc>
          <w:tcPr>
            <w:tcW w:w="1350" w:type="dxa"/>
            <w:tcBorders>
              <w:top w:val="nil"/>
              <w:left w:val="nil"/>
              <w:bottom w:val="single" w:sz="4" w:space="0" w:color="auto"/>
              <w:right w:val="nil"/>
            </w:tcBorders>
            <w:shd w:val="clear" w:color="auto" w:fill="auto"/>
            <w:noWrap/>
            <w:vAlign w:val="bottom"/>
            <w:hideMark/>
          </w:tcPr>
          <w:p w14:paraId="2103976C" w14:textId="7A822695"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59,05</w:t>
            </w:r>
          </w:p>
        </w:tc>
        <w:tc>
          <w:tcPr>
            <w:tcW w:w="1370" w:type="dxa"/>
            <w:tcBorders>
              <w:top w:val="nil"/>
              <w:left w:val="nil"/>
              <w:bottom w:val="single" w:sz="4" w:space="0" w:color="auto"/>
              <w:right w:val="nil"/>
            </w:tcBorders>
            <w:shd w:val="clear" w:color="auto" w:fill="auto"/>
            <w:noWrap/>
            <w:vAlign w:val="bottom"/>
            <w:hideMark/>
          </w:tcPr>
          <w:p w14:paraId="21D4D5FD" w14:textId="573A3651"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61,35</w:t>
            </w:r>
          </w:p>
        </w:tc>
        <w:tc>
          <w:tcPr>
            <w:tcW w:w="1600" w:type="dxa"/>
            <w:tcBorders>
              <w:top w:val="nil"/>
              <w:left w:val="nil"/>
              <w:bottom w:val="single" w:sz="4" w:space="0" w:color="auto"/>
              <w:right w:val="nil"/>
            </w:tcBorders>
            <w:shd w:val="clear" w:color="auto" w:fill="auto"/>
            <w:noWrap/>
            <w:vAlign w:val="bottom"/>
            <w:hideMark/>
          </w:tcPr>
          <w:p w14:paraId="7D2216E2" w14:textId="68655BB8"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49,04</w:t>
            </w:r>
          </w:p>
        </w:tc>
      </w:tr>
      <w:tr w:rsidR="00B64E96" w:rsidRPr="00730B1E" w14:paraId="4E6699CA" w14:textId="77777777" w:rsidTr="00863B91">
        <w:trPr>
          <w:trHeight w:val="315"/>
        </w:trPr>
        <w:tc>
          <w:tcPr>
            <w:tcW w:w="2480" w:type="dxa"/>
            <w:tcBorders>
              <w:top w:val="nil"/>
              <w:left w:val="nil"/>
              <w:bottom w:val="single" w:sz="4" w:space="0" w:color="auto"/>
              <w:right w:val="nil"/>
            </w:tcBorders>
            <w:shd w:val="clear" w:color="auto" w:fill="auto"/>
            <w:noWrap/>
            <w:vAlign w:val="bottom"/>
            <w:hideMark/>
          </w:tcPr>
          <w:p w14:paraId="4522A1ED" w14:textId="77777777" w:rsidR="00863B91" w:rsidRPr="00730B1E" w:rsidRDefault="00863B91" w:rsidP="00863B91">
            <w:pPr>
              <w:spacing w:line="240" w:lineRule="auto"/>
              <w:jc w:val="left"/>
              <w:rPr>
                <w:rFonts w:eastAsia="Times New Roman"/>
                <w:szCs w:val="24"/>
                <w:lang w:eastAsia="cs-CZ"/>
              </w:rPr>
            </w:pPr>
            <w:r w:rsidRPr="00730B1E">
              <w:rPr>
                <w:rFonts w:eastAsia="Times New Roman"/>
                <w:szCs w:val="24"/>
                <w:lang w:eastAsia="cs-CZ"/>
              </w:rPr>
              <w:t>KS Hr. Králové</w:t>
            </w:r>
          </w:p>
        </w:tc>
        <w:tc>
          <w:tcPr>
            <w:tcW w:w="1350" w:type="dxa"/>
            <w:tcBorders>
              <w:top w:val="nil"/>
              <w:left w:val="nil"/>
              <w:bottom w:val="single" w:sz="4" w:space="0" w:color="auto"/>
              <w:right w:val="nil"/>
            </w:tcBorders>
            <w:shd w:val="clear" w:color="auto" w:fill="auto"/>
            <w:noWrap/>
            <w:vAlign w:val="bottom"/>
            <w:hideMark/>
          </w:tcPr>
          <w:p w14:paraId="5CAADDB5" w14:textId="77777777"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35</w:t>
            </w:r>
          </w:p>
        </w:tc>
        <w:tc>
          <w:tcPr>
            <w:tcW w:w="1370" w:type="dxa"/>
            <w:tcBorders>
              <w:top w:val="nil"/>
              <w:left w:val="nil"/>
              <w:bottom w:val="single" w:sz="4" w:space="0" w:color="auto"/>
              <w:right w:val="nil"/>
            </w:tcBorders>
            <w:shd w:val="clear" w:color="auto" w:fill="auto"/>
            <w:noWrap/>
            <w:vAlign w:val="bottom"/>
            <w:hideMark/>
          </w:tcPr>
          <w:p w14:paraId="22085614" w14:textId="2D001373"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45,5</w:t>
            </w:r>
          </w:p>
        </w:tc>
        <w:tc>
          <w:tcPr>
            <w:tcW w:w="1600" w:type="dxa"/>
            <w:tcBorders>
              <w:top w:val="nil"/>
              <w:left w:val="nil"/>
              <w:bottom w:val="single" w:sz="4" w:space="0" w:color="auto"/>
              <w:right w:val="nil"/>
            </w:tcBorders>
            <w:shd w:val="clear" w:color="auto" w:fill="auto"/>
            <w:noWrap/>
            <w:vAlign w:val="bottom"/>
            <w:hideMark/>
          </w:tcPr>
          <w:p w14:paraId="34DAF144" w14:textId="7AE75AD8"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43,48</w:t>
            </w:r>
          </w:p>
        </w:tc>
      </w:tr>
      <w:tr w:rsidR="00B64E96" w:rsidRPr="00730B1E" w14:paraId="11162BE2" w14:textId="77777777" w:rsidTr="00863B91">
        <w:trPr>
          <w:trHeight w:val="315"/>
        </w:trPr>
        <w:tc>
          <w:tcPr>
            <w:tcW w:w="2480" w:type="dxa"/>
            <w:tcBorders>
              <w:top w:val="nil"/>
              <w:left w:val="nil"/>
              <w:bottom w:val="single" w:sz="4" w:space="0" w:color="auto"/>
              <w:right w:val="nil"/>
            </w:tcBorders>
            <w:shd w:val="clear" w:color="auto" w:fill="auto"/>
            <w:noWrap/>
            <w:vAlign w:val="bottom"/>
            <w:hideMark/>
          </w:tcPr>
          <w:p w14:paraId="5126BD4A" w14:textId="77777777" w:rsidR="00863B91" w:rsidRPr="00730B1E" w:rsidRDefault="00863B91" w:rsidP="00863B91">
            <w:pPr>
              <w:spacing w:line="240" w:lineRule="auto"/>
              <w:jc w:val="left"/>
              <w:rPr>
                <w:rFonts w:eastAsia="Times New Roman"/>
                <w:szCs w:val="24"/>
                <w:lang w:eastAsia="cs-CZ"/>
              </w:rPr>
            </w:pPr>
            <w:r w:rsidRPr="00730B1E">
              <w:rPr>
                <w:rFonts w:eastAsia="Times New Roman"/>
                <w:szCs w:val="24"/>
                <w:lang w:eastAsia="cs-CZ"/>
              </w:rPr>
              <w:t>KS Brno</w:t>
            </w:r>
          </w:p>
        </w:tc>
        <w:tc>
          <w:tcPr>
            <w:tcW w:w="1350" w:type="dxa"/>
            <w:tcBorders>
              <w:top w:val="nil"/>
              <w:left w:val="nil"/>
              <w:bottom w:val="single" w:sz="4" w:space="0" w:color="auto"/>
              <w:right w:val="nil"/>
            </w:tcBorders>
            <w:shd w:val="clear" w:color="auto" w:fill="auto"/>
            <w:noWrap/>
            <w:vAlign w:val="bottom"/>
            <w:hideMark/>
          </w:tcPr>
          <w:p w14:paraId="563890BB" w14:textId="2A376206"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78,5</w:t>
            </w:r>
          </w:p>
        </w:tc>
        <w:tc>
          <w:tcPr>
            <w:tcW w:w="1370" w:type="dxa"/>
            <w:tcBorders>
              <w:top w:val="nil"/>
              <w:left w:val="nil"/>
              <w:bottom w:val="single" w:sz="4" w:space="0" w:color="auto"/>
              <w:right w:val="nil"/>
            </w:tcBorders>
            <w:shd w:val="clear" w:color="auto" w:fill="auto"/>
            <w:noWrap/>
            <w:vAlign w:val="bottom"/>
            <w:hideMark/>
          </w:tcPr>
          <w:p w14:paraId="53152F66" w14:textId="77777777"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86</w:t>
            </w:r>
          </w:p>
        </w:tc>
        <w:tc>
          <w:tcPr>
            <w:tcW w:w="1600" w:type="dxa"/>
            <w:tcBorders>
              <w:top w:val="nil"/>
              <w:left w:val="nil"/>
              <w:bottom w:val="single" w:sz="4" w:space="0" w:color="auto"/>
              <w:right w:val="nil"/>
            </w:tcBorders>
            <w:shd w:val="clear" w:color="auto" w:fill="auto"/>
            <w:noWrap/>
            <w:vAlign w:val="bottom"/>
            <w:hideMark/>
          </w:tcPr>
          <w:p w14:paraId="6EC8313F" w14:textId="20766296"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47,72</w:t>
            </w:r>
          </w:p>
        </w:tc>
      </w:tr>
      <w:tr w:rsidR="00B64E96" w:rsidRPr="00730B1E" w14:paraId="561CD208" w14:textId="77777777" w:rsidTr="00863B91">
        <w:trPr>
          <w:trHeight w:val="330"/>
        </w:trPr>
        <w:tc>
          <w:tcPr>
            <w:tcW w:w="2480" w:type="dxa"/>
            <w:tcBorders>
              <w:top w:val="nil"/>
              <w:left w:val="nil"/>
              <w:bottom w:val="double" w:sz="6" w:space="0" w:color="auto"/>
              <w:right w:val="nil"/>
            </w:tcBorders>
            <w:shd w:val="clear" w:color="auto" w:fill="auto"/>
            <w:noWrap/>
            <w:vAlign w:val="bottom"/>
            <w:hideMark/>
          </w:tcPr>
          <w:p w14:paraId="1A9E4975" w14:textId="77777777" w:rsidR="00863B91" w:rsidRPr="00730B1E" w:rsidRDefault="00863B91" w:rsidP="00863B91">
            <w:pPr>
              <w:spacing w:line="240" w:lineRule="auto"/>
              <w:jc w:val="left"/>
              <w:rPr>
                <w:rFonts w:eastAsia="Times New Roman"/>
                <w:szCs w:val="24"/>
                <w:lang w:eastAsia="cs-CZ"/>
              </w:rPr>
            </w:pPr>
            <w:r w:rsidRPr="00730B1E">
              <w:rPr>
                <w:rFonts w:eastAsia="Times New Roman"/>
                <w:szCs w:val="24"/>
                <w:lang w:eastAsia="cs-CZ"/>
              </w:rPr>
              <w:t>KS Ostrava</w:t>
            </w:r>
          </w:p>
        </w:tc>
        <w:tc>
          <w:tcPr>
            <w:tcW w:w="1350" w:type="dxa"/>
            <w:tcBorders>
              <w:top w:val="nil"/>
              <w:left w:val="nil"/>
              <w:bottom w:val="double" w:sz="6" w:space="0" w:color="auto"/>
              <w:right w:val="nil"/>
            </w:tcBorders>
            <w:shd w:val="clear" w:color="auto" w:fill="auto"/>
            <w:noWrap/>
            <w:vAlign w:val="bottom"/>
            <w:hideMark/>
          </w:tcPr>
          <w:p w14:paraId="4574C480" w14:textId="3250171E"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75,5</w:t>
            </w:r>
          </w:p>
        </w:tc>
        <w:tc>
          <w:tcPr>
            <w:tcW w:w="1370" w:type="dxa"/>
            <w:tcBorders>
              <w:top w:val="nil"/>
              <w:left w:val="nil"/>
              <w:bottom w:val="double" w:sz="6" w:space="0" w:color="auto"/>
              <w:right w:val="nil"/>
            </w:tcBorders>
            <w:shd w:val="clear" w:color="auto" w:fill="auto"/>
            <w:noWrap/>
            <w:vAlign w:val="bottom"/>
            <w:hideMark/>
          </w:tcPr>
          <w:p w14:paraId="2BA348C7" w14:textId="4E57ABD9"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62,22</w:t>
            </w:r>
          </w:p>
        </w:tc>
        <w:tc>
          <w:tcPr>
            <w:tcW w:w="1600" w:type="dxa"/>
            <w:tcBorders>
              <w:top w:val="nil"/>
              <w:left w:val="nil"/>
              <w:bottom w:val="double" w:sz="6" w:space="0" w:color="auto"/>
              <w:right w:val="nil"/>
            </w:tcBorders>
            <w:shd w:val="clear" w:color="auto" w:fill="auto"/>
            <w:noWrap/>
            <w:vAlign w:val="bottom"/>
            <w:hideMark/>
          </w:tcPr>
          <w:p w14:paraId="322BD1CF" w14:textId="0A11257C" w:rsidR="00863B91" w:rsidRPr="00730B1E" w:rsidRDefault="00863B91" w:rsidP="00863B91">
            <w:pPr>
              <w:spacing w:line="240" w:lineRule="auto"/>
              <w:jc w:val="center"/>
              <w:rPr>
                <w:rFonts w:eastAsia="Times New Roman"/>
                <w:szCs w:val="24"/>
                <w:lang w:eastAsia="cs-CZ"/>
              </w:rPr>
            </w:pPr>
            <w:r w:rsidRPr="00730B1E">
              <w:rPr>
                <w:rFonts w:eastAsia="Times New Roman"/>
                <w:szCs w:val="24"/>
                <w:lang w:eastAsia="cs-CZ"/>
              </w:rPr>
              <w:t>54,82</w:t>
            </w:r>
          </w:p>
        </w:tc>
      </w:tr>
      <w:tr w:rsidR="00B64E96" w:rsidRPr="00730B1E" w14:paraId="149D1AC8" w14:textId="77777777" w:rsidTr="00863B91">
        <w:trPr>
          <w:trHeight w:val="345"/>
        </w:trPr>
        <w:tc>
          <w:tcPr>
            <w:tcW w:w="2480" w:type="dxa"/>
            <w:tcBorders>
              <w:top w:val="nil"/>
              <w:left w:val="nil"/>
              <w:bottom w:val="double" w:sz="6" w:space="0" w:color="auto"/>
              <w:right w:val="nil"/>
            </w:tcBorders>
            <w:shd w:val="clear" w:color="auto" w:fill="auto"/>
            <w:noWrap/>
            <w:vAlign w:val="bottom"/>
            <w:hideMark/>
          </w:tcPr>
          <w:p w14:paraId="2AB262F6" w14:textId="77777777" w:rsidR="00863B91" w:rsidRPr="00730B1E" w:rsidRDefault="00863B91" w:rsidP="00863B91">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350" w:type="dxa"/>
            <w:tcBorders>
              <w:top w:val="nil"/>
              <w:left w:val="nil"/>
              <w:bottom w:val="double" w:sz="6" w:space="0" w:color="auto"/>
              <w:right w:val="nil"/>
            </w:tcBorders>
            <w:shd w:val="clear" w:color="auto" w:fill="auto"/>
            <w:noWrap/>
            <w:vAlign w:val="bottom"/>
            <w:hideMark/>
          </w:tcPr>
          <w:p w14:paraId="188B39FB" w14:textId="44F51B5A" w:rsidR="00863B91" w:rsidRPr="00730B1E" w:rsidRDefault="00863B91" w:rsidP="00863B91">
            <w:pPr>
              <w:spacing w:line="240" w:lineRule="auto"/>
              <w:jc w:val="center"/>
              <w:rPr>
                <w:rFonts w:eastAsia="Times New Roman"/>
                <w:b/>
                <w:bCs/>
                <w:szCs w:val="24"/>
                <w:lang w:eastAsia="cs-CZ"/>
              </w:rPr>
            </w:pPr>
            <w:r w:rsidRPr="00730B1E">
              <w:rPr>
                <w:rFonts w:eastAsia="Times New Roman"/>
                <w:b/>
                <w:bCs/>
                <w:szCs w:val="24"/>
                <w:lang w:eastAsia="cs-CZ"/>
              </w:rPr>
              <w:t>516,35</w:t>
            </w:r>
          </w:p>
        </w:tc>
        <w:tc>
          <w:tcPr>
            <w:tcW w:w="1370" w:type="dxa"/>
            <w:tcBorders>
              <w:top w:val="nil"/>
              <w:left w:val="nil"/>
              <w:bottom w:val="double" w:sz="6" w:space="0" w:color="auto"/>
              <w:right w:val="nil"/>
            </w:tcBorders>
            <w:shd w:val="clear" w:color="auto" w:fill="auto"/>
            <w:noWrap/>
            <w:vAlign w:val="bottom"/>
            <w:hideMark/>
          </w:tcPr>
          <w:p w14:paraId="303C1805" w14:textId="1AC68B38" w:rsidR="00863B91" w:rsidRPr="00730B1E" w:rsidRDefault="00863B91" w:rsidP="00863B91">
            <w:pPr>
              <w:spacing w:line="240" w:lineRule="auto"/>
              <w:jc w:val="center"/>
              <w:rPr>
                <w:rFonts w:eastAsia="Times New Roman"/>
                <w:b/>
                <w:bCs/>
                <w:szCs w:val="24"/>
                <w:lang w:eastAsia="cs-CZ"/>
              </w:rPr>
            </w:pPr>
            <w:r w:rsidRPr="00730B1E">
              <w:rPr>
                <w:rFonts w:eastAsia="Times New Roman"/>
                <w:b/>
                <w:bCs/>
                <w:szCs w:val="24"/>
                <w:lang w:eastAsia="cs-CZ"/>
              </w:rPr>
              <w:t>437,22</w:t>
            </w:r>
          </w:p>
        </w:tc>
        <w:tc>
          <w:tcPr>
            <w:tcW w:w="1600" w:type="dxa"/>
            <w:tcBorders>
              <w:top w:val="nil"/>
              <w:left w:val="nil"/>
              <w:bottom w:val="double" w:sz="6" w:space="0" w:color="auto"/>
              <w:right w:val="nil"/>
            </w:tcBorders>
            <w:shd w:val="clear" w:color="auto" w:fill="auto"/>
            <w:noWrap/>
            <w:vAlign w:val="bottom"/>
            <w:hideMark/>
          </w:tcPr>
          <w:p w14:paraId="0C723663" w14:textId="66651E0F" w:rsidR="00863B91" w:rsidRPr="00730B1E" w:rsidRDefault="00863B91" w:rsidP="00863B91">
            <w:pPr>
              <w:spacing w:line="240" w:lineRule="auto"/>
              <w:jc w:val="center"/>
              <w:rPr>
                <w:rFonts w:eastAsia="Times New Roman"/>
                <w:b/>
                <w:bCs/>
                <w:szCs w:val="24"/>
                <w:lang w:eastAsia="cs-CZ"/>
              </w:rPr>
            </w:pPr>
            <w:r w:rsidRPr="00730B1E">
              <w:rPr>
                <w:rFonts w:eastAsia="Times New Roman"/>
                <w:b/>
                <w:bCs/>
                <w:szCs w:val="24"/>
                <w:lang w:eastAsia="cs-CZ"/>
              </w:rPr>
              <w:t>54,15</w:t>
            </w:r>
          </w:p>
        </w:tc>
      </w:tr>
      <w:tr w:rsidR="00B64E96" w:rsidRPr="00730B1E" w14:paraId="101C496F" w14:textId="77777777" w:rsidTr="00863B91">
        <w:trPr>
          <w:trHeight w:val="330"/>
        </w:trPr>
        <w:tc>
          <w:tcPr>
            <w:tcW w:w="2480" w:type="dxa"/>
            <w:tcBorders>
              <w:top w:val="nil"/>
              <w:left w:val="nil"/>
              <w:bottom w:val="nil"/>
              <w:right w:val="nil"/>
            </w:tcBorders>
            <w:shd w:val="clear" w:color="auto" w:fill="auto"/>
            <w:noWrap/>
            <w:vAlign w:val="bottom"/>
            <w:hideMark/>
          </w:tcPr>
          <w:p w14:paraId="6A192194" w14:textId="77777777" w:rsidR="00863B91" w:rsidRPr="00730B1E" w:rsidRDefault="00863B91" w:rsidP="00863B91">
            <w:pPr>
              <w:spacing w:line="240" w:lineRule="auto"/>
              <w:jc w:val="center"/>
              <w:rPr>
                <w:rFonts w:eastAsia="Times New Roman"/>
                <w:b/>
                <w:bCs/>
                <w:szCs w:val="24"/>
                <w:lang w:eastAsia="cs-CZ"/>
              </w:rPr>
            </w:pPr>
          </w:p>
        </w:tc>
        <w:tc>
          <w:tcPr>
            <w:tcW w:w="1350" w:type="dxa"/>
            <w:tcBorders>
              <w:top w:val="nil"/>
              <w:left w:val="nil"/>
              <w:bottom w:val="nil"/>
              <w:right w:val="nil"/>
            </w:tcBorders>
            <w:shd w:val="clear" w:color="auto" w:fill="auto"/>
            <w:noWrap/>
            <w:vAlign w:val="bottom"/>
            <w:hideMark/>
          </w:tcPr>
          <w:p w14:paraId="612A0A13" w14:textId="77777777" w:rsidR="00863B91" w:rsidRPr="00DF07F3" w:rsidRDefault="00863B91" w:rsidP="00863B91">
            <w:pPr>
              <w:spacing w:line="240" w:lineRule="auto"/>
              <w:jc w:val="left"/>
              <w:rPr>
                <w:sz w:val="20"/>
              </w:rPr>
            </w:pPr>
          </w:p>
        </w:tc>
        <w:tc>
          <w:tcPr>
            <w:tcW w:w="1370" w:type="dxa"/>
            <w:tcBorders>
              <w:top w:val="nil"/>
              <w:left w:val="nil"/>
              <w:bottom w:val="nil"/>
              <w:right w:val="nil"/>
            </w:tcBorders>
            <w:shd w:val="clear" w:color="auto" w:fill="auto"/>
            <w:noWrap/>
            <w:vAlign w:val="bottom"/>
            <w:hideMark/>
          </w:tcPr>
          <w:p w14:paraId="24D1568B" w14:textId="77777777" w:rsidR="00863B91" w:rsidRPr="00DF07F3" w:rsidRDefault="00863B91" w:rsidP="00863B91">
            <w:pPr>
              <w:spacing w:line="240" w:lineRule="auto"/>
              <w:jc w:val="left"/>
              <w:rPr>
                <w:sz w:val="20"/>
              </w:rPr>
            </w:pPr>
          </w:p>
        </w:tc>
        <w:tc>
          <w:tcPr>
            <w:tcW w:w="1600" w:type="dxa"/>
            <w:tcBorders>
              <w:top w:val="nil"/>
              <w:left w:val="nil"/>
              <w:bottom w:val="nil"/>
              <w:right w:val="nil"/>
            </w:tcBorders>
            <w:shd w:val="clear" w:color="auto" w:fill="auto"/>
            <w:noWrap/>
            <w:vAlign w:val="bottom"/>
            <w:hideMark/>
          </w:tcPr>
          <w:p w14:paraId="0DF1CB98" w14:textId="77777777" w:rsidR="00863B91" w:rsidRPr="00DF07F3" w:rsidRDefault="00863B91" w:rsidP="00863B91">
            <w:pPr>
              <w:spacing w:line="240" w:lineRule="auto"/>
              <w:jc w:val="left"/>
              <w:rPr>
                <w:sz w:val="20"/>
              </w:rPr>
            </w:pPr>
          </w:p>
        </w:tc>
      </w:tr>
    </w:tbl>
    <w:p w14:paraId="54BA2959" w14:textId="77777777" w:rsidR="00863B91" w:rsidRPr="00730B1E" w:rsidRDefault="00863B91" w:rsidP="00863B91">
      <w:pPr>
        <w:pStyle w:val="OdstavecASR"/>
      </w:pPr>
      <w:r w:rsidRPr="00730B1E">
        <w:t>Stejně jako u OS působí i u krajských soudů více soudkyň než soudců. Podíl žen je ale nižší než u okresních soudů (65,19 %, viz tabulka č. 3). Jak uvidíme níže, tento jev se dále prohlubuje s každým dalším stupněm soudní soustavy.</w:t>
      </w:r>
    </w:p>
    <w:p w14:paraId="04D12702" w14:textId="12F3A83A" w:rsidR="00863B91" w:rsidRPr="00730B1E" w:rsidRDefault="00863B91" w:rsidP="00863B91">
      <w:pPr>
        <w:pStyle w:val="OdstavecASR"/>
      </w:pPr>
      <w:r w:rsidRPr="00730B1E">
        <w:t>Rozdíly mezi soudy jsou poměrně velké. Nejvyšší podíl žen mezi soudci má KS Praha (64 %) a nejnižší KS Č. Budějovice (41 %), což je o 23 procentních bodů méně.</w:t>
      </w:r>
    </w:p>
    <w:p w14:paraId="66D23757" w14:textId="369A50EE" w:rsidR="00863B91" w:rsidRPr="00730B1E" w:rsidRDefault="00882B92" w:rsidP="00863B91">
      <w:pPr>
        <w:pStyle w:val="OdstavecASR"/>
      </w:pPr>
      <w:r w:rsidRPr="00730B1E">
        <w:t>P</w:t>
      </w:r>
      <w:r w:rsidR="00863B91" w:rsidRPr="00730B1E">
        <w:t xml:space="preserve">odíl žen v krajském soudnictví </w:t>
      </w:r>
      <w:r w:rsidRPr="00730B1E">
        <w:t xml:space="preserve">přitom </w:t>
      </w:r>
      <w:r w:rsidR="00863B91" w:rsidRPr="00730B1E">
        <w:t xml:space="preserve">velmi zvolna klesá. V roce 2008 </w:t>
      </w:r>
      <w:r w:rsidRPr="00730B1E">
        <w:t>činil</w:t>
      </w:r>
      <w:r w:rsidR="00863B91" w:rsidRPr="00730B1E">
        <w:t xml:space="preserve"> kolem 60 %, nyní 54 %.</w:t>
      </w:r>
    </w:p>
    <w:p w14:paraId="29A1E69D" w14:textId="77777777" w:rsidR="00863B91" w:rsidRPr="00730B1E" w:rsidRDefault="00863B91" w:rsidP="00863B91">
      <w:pPr>
        <w:spacing w:after="160" w:line="259" w:lineRule="auto"/>
        <w:jc w:val="left"/>
      </w:pPr>
      <w:r w:rsidRPr="00730B1E">
        <w:br w:type="page"/>
      </w:r>
    </w:p>
    <w:p w14:paraId="0DED0867" w14:textId="7EC8434A" w:rsidR="00863B91" w:rsidRPr="00730B1E" w:rsidRDefault="00863B91" w:rsidP="00962CC3">
      <w:pPr>
        <w:pStyle w:val="OdstavecASR"/>
      </w:pPr>
      <w:r w:rsidRPr="00730B1E">
        <w:lastRenderedPageBreak/>
        <w:t xml:space="preserve">Nakonec se stejně jako u okresních soudů </w:t>
      </w:r>
      <w:r w:rsidR="00B71D7F" w:rsidRPr="00730B1E">
        <w:t>zaměříme</w:t>
      </w:r>
      <w:r w:rsidRPr="00730B1E">
        <w:t xml:space="preserve"> na věkovou strukturu soudců</w:t>
      </w:r>
      <w:r w:rsidR="00882B92" w:rsidRPr="00730B1E">
        <w:t xml:space="preserve"> vypočtenou z jejich evidenčních počtů</w:t>
      </w:r>
      <w:r w:rsidRPr="00730B1E">
        <w:t>.</w:t>
      </w:r>
    </w:p>
    <w:p w14:paraId="59681E99" w14:textId="6011C82B" w:rsidR="00863B91" w:rsidRPr="00730B1E" w:rsidRDefault="00863B91" w:rsidP="00863B91">
      <w:pPr>
        <w:pStyle w:val="Podnadpis"/>
        <w:numPr>
          <w:ilvl w:val="0"/>
          <w:numId w:val="0"/>
        </w:numPr>
        <w:rPr>
          <w:color w:val="auto"/>
        </w:rPr>
      </w:pPr>
      <w:bookmarkStart w:id="702" w:name="_Toc11135110"/>
      <w:bookmarkStart w:id="703" w:name="_Toc43841429"/>
      <w:bookmarkStart w:id="704" w:name="_Toc75952233"/>
      <w:bookmarkStart w:id="705" w:name="_Toc106106689"/>
      <w:bookmarkStart w:id="706" w:name="_Toc109802013"/>
      <w:bookmarkStart w:id="707" w:name="_Toc144104163"/>
      <w:bookmarkStart w:id="708" w:name="_Toc169250974"/>
      <w:bookmarkStart w:id="709" w:name="_Toc17408066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55</w:t>
      </w:r>
      <w:r w:rsidRPr="00730B1E">
        <w:rPr>
          <w:color w:val="auto"/>
        </w:rPr>
        <w:fldChar w:fldCharType="end"/>
      </w:r>
      <w:r w:rsidRPr="00730B1E">
        <w:rPr>
          <w:color w:val="auto"/>
        </w:rPr>
        <w:t>: KS – věkové složení soudců v letech 2008–</w:t>
      </w:r>
      <w:bookmarkEnd w:id="702"/>
      <w:bookmarkEnd w:id="703"/>
      <w:bookmarkEnd w:id="704"/>
      <w:bookmarkEnd w:id="705"/>
      <w:bookmarkEnd w:id="706"/>
      <w:r w:rsidRPr="00730B1E">
        <w:rPr>
          <w:color w:val="auto"/>
        </w:rPr>
        <w:t>202</w:t>
      </w:r>
      <w:bookmarkEnd w:id="707"/>
      <w:r w:rsidRPr="00730B1E">
        <w:rPr>
          <w:color w:val="auto"/>
        </w:rPr>
        <w:t>3</w:t>
      </w:r>
      <w:bookmarkEnd w:id="708"/>
      <w:bookmarkEnd w:id="709"/>
    </w:p>
    <w:p w14:paraId="353B8EE1" w14:textId="6A8EE10E" w:rsidR="00863B91" w:rsidRPr="00730B1E" w:rsidRDefault="00D52198" w:rsidP="00863B91">
      <w:r w:rsidRPr="00730B1E">
        <w:rPr>
          <w:noProof/>
          <w:lang w:eastAsia="cs-CZ"/>
        </w:rPr>
        <w:drawing>
          <wp:inline distT="0" distB="0" distL="0" distR="0" wp14:anchorId="4D452799" wp14:editId="6474A946">
            <wp:extent cx="5029200" cy="3657600"/>
            <wp:effectExtent l="0" t="0" r="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BB7B690" w14:textId="77777777" w:rsidR="00EB5611" w:rsidRPr="00730B1E" w:rsidRDefault="00EB5611">
      <w:pPr>
        <w:spacing w:after="160" w:line="259" w:lineRule="auto"/>
        <w:jc w:val="left"/>
      </w:pPr>
    </w:p>
    <w:p w14:paraId="71E375F8" w14:textId="33387AC5" w:rsidR="00EB5611" w:rsidRPr="00730B1E" w:rsidRDefault="00EB5611" w:rsidP="00EB5611">
      <w:pPr>
        <w:pStyle w:val="Podnadpis"/>
        <w:rPr>
          <w:color w:val="auto"/>
        </w:rPr>
      </w:pPr>
      <w:bookmarkStart w:id="710" w:name="_Toc169250975"/>
      <w:bookmarkStart w:id="711" w:name="_Toc17408066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56</w:t>
      </w:r>
      <w:r w:rsidRPr="00730B1E">
        <w:rPr>
          <w:color w:val="auto"/>
        </w:rPr>
        <w:fldChar w:fldCharType="end"/>
      </w:r>
      <w:r w:rsidRPr="00730B1E">
        <w:rPr>
          <w:color w:val="auto"/>
        </w:rPr>
        <w:t xml:space="preserve">: </w:t>
      </w:r>
      <w:r w:rsidR="00D52198" w:rsidRPr="00730B1E">
        <w:rPr>
          <w:color w:val="auto"/>
        </w:rPr>
        <w:t>K</w:t>
      </w:r>
      <w:r w:rsidRPr="00730B1E">
        <w:rPr>
          <w:color w:val="auto"/>
        </w:rPr>
        <w:t>S – věková struktura soudců dle soudů</w:t>
      </w:r>
      <w:r w:rsidR="00962CC3" w:rsidRPr="00730B1E">
        <w:rPr>
          <w:color w:val="auto"/>
        </w:rPr>
        <w:t xml:space="preserve"> v %, 2023</w:t>
      </w:r>
      <w:bookmarkEnd w:id="710"/>
      <w:bookmarkEnd w:id="711"/>
    </w:p>
    <w:p w14:paraId="45FC0C6A" w14:textId="77777777" w:rsidR="00D52198" w:rsidRPr="00730B1E" w:rsidRDefault="00D52198">
      <w:pPr>
        <w:spacing w:after="160" w:line="259" w:lineRule="auto"/>
        <w:jc w:val="left"/>
      </w:pPr>
      <w:r w:rsidRPr="00730B1E">
        <w:rPr>
          <w:noProof/>
          <w:lang w:eastAsia="cs-CZ"/>
        </w:rPr>
        <w:drawing>
          <wp:inline distT="0" distB="0" distL="0" distR="0" wp14:anchorId="5957B827" wp14:editId="2584FD6D">
            <wp:extent cx="5029200" cy="3657600"/>
            <wp:effectExtent l="0" t="0" r="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2B2CA29" w14:textId="77777777" w:rsidR="00D52198" w:rsidRPr="00730B1E" w:rsidRDefault="00D52198" w:rsidP="00D52198">
      <w:pPr>
        <w:pStyle w:val="OdstavecASR"/>
      </w:pPr>
    </w:p>
    <w:p w14:paraId="728210CD" w14:textId="75394FAE" w:rsidR="00D52198" w:rsidRPr="00730B1E" w:rsidRDefault="00D52198" w:rsidP="00D52198">
      <w:pPr>
        <w:pStyle w:val="OdstavecASR"/>
      </w:pPr>
      <w:r w:rsidRPr="00730B1E">
        <w:lastRenderedPageBreak/>
        <w:t>Z těchto dat můžeme vyvodit následující závěry:</w:t>
      </w:r>
    </w:p>
    <w:p w14:paraId="02CB744C" w14:textId="77777777" w:rsidR="00D52198" w:rsidRPr="00730B1E" w:rsidRDefault="00D52198" w:rsidP="00A94F8F">
      <w:pPr>
        <w:pStyle w:val="OdstavecASR"/>
        <w:numPr>
          <w:ilvl w:val="0"/>
          <w:numId w:val="11"/>
        </w:numPr>
      </w:pPr>
      <w:r w:rsidRPr="00730B1E">
        <w:t>Soudci u krajských soudů jsou v průměru výrazně starší než soudci u soudů okresních. To je logické, protože to plyne z kariérního postupu soudců. V naprosté většině jsou noví soudci jmenováni na okresní soudy. Někteří tam zůstanou, jiní jsou přeloženi ke krajským soudům (a později případně i k VS, NS nebo NSS). Mezi jmenováním a přeložením samozřejmě většinou uplyne několik let.</w:t>
      </w:r>
    </w:p>
    <w:p w14:paraId="523949C5" w14:textId="7211FC8B" w:rsidR="00D52198" w:rsidRPr="00730B1E" w:rsidRDefault="00D52198" w:rsidP="00A94F8F">
      <w:pPr>
        <w:pStyle w:val="OdstavecASR"/>
        <w:numPr>
          <w:ilvl w:val="0"/>
          <w:numId w:val="11"/>
        </w:numPr>
      </w:pPr>
      <w:r w:rsidRPr="00730B1E">
        <w:t xml:space="preserve">K dispozici nejsou detailní údaje o věku soudců, takže nelze přesně říct, kde jsou soudci nejmladší. Dle podílů jednotlivých skupin se ale zdá, že nejmladší soudci jsou v průměru </w:t>
      </w:r>
      <w:r w:rsidR="00047C91" w:rsidRPr="00730B1E">
        <w:t>u </w:t>
      </w:r>
      <w:r w:rsidRPr="00730B1E">
        <w:t>KS v Praze, kde v roce 2020 došlo k výraznému omlazení.</w:t>
      </w:r>
    </w:p>
    <w:p w14:paraId="7ACFF351" w14:textId="77777777" w:rsidR="00D52198" w:rsidRPr="00730B1E" w:rsidRDefault="00D52198" w:rsidP="00A94F8F">
      <w:pPr>
        <w:pStyle w:val="OdstavecASR"/>
        <w:numPr>
          <w:ilvl w:val="0"/>
          <w:numId w:val="11"/>
        </w:numPr>
      </w:pPr>
      <w:r w:rsidRPr="00730B1E">
        <w:t>I u KS se věk soudců postupně zvyšoval až do roku 2018, přičemž počet soudců v nejvyšší věkové kategorii zůstával v podstatě stabilní. V posledních letech pak již nedošlo prakticky k žádným výrazným změnám. Důvody pro zvyšování věkového průměru jsou obdobné</w:t>
      </w:r>
      <w:r w:rsidR="00882B92" w:rsidRPr="00730B1E">
        <w:t xml:space="preserve"> jako u okresních soudů</w:t>
      </w:r>
      <w:r w:rsidRPr="00730B1E">
        <w:t>, plynou především ze zvyšování evidenčního počtu soudců před rokem 2006 a ze zvyšování průměrného věku jmenovaných soudců. Pokud jsou u okresních soudů v průměru starší soudci, budou logicky ke krajským soudům také překládáni starší soudci.</w:t>
      </w:r>
    </w:p>
    <w:p w14:paraId="6273F54C" w14:textId="77777777" w:rsidR="000933DC" w:rsidRPr="00730B1E" w:rsidRDefault="000933DC" w:rsidP="000933DC">
      <w:pPr>
        <w:pStyle w:val="Nadpis3"/>
        <w:numPr>
          <w:ilvl w:val="2"/>
          <w:numId w:val="1"/>
        </w:numPr>
        <w:rPr>
          <w:color w:val="auto"/>
        </w:rPr>
      </w:pPr>
      <w:bookmarkStart w:id="712" w:name="_Toc109801361"/>
      <w:bookmarkStart w:id="713" w:name="_Toc169250826"/>
      <w:bookmarkStart w:id="714" w:name="_Toc174080862"/>
      <w:r w:rsidRPr="00730B1E">
        <w:rPr>
          <w:color w:val="auto"/>
        </w:rPr>
        <w:t>Zaměstnanci ve výkonu a ve správě</w:t>
      </w:r>
      <w:bookmarkEnd w:id="712"/>
      <w:bookmarkEnd w:id="713"/>
      <w:bookmarkEnd w:id="714"/>
    </w:p>
    <w:p w14:paraId="068CC812" w14:textId="2F785D52" w:rsidR="00FE2090" w:rsidRPr="00730B1E" w:rsidRDefault="00FE2090" w:rsidP="00FE2090">
      <w:pPr>
        <w:pStyle w:val="OdstavecASR"/>
      </w:pPr>
      <w:r w:rsidRPr="00730B1E">
        <w:t>Pracovní pozice zaměstnanců ve výkonu a jejich pracovní náplň se od okresních soudů mírně liší. Pro účely této zprávy ale postačuje uvést stejné kategorie zaměstnanců ve výkonu jako u soudů okresních. Popis pracovní náplně a význam použitých zkratek uvádíme v podkapitole </w:t>
      </w:r>
      <w:r w:rsidR="00BB1AD0" w:rsidRPr="00730B1E">
        <w:fldChar w:fldCharType="begin"/>
      </w:r>
      <w:r w:rsidR="00BB1AD0" w:rsidRPr="00730B1E">
        <w:instrText xml:space="preserve"> REF _Ref165903038 \r \h </w:instrText>
      </w:r>
      <w:r w:rsidR="00730B1E">
        <w:instrText xml:space="preserve"> \* MERGEFORMAT </w:instrText>
      </w:r>
      <w:r w:rsidR="00BB1AD0" w:rsidRPr="00730B1E">
        <w:fldChar w:fldCharType="separate"/>
      </w:r>
      <w:r w:rsidR="00056825">
        <w:t>2.1.2</w:t>
      </w:r>
      <w:r w:rsidR="00BB1AD0" w:rsidRPr="00730B1E">
        <w:fldChar w:fldCharType="end"/>
      </w:r>
      <w:r w:rsidRPr="00730B1E">
        <w:t>. Znovu tedy pracujeme s nejfrekventovanějšími pracovními pozicemi.</w:t>
      </w:r>
    </w:p>
    <w:p w14:paraId="61E401CD" w14:textId="49BFFBDA" w:rsidR="00FE2090" w:rsidRPr="00730B1E" w:rsidRDefault="00FE2090" w:rsidP="00FE2090">
      <w:pPr>
        <w:pStyle w:val="Podnadpis"/>
        <w:numPr>
          <w:ilvl w:val="0"/>
          <w:numId w:val="0"/>
        </w:numPr>
        <w:rPr>
          <w:color w:val="auto"/>
        </w:rPr>
      </w:pPr>
      <w:bookmarkStart w:id="715" w:name="_Toc515871467"/>
      <w:bookmarkStart w:id="716" w:name="_Toc11133234"/>
      <w:bookmarkStart w:id="717" w:name="_Toc43931210"/>
      <w:bookmarkStart w:id="718" w:name="_Toc75952343"/>
      <w:bookmarkStart w:id="719" w:name="_Toc106106801"/>
      <w:bookmarkStart w:id="720" w:name="_Toc109802124"/>
      <w:bookmarkStart w:id="721" w:name="_Toc144104281"/>
      <w:bookmarkStart w:id="722" w:name="_Toc169251093"/>
      <w:bookmarkStart w:id="723" w:name="_Toc174080779"/>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36</w:t>
      </w:r>
      <w:r w:rsidRPr="00730B1E">
        <w:rPr>
          <w:noProof/>
          <w:color w:val="auto"/>
        </w:rPr>
        <w:fldChar w:fldCharType="end"/>
      </w:r>
      <w:r w:rsidRPr="00730B1E">
        <w:rPr>
          <w:color w:val="auto"/>
        </w:rPr>
        <w:t>: KS – evidenční počet zaměstnanců ve výkonu dle soudů</w:t>
      </w:r>
      <w:bookmarkEnd w:id="715"/>
      <w:bookmarkEnd w:id="716"/>
      <w:bookmarkEnd w:id="717"/>
      <w:bookmarkEnd w:id="718"/>
      <w:bookmarkEnd w:id="719"/>
      <w:bookmarkEnd w:id="720"/>
      <w:bookmarkEnd w:id="721"/>
      <w:r w:rsidR="00962CC3" w:rsidRPr="00730B1E">
        <w:rPr>
          <w:color w:val="auto"/>
        </w:rPr>
        <w:t>, 2023</w:t>
      </w:r>
      <w:bookmarkEnd w:id="722"/>
      <w:bookmarkEnd w:id="723"/>
    </w:p>
    <w:tbl>
      <w:tblPr>
        <w:tblW w:w="8222" w:type="dxa"/>
        <w:tblLayout w:type="fixed"/>
        <w:tblCellMar>
          <w:left w:w="70" w:type="dxa"/>
          <w:right w:w="70" w:type="dxa"/>
        </w:tblCellMar>
        <w:tblLook w:val="04A0" w:firstRow="1" w:lastRow="0" w:firstColumn="1" w:lastColumn="0" w:noHBand="0" w:noVBand="1"/>
      </w:tblPr>
      <w:tblGrid>
        <w:gridCol w:w="2080"/>
        <w:gridCol w:w="695"/>
        <w:gridCol w:w="695"/>
        <w:gridCol w:w="695"/>
        <w:gridCol w:w="695"/>
        <w:gridCol w:w="695"/>
        <w:gridCol w:w="695"/>
        <w:gridCol w:w="696"/>
        <w:gridCol w:w="1270"/>
        <w:gridCol w:w="6"/>
      </w:tblGrid>
      <w:tr w:rsidR="00B64E96" w:rsidRPr="00730B1E" w14:paraId="04D65F85" w14:textId="77777777" w:rsidTr="00962CC3">
        <w:trPr>
          <w:gridAfter w:val="1"/>
          <w:wAfter w:w="6" w:type="dxa"/>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29C165A8"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6136" w:type="dxa"/>
            <w:gridSpan w:val="8"/>
            <w:tcBorders>
              <w:top w:val="double" w:sz="6" w:space="0" w:color="auto"/>
              <w:left w:val="nil"/>
              <w:bottom w:val="nil"/>
              <w:right w:val="nil"/>
            </w:tcBorders>
            <w:shd w:val="clear" w:color="auto" w:fill="auto"/>
            <w:noWrap/>
            <w:vAlign w:val="bottom"/>
            <w:hideMark/>
          </w:tcPr>
          <w:p w14:paraId="7B65A0CA"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Počet osob</w:t>
            </w:r>
          </w:p>
        </w:tc>
      </w:tr>
      <w:tr w:rsidR="00B64E96" w:rsidRPr="00730B1E" w14:paraId="396DED0B" w14:textId="77777777" w:rsidTr="00962CC3">
        <w:trPr>
          <w:trHeight w:val="330"/>
        </w:trPr>
        <w:tc>
          <w:tcPr>
            <w:tcW w:w="2080" w:type="dxa"/>
            <w:vMerge/>
            <w:tcBorders>
              <w:top w:val="double" w:sz="6" w:space="0" w:color="auto"/>
              <w:left w:val="nil"/>
              <w:bottom w:val="double" w:sz="6" w:space="0" w:color="000000"/>
              <w:right w:val="nil"/>
            </w:tcBorders>
            <w:vAlign w:val="center"/>
            <w:hideMark/>
          </w:tcPr>
          <w:p w14:paraId="2F1B27CA" w14:textId="77777777" w:rsidR="00D84F85" w:rsidRPr="00730B1E" w:rsidRDefault="00D84F85" w:rsidP="00D84F85">
            <w:pPr>
              <w:spacing w:line="240" w:lineRule="auto"/>
              <w:jc w:val="left"/>
              <w:rPr>
                <w:rFonts w:eastAsia="Times New Roman"/>
                <w:b/>
                <w:bCs/>
                <w:szCs w:val="24"/>
                <w:lang w:eastAsia="cs-CZ"/>
              </w:rPr>
            </w:pPr>
          </w:p>
        </w:tc>
        <w:tc>
          <w:tcPr>
            <w:tcW w:w="695" w:type="dxa"/>
            <w:tcBorders>
              <w:top w:val="nil"/>
              <w:left w:val="nil"/>
              <w:bottom w:val="double" w:sz="6" w:space="0" w:color="auto"/>
              <w:right w:val="nil"/>
            </w:tcBorders>
            <w:shd w:val="clear" w:color="auto" w:fill="auto"/>
            <w:noWrap/>
            <w:vAlign w:val="bottom"/>
            <w:hideMark/>
          </w:tcPr>
          <w:p w14:paraId="3FD24C3F"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VSÚ</w:t>
            </w:r>
          </w:p>
        </w:tc>
        <w:tc>
          <w:tcPr>
            <w:tcW w:w="695" w:type="dxa"/>
            <w:tcBorders>
              <w:top w:val="nil"/>
              <w:left w:val="nil"/>
              <w:bottom w:val="double" w:sz="6" w:space="0" w:color="auto"/>
              <w:right w:val="nil"/>
            </w:tcBorders>
            <w:shd w:val="clear" w:color="auto" w:fill="auto"/>
            <w:noWrap/>
            <w:vAlign w:val="bottom"/>
            <w:hideMark/>
          </w:tcPr>
          <w:p w14:paraId="01C3DAE4"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ST</w:t>
            </w:r>
          </w:p>
        </w:tc>
        <w:tc>
          <w:tcPr>
            <w:tcW w:w="695" w:type="dxa"/>
            <w:tcBorders>
              <w:top w:val="nil"/>
              <w:left w:val="nil"/>
              <w:bottom w:val="double" w:sz="6" w:space="0" w:color="auto"/>
              <w:right w:val="nil"/>
            </w:tcBorders>
            <w:shd w:val="clear" w:color="auto" w:fill="auto"/>
            <w:noWrap/>
            <w:vAlign w:val="bottom"/>
            <w:hideMark/>
          </w:tcPr>
          <w:p w14:paraId="51B113AD"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A</w:t>
            </w:r>
          </w:p>
        </w:tc>
        <w:tc>
          <w:tcPr>
            <w:tcW w:w="695" w:type="dxa"/>
            <w:tcBorders>
              <w:top w:val="nil"/>
              <w:left w:val="nil"/>
              <w:bottom w:val="double" w:sz="6" w:space="0" w:color="auto"/>
              <w:right w:val="nil"/>
            </w:tcBorders>
            <w:shd w:val="clear" w:color="auto" w:fill="auto"/>
            <w:noWrap/>
            <w:vAlign w:val="bottom"/>
            <w:hideMark/>
          </w:tcPr>
          <w:p w14:paraId="114CAC32"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VK</w:t>
            </w:r>
          </w:p>
        </w:tc>
        <w:tc>
          <w:tcPr>
            <w:tcW w:w="695" w:type="dxa"/>
            <w:tcBorders>
              <w:top w:val="nil"/>
              <w:left w:val="nil"/>
              <w:bottom w:val="double" w:sz="6" w:space="0" w:color="auto"/>
              <w:right w:val="nil"/>
            </w:tcBorders>
            <w:shd w:val="clear" w:color="auto" w:fill="auto"/>
            <w:noWrap/>
            <w:vAlign w:val="bottom"/>
            <w:hideMark/>
          </w:tcPr>
          <w:p w14:paraId="4576A433"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PÚ</w:t>
            </w:r>
          </w:p>
        </w:tc>
        <w:tc>
          <w:tcPr>
            <w:tcW w:w="695" w:type="dxa"/>
            <w:tcBorders>
              <w:top w:val="nil"/>
              <w:left w:val="nil"/>
              <w:bottom w:val="double" w:sz="6" w:space="0" w:color="auto"/>
              <w:right w:val="nil"/>
            </w:tcBorders>
            <w:shd w:val="clear" w:color="auto" w:fill="auto"/>
            <w:noWrap/>
            <w:vAlign w:val="bottom"/>
            <w:hideMark/>
          </w:tcPr>
          <w:p w14:paraId="73860E8B"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Z</w:t>
            </w:r>
          </w:p>
        </w:tc>
        <w:tc>
          <w:tcPr>
            <w:tcW w:w="696" w:type="dxa"/>
            <w:tcBorders>
              <w:top w:val="nil"/>
              <w:left w:val="nil"/>
              <w:bottom w:val="double" w:sz="6" w:space="0" w:color="auto"/>
              <w:right w:val="nil"/>
            </w:tcBorders>
            <w:shd w:val="clear" w:color="auto" w:fill="auto"/>
            <w:noWrap/>
            <w:vAlign w:val="bottom"/>
            <w:hideMark/>
          </w:tcPr>
          <w:p w14:paraId="78E8D86A"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RV</w:t>
            </w:r>
          </w:p>
        </w:tc>
        <w:tc>
          <w:tcPr>
            <w:tcW w:w="1276" w:type="dxa"/>
            <w:gridSpan w:val="2"/>
            <w:tcBorders>
              <w:top w:val="nil"/>
              <w:left w:val="nil"/>
              <w:bottom w:val="double" w:sz="6" w:space="0" w:color="auto"/>
              <w:right w:val="nil"/>
            </w:tcBorders>
            <w:shd w:val="clear" w:color="auto" w:fill="auto"/>
            <w:noWrap/>
            <w:vAlign w:val="bottom"/>
            <w:hideMark/>
          </w:tcPr>
          <w:p w14:paraId="17C34655"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Celkem</w:t>
            </w:r>
          </w:p>
        </w:tc>
      </w:tr>
      <w:tr w:rsidR="00B64E96" w:rsidRPr="00730B1E" w14:paraId="4B1C045D" w14:textId="77777777" w:rsidTr="00962CC3">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492B8162" w14:textId="77777777" w:rsidR="00D84F85" w:rsidRPr="00730B1E" w:rsidRDefault="00D84F85" w:rsidP="00D84F85">
            <w:pPr>
              <w:spacing w:line="240" w:lineRule="auto"/>
              <w:jc w:val="left"/>
              <w:rPr>
                <w:rFonts w:eastAsia="Times New Roman"/>
                <w:szCs w:val="24"/>
                <w:lang w:eastAsia="cs-CZ"/>
              </w:rPr>
            </w:pPr>
            <w:r w:rsidRPr="00730B1E">
              <w:rPr>
                <w:rFonts w:eastAsia="Times New Roman"/>
                <w:szCs w:val="24"/>
                <w:lang w:eastAsia="cs-CZ"/>
              </w:rPr>
              <w:t>MS Praha</w:t>
            </w:r>
          </w:p>
        </w:tc>
        <w:tc>
          <w:tcPr>
            <w:tcW w:w="695" w:type="dxa"/>
            <w:tcBorders>
              <w:top w:val="single" w:sz="4" w:space="0" w:color="auto"/>
              <w:left w:val="nil"/>
              <w:bottom w:val="single" w:sz="4" w:space="0" w:color="auto"/>
              <w:right w:val="nil"/>
            </w:tcBorders>
            <w:shd w:val="clear" w:color="auto" w:fill="auto"/>
            <w:noWrap/>
            <w:vAlign w:val="bottom"/>
            <w:hideMark/>
          </w:tcPr>
          <w:p w14:paraId="250F63E5"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65</w:t>
            </w:r>
          </w:p>
        </w:tc>
        <w:tc>
          <w:tcPr>
            <w:tcW w:w="695" w:type="dxa"/>
            <w:tcBorders>
              <w:top w:val="single" w:sz="4" w:space="0" w:color="auto"/>
              <w:left w:val="nil"/>
              <w:bottom w:val="single" w:sz="4" w:space="0" w:color="auto"/>
              <w:right w:val="nil"/>
            </w:tcBorders>
            <w:shd w:val="clear" w:color="auto" w:fill="auto"/>
            <w:noWrap/>
            <w:vAlign w:val="bottom"/>
            <w:hideMark/>
          </w:tcPr>
          <w:p w14:paraId="5A78131E"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25</w:t>
            </w:r>
          </w:p>
        </w:tc>
        <w:tc>
          <w:tcPr>
            <w:tcW w:w="695" w:type="dxa"/>
            <w:tcBorders>
              <w:top w:val="single" w:sz="4" w:space="0" w:color="auto"/>
              <w:left w:val="nil"/>
              <w:bottom w:val="single" w:sz="4" w:space="0" w:color="auto"/>
              <w:right w:val="nil"/>
            </w:tcBorders>
            <w:shd w:val="clear" w:color="auto" w:fill="auto"/>
            <w:noWrap/>
            <w:vAlign w:val="bottom"/>
            <w:hideMark/>
          </w:tcPr>
          <w:p w14:paraId="4B825850"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117</w:t>
            </w:r>
          </w:p>
        </w:tc>
        <w:tc>
          <w:tcPr>
            <w:tcW w:w="695" w:type="dxa"/>
            <w:tcBorders>
              <w:top w:val="single" w:sz="4" w:space="0" w:color="auto"/>
              <w:left w:val="nil"/>
              <w:bottom w:val="single" w:sz="4" w:space="0" w:color="auto"/>
              <w:right w:val="nil"/>
            </w:tcBorders>
            <w:shd w:val="clear" w:color="auto" w:fill="auto"/>
            <w:noWrap/>
            <w:vAlign w:val="bottom"/>
            <w:hideMark/>
          </w:tcPr>
          <w:p w14:paraId="6282DCE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41</w:t>
            </w:r>
          </w:p>
        </w:tc>
        <w:tc>
          <w:tcPr>
            <w:tcW w:w="695" w:type="dxa"/>
            <w:tcBorders>
              <w:top w:val="single" w:sz="4" w:space="0" w:color="auto"/>
              <w:left w:val="nil"/>
              <w:bottom w:val="single" w:sz="4" w:space="0" w:color="auto"/>
              <w:right w:val="nil"/>
            </w:tcBorders>
            <w:shd w:val="clear" w:color="auto" w:fill="auto"/>
            <w:noWrap/>
            <w:vAlign w:val="bottom"/>
            <w:hideMark/>
          </w:tcPr>
          <w:p w14:paraId="5161CD68"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16</w:t>
            </w:r>
          </w:p>
        </w:tc>
        <w:tc>
          <w:tcPr>
            <w:tcW w:w="695" w:type="dxa"/>
            <w:tcBorders>
              <w:top w:val="single" w:sz="4" w:space="0" w:color="auto"/>
              <w:left w:val="nil"/>
              <w:bottom w:val="single" w:sz="4" w:space="0" w:color="auto"/>
              <w:right w:val="nil"/>
            </w:tcBorders>
            <w:shd w:val="clear" w:color="auto" w:fill="auto"/>
            <w:noWrap/>
            <w:vAlign w:val="bottom"/>
            <w:hideMark/>
          </w:tcPr>
          <w:p w14:paraId="3011E4CD"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92</w:t>
            </w:r>
          </w:p>
        </w:tc>
        <w:tc>
          <w:tcPr>
            <w:tcW w:w="696" w:type="dxa"/>
            <w:tcBorders>
              <w:top w:val="single" w:sz="4" w:space="0" w:color="auto"/>
              <w:left w:val="nil"/>
              <w:bottom w:val="single" w:sz="4" w:space="0" w:color="auto"/>
              <w:right w:val="nil"/>
            </w:tcBorders>
            <w:shd w:val="clear" w:color="auto" w:fill="auto"/>
            <w:noWrap/>
            <w:vAlign w:val="bottom"/>
            <w:hideMark/>
          </w:tcPr>
          <w:p w14:paraId="39835408"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83</w:t>
            </w:r>
          </w:p>
        </w:tc>
        <w:tc>
          <w:tcPr>
            <w:tcW w:w="1276" w:type="dxa"/>
            <w:gridSpan w:val="2"/>
            <w:tcBorders>
              <w:top w:val="single" w:sz="4" w:space="0" w:color="auto"/>
              <w:left w:val="nil"/>
              <w:bottom w:val="single" w:sz="4" w:space="0" w:color="auto"/>
              <w:right w:val="nil"/>
            </w:tcBorders>
            <w:shd w:val="clear" w:color="auto" w:fill="auto"/>
            <w:noWrap/>
            <w:vAlign w:val="bottom"/>
            <w:hideMark/>
          </w:tcPr>
          <w:p w14:paraId="7E3B7C49"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439</w:t>
            </w:r>
          </w:p>
        </w:tc>
      </w:tr>
      <w:tr w:rsidR="00B64E96" w:rsidRPr="00730B1E" w14:paraId="4B2AD0D1" w14:textId="77777777" w:rsidTr="00962CC3">
        <w:trPr>
          <w:trHeight w:val="315"/>
        </w:trPr>
        <w:tc>
          <w:tcPr>
            <w:tcW w:w="2080" w:type="dxa"/>
            <w:tcBorders>
              <w:top w:val="nil"/>
              <w:left w:val="nil"/>
              <w:bottom w:val="single" w:sz="4" w:space="0" w:color="auto"/>
              <w:right w:val="nil"/>
            </w:tcBorders>
            <w:shd w:val="clear" w:color="auto" w:fill="auto"/>
            <w:noWrap/>
            <w:vAlign w:val="bottom"/>
            <w:hideMark/>
          </w:tcPr>
          <w:p w14:paraId="0CE049C4" w14:textId="77777777" w:rsidR="00D84F85" w:rsidRPr="00730B1E" w:rsidRDefault="00D84F85" w:rsidP="00D84F85">
            <w:pPr>
              <w:spacing w:line="240" w:lineRule="auto"/>
              <w:jc w:val="left"/>
              <w:rPr>
                <w:rFonts w:eastAsia="Times New Roman"/>
                <w:szCs w:val="24"/>
                <w:lang w:eastAsia="cs-CZ"/>
              </w:rPr>
            </w:pPr>
            <w:r w:rsidRPr="00730B1E">
              <w:rPr>
                <w:rFonts w:eastAsia="Times New Roman"/>
                <w:szCs w:val="24"/>
                <w:lang w:eastAsia="cs-CZ"/>
              </w:rPr>
              <w:t>KS Praha</w:t>
            </w:r>
          </w:p>
        </w:tc>
        <w:tc>
          <w:tcPr>
            <w:tcW w:w="695" w:type="dxa"/>
            <w:tcBorders>
              <w:top w:val="nil"/>
              <w:left w:val="nil"/>
              <w:bottom w:val="single" w:sz="4" w:space="0" w:color="auto"/>
              <w:right w:val="nil"/>
            </w:tcBorders>
            <w:shd w:val="clear" w:color="auto" w:fill="auto"/>
            <w:noWrap/>
            <w:vAlign w:val="bottom"/>
            <w:hideMark/>
          </w:tcPr>
          <w:p w14:paraId="137A9FD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14</w:t>
            </w:r>
          </w:p>
        </w:tc>
        <w:tc>
          <w:tcPr>
            <w:tcW w:w="695" w:type="dxa"/>
            <w:tcBorders>
              <w:top w:val="nil"/>
              <w:left w:val="nil"/>
              <w:bottom w:val="single" w:sz="4" w:space="0" w:color="auto"/>
              <w:right w:val="nil"/>
            </w:tcBorders>
            <w:shd w:val="clear" w:color="auto" w:fill="auto"/>
            <w:noWrap/>
            <w:vAlign w:val="bottom"/>
            <w:hideMark/>
          </w:tcPr>
          <w:p w14:paraId="625311C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5</w:t>
            </w:r>
          </w:p>
        </w:tc>
        <w:tc>
          <w:tcPr>
            <w:tcW w:w="695" w:type="dxa"/>
            <w:tcBorders>
              <w:top w:val="nil"/>
              <w:left w:val="nil"/>
              <w:bottom w:val="single" w:sz="4" w:space="0" w:color="auto"/>
              <w:right w:val="nil"/>
            </w:tcBorders>
            <w:shd w:val="clear" w:color="auto" w:fill="auto"/>
            <w:noWrap/>
            <w:vAlign w:val="bottom"/>
            <w:hideMark/>
          </w:tcPr>
          <w:p w14:paraId="27DE3093"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41</w:t>
            </w:r>
          </w:p>
        </w:tc>
        <w:tc>
          <w:tcPr>
            <w:tcW w:w="695" w:type="dxa"/>
            <w:tcBorders>
              <w:top w:val="nil"/>
              <w:left w:val="nil"/>
              <w:bottom w:val="single" w:sz="4" w:space="0" w:color="auto"/>
              <w:right w:val="nil"/>
            </w:tcBorders>
            <w:shd w:val="clear" w:color="auto" w:fill="auto"/>
            <w:noWrap/>
            <w:vAlign w:val="bottom"/>
            <w:hideMark/>
          </w:tcPr>
          <w:p w14:paraId="11FA481A"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13</w:t>
            </w:r>
          </w:p>
        </w:tc>
        <w:tc>
          <w:tcPr>
            <w:tcW w:w="695" w:type="dxa"/>
            <w:tcBorders>
              <w:top w:val="nil"/>
              <w:left w:val="nil"/>
              <w:bottom w:val="single" w:sz="4" w:space="0" w:color="auto"/>
              <w:right w:val="nil"/>
            </w:tcBorders>
            <w:shd w:val="clear" w:color="auto" w:fill="auto"/>
            <w:noWrap/>
            <w:vAlign w:val="bottom"/>
            <w:hideMark/>
          </w:tcPr>
          <w:p w14:paraId="49ACD8F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11</w:t>
            </w:r>
          </w:p>
        </w:tc>
        <w:tc>
          <w:tcPr>
            <w:tcW w:w="695" w:type="dxa"/>
            <w:tcBorders>
              <w:top w:val="nil"/>
              <w:left w:val="nil"/>
              <w:bottom w:val="single" w:sz="4" w:space="0" w:color="auto"/>
              <w:right w:val="nil"/>
            </w:tcBorders>
            <w:shd w:val="clear" w:color="auto" w:fill="auto"/>
            <w:noWrap/>
            <w:vAlign w:val="bottom"/>
            <w:hideMark/>
          </w:tcPr>
          <w:p w14:paraId="070CA5E5"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w:t>
            </w:r>
          </w:p>
        </w:tc>
        <w:tc>
          <w:tcPr>
            <w:tcW w:w="696" w:type="dxa"/>
            <w:tcBorders>
              <w:top w:val="nil"/>
              <w:left w:val="nil"/>
              <w:bottom w:val="single" w:sz="4" w:space="0" w:color="auto"/>
              <w:right w:val="nil"/>
            </w:tcBorders>
            <w:shd w:val="clear" w:color="auto" w:fill="auto"/>
            <w:noWrap/>
            <w:vAlign w:val="bottom"/>
            <w:hideMark/>
          </w:tcPr>
          <w:p w14:paraId="0B450914"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54</w:t>
            </w:r>
          </w:p>
        </w:tc>
        <w:tc>
          <w:tcPr>
            <w:tcW w:w="1276" w:type="dxa"/>
            <w:gridSpan w:val="2"/>
            <w:tcBorders>
              <w:top w:val="nil"/>
              <w:left w:val="nil"/>
              <w:bottom w:val="single" w:sz="4" w:space="0" w:color="auto"/>
              <w:right w:val="nil"/>
            </w:tcBorders>
            <w:shd w:val="clear" w:color="auto" w:fill="auto"/>
            <w:noWrap/>
            <w:vAlign w:val="bottom"/>
            <w:hideMark/>
          </w:tcPr>
          <w:p w14:paraId="7279F14B"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139</w:t>
            </w:r>
          </w:p>
        </w:tc>
      </w:tr>
      <w:tr w:rsidR="00B64E96" w:rsidRPr="00730B1E" w14:paraId="2AF6746B" w14:textId="77777777" w:rsidTr="00962CC3">
        <w:trPr>
          <w:trHeight w:val="315"/>
        </w:trPr>
        <w:tc>
          <w:tcPr>
            <w:tcW w:w="2080" w:type="dxa"/>
            <w:tcBorders>
              <w:top w:val="nil"/>
              <w:left w:val="nil"/>
              <w:bottom w:val="single" w:sz="4" w:space="0" w:color="auto"/>
              <w:right w:val="nil"/>
            </w:tcBorders>
            <w:shd w:val="clear" w:color="auto" w:fill="auto"/>
            <w:noWrap/>
            <w:vAlign w:val="bottom"/>
            <w:hideMark/>
          </w:tcPr>
          <w:p w14:paraId="4499C475" w14:textId="77777777" w:rsidR="00D84F85" w:rsidRPr="00730B1E" w:rsidRDefault="00D84F85" w:rsidP="00D84F85">
            <w:pPr>
              <w:spacing w:line="240" w:lineRule="auto"/>
              <w:jc w:val="left"/>
              <w:rPr>
                <w:rFonts w:eastAsia="Times New Roman"/>
                <w:szCs w:val="24"/>
                <w:lang w:eastAsia="cs-CZ"/>
              </w:rPr>
            </w:pPr>
            <w:r w:rsidRPr="00730B1E">
              <w:rPr>
                <w:rFonts w:eastAsia="Times New Roman"/>
                <w:szCs w:val="24"/>
                <w:lang w:eastAsia="cs-CZ"/>
              </w:rPr>
              <w:t>KS Č. Budějovice</w:t>
            </w:r>
          </w:p>
        </w:tc>
        <w:tc>
          <w:tcPr>
            <w:tcW w:w="695" w:type="dxa"/>
            <w:tcBorders>
              <w:top w:val="nil"/>
              <w:left w:val="nil"/>
              <w:bottom w:val="single" w:sz="4" w:space="0" w:color="auto"/>
              <w:right w:val="nil"/>
            </w:tcBorders>
            <w:shd w:val="clear" w:color="auto" w:fill="auto"/>
            <w:noWrap/>
            <w:vAlign w:val="bottom"/>
            <w:hideMark/>
          </w:tcPr>
          <w:p w14:paraId="5A1290DF"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25</w:t>
            </w:r>
          </w:p>
        </w:tc>
        <w:tc>
          <w:tcPr>
            <w:tcW w:w="695" w:type="dxa"/>
            <w:tcBorders>
              <w:top w:val="nil"/>
              <w:left w:val="nil"/>
              <w:bottom w:val="single" w:sz="4" w:space="0" w:color="auto"/>
              <w:right w:val="nil"/>
            </w:tcBorders>
            <w:shd w:val="clear" w:color="auto" w:fill="auto"/>
            <w:noWrap/>
            <w:vAlign w:val="bottom"/>
            <w:hideMark/>
          </w:tcPr>
          <w:p w14:paraId="154CA916"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w:t>
            </w:r>
          </w:p>
        </w:tc>
        <w:tc>
          <w:tcPr>
            <w:tcW w:w="695" w:type="dxa"/>
            <w:tcBorders>
              <w:top w:val="nil"/>
              <w:left w:val="nil"/>
              <w:bottom w:val="single" w:sz="4" w:space="0" w:color="auto"/>
              <w:right w:val="nil"/>
            </w:tcBorders>
            <w:shd w:val="clear" w:color="auto" w:fill="auto"/>
            <w:noWrap/>
            <w:vAlign w:val="bottom"/>
            <w:hideMark/>
          </w:tcPr>
          <w:p w14:paraId="38FF5DF3"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19</w:t>
            </w:r>
          </w:p>
        </w:tc>
        <w:tc>
          <w:tcPr>
            <w:tcW w:w="695" w:type="dxa"/>
            <w:tcBorders>
              <w:top w:val="nil"/>
              <w:left w:val="nil"/>
              <w:bottom w:val="single" w:sz="4" w:space="0" w:color="auto"/>
              <w:right w:val="nil"/>
            </w:tcBorders>
            <w:shd w:val="clear" w:color="auto" w:fill="auto"/>
            <w:noWrap/>
            <w:vAlign w:val="bottom"/>
            <w:hideMark/>
          </w:tcPr>
          <w:p w14:paraId="37C40C85"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12</w:t>
            </w:r>
          </w:p>
        </w:tc>
        <w:tc>
          <w:tcPr>
            <w:tcW w:w="695" w:type="dxa"/>
            <w:tcBorders>
              <w:top w:val="nil"/>
              <w:left w:val="nil"/>
              <w:bottom w:val="single" w:sz="4" w:space="0" w:color="auto"/>
              <w:right w:val="nil"/>
            </w:tcBorders>
            <w:shd w:val="clear" w:color="auto" w:fill="auto"/>
            <w:noWrap/>
            <w:vAlign w:val="bottom"/>
            <w:hideMark/>
          </w:tcPr>
          <w:p w14:paraId="77210A9A"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12</w:t>
            </w:r>
          </w:p>
        </w:tc>
        <w:tc>
          <w:tcPr>
            <w:tcW w:w="695" w:type="dxa"/>
            <w:tcBorders>
              <w:top w:val="nil"/>
              <w:left w:val="nil"/>
              <w:bottom w:val="single" w:sz="4" w:space="0" w:color="auto"/>
              <w:right w:val="nil"/>
            </w:tcBorders>
            <w:shd w:val="clear" w:color="auto" w:fill="auto"/>
            <w:noWrap/>
            <w:vAlign w:val="bottom"/>
            <w:hideMark/>
          </w:tcPr>
          <w:p w14:paraId="49A0B04E"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25</w:t>
            </w:r>
          </w:p>
        </w:tc>
        <w:tc>
          <w:tcPr>
            <w:tcW w:w="696" w:type="dxa"/>
            <w:tcBorders>
              <w:top w:val="nil"/>
              <w:left w:val="nil"/>
              <w:bottom w:val="single" w:sz="4" w:space="0" w:color="auto"/>
              <w:right w:val="nil"/>
            </w:tcBorders>
            <w:shd w:val="clear" w:color="auto" w:fill="auto"/>
            <w:noWrap/>
            <w:vAlign w:val="bottom"/>
            <w:hideMark/>
          </w:tcPr>
          <w:p w14:paraId="34986BA4"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7</w:t>
            </w:r>
          </w:p>
        </w:tc>
        <w:tc>
          <w:tcPr>
            <w:tcW w:w="1276" w:type="dxa"/>
            <w:gridSpan w:val="2"/>
            <w:tcBorders>
              <w:top w:val="nil"/>
              <w:left w:val="nil"/>
              <w:bottom w:val="single" w:sz="4" w:space="0" w:color="auto"/>
              <w:right w:val="nil"/>
            </w:tcBorders>
            <w:shd w:val="clear" w:color="auto" w:fill="auto"/>
            <w:noWrap/>
            <w:vAlign w:val="bottom"/>
            <w:hideMark/>
          </w:tcPr>
          <w:p w14:paraId="56663B1C"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101</w:t>
            </w:r>
          </w:p>
        </w:tc>
      </w:tr>
      <w:tr w:rsidR="00B64E96" w:rsidRPr="00730B1E" w14:paraId="27A0FF87" w14:textId="77777777" w:rsidTr="00962CC3">
        <w:trPr>
          <w:trHeight w:val="315"/>
        </w:trPr>
        <w:tc>
          <w:tcPr>
            <w:tcW w:w="2080" w:type="dxa"/>
            <w:tcBorders>
              <w:top w:val="nil"/>
              <w:left w:val="nil"/>
              <w:bottom w:val="single" w:sz="4" w:space="0" w:color="auto"/>
              <w:right w:val="nil"/>
            </w:tcBorders>
            <w:shd w:val="clear" w:color="auto" w:fill="auto"/>
            <w:noWrap/>
            <w:vAlign w:val="bottom"/>
            <w:hideMark/>
          </w:tcPr>
          <w:p w14:paraId="4BDCFF24" w14:textId="77777777" w:rsidR="00D84F85" w:rsidRPr="00730B1E" w:rsidRDefault="00D84F85" w:rsidP="00D84F85">
            <w:pPr>
              <w:spacing w:line="240" w:lineRule="auto"/>
              <w:jc w:val="left"/>
              <w:rPr>
                <w:rFonts w:eastAsia="Times New Roman"/>
                <w:szCs w:val="24"/>
                <w:lang w:eastAsia="cs-CZ"/>
              </w:rPr>
            </w:pPr>
            <w:r w:rsidRPr="00730B1E">
              <w:rPr>
                <w:rFonts w:eastAsia="Times New Roman"/>
                <w:szCs w:val="24"/>
                <w:lang w:eastAsia="cs-CZ"/>
              </w:rPr>
              <w:t>KS Plzeň</w:t>
            </w:r>
          </w:p>
        </w:tc>
        <w:tc>
          <w:tcPr>
            <w:tcW w:w="695" w:type="dxa"/>
            <w:tcBorders>
              <w:top w:val="nil"/>
              <w:left w:val="nil"/>
              <w:bottom w:val="single" w:sz="4" w:space="0" w:color="auto"/>
              <w:right w:val="nil"/>
            </w:tcBorders>
            <w:shd w:val="clear" w:color="auto" w:fill="auto"/>
            <w:noWrap/>
            <w:vAlign w:val="bottom"/>
            <w:hideMark/>
          </w:tcPr>
          <w:p w14:paraId="7834F2D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17</w:t>
            </w:r>
          </w:p>
        </w:tc>
        <w:tc>
          <w:tcPr>
            <w:tcW w:w="695" w:type="dxa"/>
            <w:tcBorders>
              <w:top w:val="nil"/>
              <w:left w:val="nil"/>
              <w:bottom w:val="single" w:sz="4" w:space="0" w:color="auto"/>
              <w:right w:val="nil"/>
            </w:tcBorders>
            <w:shd w:val="clear" w:color="auto" w:fill="auto"/>
            <w:noWrap/>
            <w:vAlign w:val="bottom"/>
            <w:hideMark/>
          </w:tcPr>
          <w:p w14:paraId="225568D1"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w:t>
            </w:r>
          </w:p>
        </w:tc>
        <w:tc>
          <w:tcPr>
            <w:tcW w:w="695" w:type="dxa"/>
            <w:tcBorders>
              <w:top w:val="nil"/>
              <w:left w:val="nil"/>
              <w:bottom w:val="single" w:sz="4" w:space="0" w:color="auto"/>
              <w:right w:val="nil"/>
            </w:tcBorders>
            <w:shd w:val="clear" w:color="auto" w:fill="auto"/>
            <w:noWrap/>
            <w:vAlign w:val="bottom"/>
            <w:hideMark/>
          </w:tcPr>
          <w:p w14:paraId="41A2E8AD"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31</w:t>
            </w:r>
          </w:p>
        </w:tc>
        <w:tc>
          <w:tcPr>
            <w:tcW w:w="695" w:type="dxa"/>
            <w:tcBorders>
              <w:top w:val="nil"/>
              <w:left w:val="nil"/>
              <w:bottom w:val="single" w:sz="4" w:space="0" w:color="auto"/>
              <w:right w:val="nil"/>
            </w:tcBorders>
            <w:shd w:val="clear" w:color="auto" w:fill="auto"/>
            <w:noWrap/>
            <w:vAlign w:val="bottom"/>
            <w:hideMark/>
          </w:tcPr>
          <w:p w14:paraId="21C50B04"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21</w:t>
            </w:r>
          </w:p>
        </w:tc>
        <w:tc>
          <w:tcPr>
            <w:tcW w:w="695" w:type="dxa"/>
            <w:tcBorders>
              <w:top w:val="nil"/>
              <w:left w:val="nil"/>
              <w:bottom w:val="single" w:sz="4" w:space="0" w:color="auto"/>
              <w:right w:val="nil"/>
            </w:tcBorders>
            <w:shd w:val="clear" w:color="auto" w:fill="auto"/>
            <w:noWrap/>
            <w:vAlign w:val="bottom"/>
            <w:hideMark/>
          </w:tcPr>
          <w:p w14:paraId="1F446DF3"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10</w:t>
            </w:r>
          </w:p>
        </w:tc>
        <w:tc>
          <w:tcPr>
            <w:tcW w:w="695" w:type="dxa"/>
            <w:tcBorders>
              <w:top w:val="nil"/>
              <w:left w:val="nil"/>
              <w:bottom w:val="single" w:sz="4" w:space="0" w:color="auto"/>
              <w:right w:val="nil"/>
            </w:tcBorders>
            <w:shd w:val="clear" w:color="auto" w:fill="auto"/>
            <w:noWrap/>
            <w:vAlign w:val="bottom"/>
            <w:hideMark/>
          </w:tcPr>
          <w:p w14:paraId="1F3AC06C"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27</w:t>
            </w:r>
          </w:p>
        </w:tc>
        <w:tc>
          <w:tcPr>
            <w:tcW w:w="696" w:type="dxa"/>
            <w:tcBorders>
              <w:top w:val="nil"/>
              <w:left w:val="nil"/>
              <w:bottom w:val="single" w:sz="4" w:space="0" w:color="auto"/>
              <w:right w:val="nil"/>
            </w:tcBorders>
            <w:shd w:val="clear" w:color="auto" w:fill="auto"/>
            <w:noWrap/>
            <w:vAlign w:val="bottom"/>
            <w:hideMark/>
          </w:tcPr>
          <w:p w14:paraId="2BF4AB1B"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4</w:t>
            </w:r>
          </w:p>
        </w:tc>
        <w:tc>
          <w:tcPr>
            <w:tcW w:w="1276" w:type="dxa"/>
            <w:gridSpan w:val="2"/>
            <w:tcBorders>
              <w:top w:val="nil"/>
              <w:left w:val="nil"/>
              <w:bottom w:val="single" w:sz="4" w:space="0" w:color="auto"/>
              <w:right w:val="nil"/>
            </w:tcBorders>
            <w:shd w:val="clear" w:color="auto" w:fill="auto"/>
            <w:noWrap/>
            <w:vAlign w:val="bottom"/>
            <w:hideMark/>
          </w:tcPr>
          <w:p w14:paraId="6454E34D"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111</w:t>
            </w:r>
          </w:p>
        </w:tc>
      </w:tr>
      <w:tr w:rsidR="00B64E96" w:rsidRPr="00730B1E" w14:paraId="7118D728" w14:textId="77777777" w:rsidTr="00962CC3">
        <w:trPr>
          <w:trHeight w:val="315"/>
        </w:trPr>
        <w:tc>
          <w:tcPr>
            <w:tcW w:w="2080" w:type="dxa"/>
            <w:tcBorders>
              <w:top w:val="nil"/>
              <w:left w:val="nil"/>
              <w:bottom w:val="single" w:sz="4" w:space="0" w:color="auto"/>
              <w:right w:val="nil"/>
            </w:tcBorders>
            <w:shd w:val="clear" w:color="auto" w:fill="auto"/>
            <w:noWrap/>
            <w:vAlign w:val="bottom"/>
            <w:hideMark/>
          </w:tcPr>
          <w:p w14:paraId="6677AFDD" w14:textId="77777777" w:rsidR="00D84F85" w:rsidRPr="00730B1E" w:rsidRDefault="00D84F85" w:rsidP="00D84F85">
            <w:pPr>
              <w:spacing w:line="240" w:lineRule="auto"/>
              <w:jc w:val="left"/>
              <w:rPr>
                <w:rFonts w:eastAsia="Times New Roman"/>
                <w:szCs w:val="24"/>
                <w:lang w:eastAsia="cs-CZ"/>
              </w:rPr>
            </w:pPr>
            <w:r w:rsidRPr="00730B1E">
              <w:rPr>
                <w:rFonts w:eastAsia="Times New Roman"/>
                <w:szCs w:val="24"/>
                <w:lang w:eastAsia="cs-CZ"/>
              </w:rPr>
              <w:t>KS Ústí n. Labem</w:t>
            </w:r>
          </w:p>
        </w:tc>
        <w:tc>
          <w:tcPr>
            <w:tcW w:w="695" w:type="dxa"/>
            <w:tcBorders>
              <w:top w:val="nil"/>
              <w:left w:val="nil"/>
              <w:bottom w:val="single" w:sz="4" w:space="0" w:color="auto"/>
              <w:right w:val="nil"/>
            </w:tcBorders>
            <w:shd w:val="clear" w:color="auto" w:fill="auto"/>
            <w:noWrap/>
            <w:vAlign w:val="bottom"/>
            <w:hideMark/>
          </w:tcPr>
          <w:p w14:paraId="18A2989D"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50</w:t>
            </w:r>
          </w:p>
        </w:tc>
        <w:tc>
          <w:tcPr>
            <w:tcW w:w="695" w:type="dxa"/>
            <w:tcBorders>
              <w:top w:val="nil"/>
              <w:left w:val="nil"/>
              <w:bottom w:val="single" w:sz="4" w:space="0" w:color="auto"/>
              <w:right w:val="nil"/>
            </w:tcBorders>
            <w:shd w:val="clear" w:color="auto" w:fill="auto"/>
            <w:noWrap/>
            <w:vAlign w:val="bottom"/>
            <w:hideMark/>
          </w:tcPr>
          <w:p w14:paraId="30C58505"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23</w:t>
            </w:r>
          </w:p>
        </w:tc>
        <w:tc>
          <w:tcPr>
            <w:tcW w:w="695" w:type="dxa"/>
            <w:tcBorders>
              <w:top w:val="nil"/>
              <w:left w:val="nil"/>
              <w:bottom w:val="single" w:sz="4" w:space="0" w:color="auto"/>
              <w:right w:val="nil"/>
            </w:tcBorders>
            <w:shd w:val="clear" w:color="auto" w:fill="auto"/>
            <w:noWrap/>
            <w:vAlign w:val="bottom"/>
            <w:hideMark/>
          </w:tcPr>
          <w:p w14:paraId="248CDD52"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34</w:t>
            </w:r>
          </w:p>
        </w:tc>
        <w:tc>
          <w:tcPr>
            <w:tcW w:w="695" w:type="dxa"/>
            <w:tcBorders>
              <w:top w:val="nil"/>
              <w:left w:val="nil"/>
              <w:bottom w:val="single" w:sz="4" w:space="0" w:color="auto"/>
              <w:right w:val="nil"/>
            </w:tcBorders>
            <w:shd w:val="clear" w:color="auto" w:fill="auto"/>
            <w:noWrap/>
            <w:vAlign w:val="bottom"/>
            <w:hideMark/>
          </w:tcPr>
          <w:p w14:paraId="4B1357B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25</w:t>
            </w:r>
          </w:p>
        </w:tc>
        <w:tc>
          <w:tcPr>
            <w:tcW w:w="695" w:type="dxa"/>
            <w:tcBorders>
              <w:top w:val="nil"/>
              <w:left w:val="nil"/>
              <w:bottom w:val="single" w:sz="4" w:space="0" w:color="auto"/>
              <w:right w:val="nil"/>
            </w:tcBorders>
            <w:shd w:val="clear" w:color="auto" w:fill="auto"/>
            <w:noWrap/>
            <w:vAlign w:val="bottom"/>
            <w:hideMark/>
          </w:tcPr>
          <w:p w14:paraId="4019323E"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21</w:t>
            </w:r>
          </w:p>
        </w:tc>
        <w:tc>
          <w:tcPr>
            <w:tcW w:w="695" w:type="dxa"/>
            <w:tcBorders>
              <w:top w:val="nil"/>
              <w:left w:val="nil"/>
              <w:bottom w:val="single" w:sz="4" w:space="0" w:color="auto"/>
              <w:right w:val="nil"/>
            </w:tcBorders>
            <w:shd w:val="clear" w:color="auto" w:fill="auto"/>
            <w:noWrap/>
            <w:vAlign w:val="bottom"/>
            <w:hideMark/>
          </w:tcPr>
          <w:p w14:paraId="21A94CCB"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43</w:t>
            </w:r>
          </w:p>
        </w:tc>
        <w:tc>
          <w:tcPr>
            <w:tcW w:w="696" w:type="dxa"/>
            <w:tcBorders>
              <w:top w:val="nil"/>
              <w:left w:val="nil"/>
              <w:bottom w:val="single" w:sz="4" w:space="0" w:color="auto"/>
              <w:right w:val="nil"/>
            </w:tcBorders>
            <w:shd w:val="clear" w:color="auto" w:fill="auto"/>
            <w:noWrap/>
            <w:vAlign w:val="bottom"/>
            <w:hideMark/>
          </w:tcPr>
          <w:p w14:paraId="76F3BA2B"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22</w:t>
            </w:r>
          </w:p>
        </w:tc>
        <w:tc>
          <w:tcPr>
            <w:tcW w:w="1276" w:type="dxa"/>
            <w:gridSpan w:val="2"/>
            <w:tcBorders>
              <w:top w:val="nil"/>
              <w:left w:val="nil"/>
              <w:bottom w:val="single" w:sz="4" w:space="0" w:color="auto"/>
              <w:right w:val="nil"/>
            </w:tcBorders>
            <w:shd w:val="clear" w:color="auto" w:fill="auto"/>
            <w:noWrap/>
            <w:vAlign w:val="bottom"/>
            <w:hideMark/>
          </w:tcPr>
          <w:p w14:paraId="7F3A0D30"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218</w:t>
            </w:r>
          </w:p>
        </w:tc>
      </w:tr>
      <w:tr w:rsidR="00B64E96" w:rsidRPr="00730B1E" w14:paraId="635990B9" w14:textId="77777777" w:rsidTr="00962CC3">
        <w:trPr>
          <w:trHeight w:val="315"/>
        </w:trPr>
        <w:tc>
          <w:tcPr>
            <w:tcW w:w="2080" w:type="dxa"/>
            <w:tcBorders>
              <w:top w:val="nil"/>
              <w:left w:val="nil"/>
              <w:bottom w:val="single" w:sz="4" w:space="0" w:color="auto"/>
              <w:right w:val="nil"/>
            </w:tcBorders>
            <w:shd w:val="clear" w:color="auto" w:fill="auto"/>
            <w:noWrap/>
            <w:vAlign w:val="bottom"/>
            <w:hideMark/>
          </w:tcPr>
          <w:p w14:paraId="610308F3" w14:textId="77777777" w:rsidR="00D84F85" w:rsidRPr="00730B1E" w:rsidRDefault="00D84F85" w:rsidP="00D84F85">
            <w:pPr>
              <w:spacing w:line="240" w:lineRule="auto"/>
              <w:jc w:val="left"/>
              <w:rPr>
                <w:rFonts w:eastAsia="Times New Roman"/>
                <w:szCs w:val="24"/>
                <w:lang w:eastAsia="cs-CZ"/>
              </w:rPr>
            </w:pPr>
            <w:r w:rsidRPr="00730B1E">
              <w:rPr>
                <w:rFonts w:eastAsia="Times New Roman"/>
                <w:szCs w:val="24"/>
                <w:lang w:eastAsia="cs-CZ"/>
              </w:rPr>
              <w:t>KS Hr. Králové</w:t>
            </w:r>
          </w:p>
        </w:tc>
        <w:tc>
          <w:tcPr>
            <w:tcW w:w="695" w:type="dxa"/>
            <w:tcBorders>
              <w:top w:val="nil"/>
              <w:left w:val="nil"/>
              <w:bottom w:val="single" w:sz="4" w:space="0" w:color="auto"/>
              <w:right w:val="nil"/>
            </w:tcBorders>
            <w:shd w:val="clear" w:color="auto" w:fill="auto"/>
            <w:noWrap/>
            <w:vAlign w:val="bottom"/>
            <w:hideMark/>
          </w:tcPr>
          <w:p w14:paraId="4C7B3003"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27</w:t>
            </w:r>
          </w:p>
        </w:tc>
        <w:tc>
          <w:tcPr>
            <w:tcW w:w="695" w:type="dxa"/>
            <w:tcBorders>
              <w:top w:val="nil"/>
              <w:left w:val="nil"/>
              <w:bottom w:val="single" w:sz="4" w:space="0" w:color="auto"/>
              <w:right w:val="nil"/>
            </w:tcBorders>
            <w:shd w:val="clear" w:color="auto" w:fill="auto"/>
            <w:noWrap/>
            <w:vAlign w:val="bottom"/>
            <w:hideMark/>
          </w:tcPr>
          <w:p w14:paraId="2CEDC5D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6</w:t>
            </w:r>
          </w:p>
        </w:tc>
        <w:tc>
          <w:tcPr>
            <w:tcW w:w="695" w:type="dxa"/>
            <w:tcBorders>
              <w:top w:val="nil"/>
              <w:left w:val="nil"/>
              <w:bottom w:val="single" w:sz="4" w:space="0" w:color="auto"/>
              <w:right w:val="nil"/>
            </w:tcBorders>
            <w:shd w:val="clear" w:color="auto" w:fill="auto"/>
            <w:noWrap/>
            <w:vAlign w:val="bottom"/>
            <w:hideMark/>
          </w:tcPr>
          <w:p w14:paraId="38CBD8BE"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20</w:t>
            </w:r>
          </w:p>
        </w:tc>
        <w:tc>
          <w:tcPr>
            <w:tcW w:w="695" w:type="dxa"/>
            <w:tcBorders>
              <w:top w:val="nil"/>
              <w:left w:val="nil"/>
              <w:bottom w:val="single" w:sz="4" w:space="0" w:color="auto"/>
              <w:right w:val="nil"/>
            </w:tcBorders>
            <w:shd w:val="clear" w:color="auto" w:fill="auto"/>
            <w:noWrap/>
            <w:vAlign w:val="bottom"/>
            <w:hideMark/>
          </w:tcPr>
          <w:p w14:paraId="7F46D2BA"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26</w:t>
            </w:r>
          </w:p>
        </w:tc>
        <w:tc>
          <w:tcPr>
            <w:tcW w:w="695" w:type="dxa"/>
            <w:tcBorders>
              <w:top w:val="nil"/>
              <w:left w:val="nil"/>
              <w:bottom w:val="single" w:sz="4" w:space="0" w:color="auto"/>
              <w:right w:val="nil"/>
            </w:tcBorders>
            <w:shd w:val="clear" w:color="auto" w:fill="auto"/>
            <w:noWrap/>
            <w:vAlign w:val="bottom"/>
            <w:hideMark/>
          </w:tcPr>
          <w:p w14:paraId="5B0F2460"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13</w:t>
            </w:r>
          </w:p>
        </w:tc>
        <w:tc>
          <w:tcPr>
            <w:tcW w:w="695" w:type="dxa"/>
            <w:tcBorders>
              <w:top w:val="nil"/>
              <w:left w:val="nil"/>
              <w:bottom w:val="single" w:sz="4" w:space="0" w:color="auto"/>
              <w:right w:val="nil"/>
            </w:tcBorders>
            <w:shd w:val="clear" w:color="auto" w:fill="auto"/>
            <w:noWrap/>
            <w:vAlign w:val="bottom"/>
            <w:hideMark/>
          </w:tcPr>
          <w:p w14:paraId="6EF36BFC"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53</w:t>
            </w:r>
          </w:p>
        </w:tc>
        <w:tc>
          <w:tcPr>
            <w:tcW w:w="696" w:type="dxa"/>
            <w:tcBorders>
              <w:top w:val="nil"/>
              <w:left w:val="nil"/>
              <w:bottom w:val="single" w:sz="4" w:space="0" w:color="auto"/>
              <w:right w:val="nil"/>
            </w:tcBorders>
            <w:shd w:val="clear" w:color="auto" w:fill="auto"/>
            <w:noWrap/>
            <w:vAlign w:val="bottom"/>
            <w:hideMark/>
          </w:tcPr>
          <w:p w14:paraId="0B829F15"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0</w:t>
            </w:r>
          </w:p>
        </w:tc>
        <w:tc>
          <w:tcPr>
            <w:tcW w:w="1276" w:type="dxa"/>
            <w:gridSpan w:val="2"/>
            <w:tcBorders>
              <w:top w:val="nil"/>
              <w:left w:val="nil"/>
              <w:bottom w:val="single" w:sz="4" w:space="0" w:color="auto"/>
              <w:right w:val="nil"/>
            </w:tcBorders>
            <w:shd w:val="clear" w:color="auto" w:fill="auto"/>
            <w:noWrap/>
            <w:vAlign w:val="bottom"/>
            <w:hideMark/>
          </w:tcPr>
          <w:p w14:paraId="2D1D97E9"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145</w:t>
            </w:r>
          </w:p>
        </w:tc>
      </w:tr>
      <w:tr w:rsidR="00B64E96" w:rsidRPr="00730B1E" w14:paraId="6088A1B9" w14:textId="77777777" w:rsidTr="00962CC3">
        <w:trPr>
          <w:trHeight w:val="315"/>
        </w:trPr>
        <w:tc>
          <w:tcPr>
            <w:tcW w:w="2080" w:type="dxa"/>
            <w:tcBorders>
              <w:top w:val="nil"/>
              <w:left w:val="nil"/>
              <w:bottom w:val="single" w:sz="4" w:space="0" w:color="auto"/>
              <w:right w:val="nil"/>
            </w:tcBorders>
            <w:shd w:val="clear" w:color="auto" w:fill="auto"/>
            <w:noWrap/>
            <w:vAlign w:val="bottom"/>
            <w:hideMark/>
          </w:tcPr>
          <w:p w14:paraId="7E11E331" w14:textId="77777777" w:rsidR="00D84F85" w:rsidRPr="00730B1E" w:rsidRDefault="00D84F85" w:rsidP="00D84F85">
            <w:pPr>
              <w:spacing w:line="240" w:lineRule="auto"/>
              <w:jc w:val="left"/>
              <w:rPr>
                <w:rFonts w:eastAsia="Times New Roman"/>
                <w:szCs w:val="24"/>
                <w:lang w:eastAsia="cs-CZ"/>
              </w:rPr>
            </w:pPr>
            <w:r w:rsidRPr="00730B1E">
              <w:rPr>
                <w:rFonts w:eastAsia="Times New Roman"/>
                <w:szCs w:val="24"/>
                <w:lang w:eastAsia="cs-CZ"/>
              </w:rPr>
              <w:t>KS Brno</w:t>
            </w:r>
          </w:p>
        </w:tc>
        <w:tc>
          <w:tcPr>
            <w:tcW w:w="695" w:type="dxa"/>
            <w:tcBorders>
              <w:top w:val="nil"/>
              <w:left w:val="nil"/>
              <w:bottom w:val="single" w:sz="4" w:space="0" w:color="auto"/>
              <w:right w:val="nil"/>
            </w:tcBorders>
            <w:shd w:val="clear" w:color="auto" w:fill="auto"/>
            <w:noWrap/>
            <w:vAlign w:val="bottom"/>
            <w:hideMark/>
          </w:tcPr>
          <w:p w14:paraId="0F45D4C7"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50</w:t>
            </w:r>
          </w:p>
        </w:tc>
        <w:tc>
          <w:tcPr>
            <w:tcW w:w="695" w:type="dxa"/>
            <w:tcBorders>
              <w:top w:val="nil"/>
              <w:left w:val="nil"/>
              <w:bottom w:val="single" w:sz="4" w:space="0" w:color="auto"/>
              <w:right w:val="nil"/>
            </w:tcBorders>
            <w:shd w:val="clear" w:color="auto" w:fill="auto"/>
            <w:noWrap/>
            <w:vAlign w:val="bottom"/>
            <w:hideMark/>
          </w:tcPr>
          <w:p w14:paraId="05008115"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3</w:t>
            </w:r>
          </w:p>
        </w:tc>
        <w:tc>
          <w:tcPr>
            <w:tcW w:w="695" w:type="dxa"/>
            <w:tcBorders>
              <w:top w:val="nil"/>
              <w:left w:val="nil"/>
              <w:bottom w:val="single" w:sz="4" w:space="0" w:color="auto"/>
              <w:right w:val="nil"/>
            </w:tcBorders>
            <w:shd w:val="clear" w:color="auto" w:fill="auto"/>
            <w:noWrap/>
            <w:vAlign w:val="bottom"/>
            <w:hideMark/>
          </w:tcPr>
          <w:p w14:paraId="7F64AB3D"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59</w:t>
            </w:r>
          </w:p>
        </w:tc>
        <w:tc>
          <w:tcPr>
            <w:tcW w:w="695" w:type="dxa"/>
            <w:tcBorders>
              <w:top w:val="nil"/>
              <w:left w:val="nil"/>
              <w:bottom w:val="single" w:sz="4" w:space="0" w:color="auto"/>
              <w:right w:val="nil"/>
            </w:tcBorders>
            <w:shd w:val="clear" w:color="auto" w:fill="auto"/>
            <w:noWrap/>
            <w:vAlign w:val="bottom"/>
            <w:hideMark/>
          </w:tcPr>
          <w:p w14:paraId="540A2E3B"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31</w:t>
            </w:r>
          </w:p>
        </w:tc>
        <w:tc>
          <w:tcPr>
            <w:tcW w:w="695" w:type="dxa"/>
            <w:tcBorders>
              <w:top w:val="nil"/>
              <w:left w:val="nil"/>
              <w:bottom w:val="single" w:sz="4" w:space="0" w:color="auto"/>
              <w:right w:val="nil"/>
            </w:tcBorders>
            <w:shd w:val="clear" w:color="auto" w:fill="auto"/>
            <w:noWrap/>
            <w:vAlign w:val="bottom"/>
            <w:hideMark/>
          </w:tcPr>
          <w:p w14:paraId="259C7D01"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20</w:t>
            </w:r>
          </w:p>
        </w:tc>
        <w:tc>
          <w:tcPr>
            <w:tcW w:w="695" w:type="dxa"/>
            <w:tcBorders>
              <w:top w:val="nil"/>
              <w:left w:val="nil"/>
              <w:bottom w:val="single" w:sz="4" w:space="0" w:color="auto"/>
              <w:right w:val="nil"/>
            </w:tcBorders>
            <w:shd w:val="clear" w:color="auto" w:fill="auto"/>
            <w:noWrap/>
            <w:vAlign w:val="bottom"/>
            <w:hideMark/>
          </w:tcPr>
          <w:p w14:paraId="7F745498"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68</w:t>
            </w:r>
          </w:p>
        </w:tc>
        <w:tc>
          <w:tcPr>
            <w:tcW w:w="696" w:type="dxa"/>
            <w:tcBorders>
              <w:top w:val="nil"/>
              <w:left w:val="nil"/>
              <w:bottom w:val="single" w:sz="4" w:space="0" w:color="auto"/>
              <w:right w:val="nil"/>
            </w:tcBorders>
            <w:shd w:val="clear" w:color="auto" w:fill="auto"/>
            <w:noWrap/>
            <w:vAlign w:val="bottom"/>
            <w:hideMark/>
          </w:tcPr>
          <w:p w14:paraId="2CDE4521"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25</w:t>
            </w:r>
          </w:p>
        </w:tc>
        <w:tc>
          <w:tcPr>
            <w:tcW w:w="1276" w:type="dxa"/>
            <w:gridSpan w:val="2"/>
            <w:tcBorders>
              <w:top w:val="nil"/>
              <w:left w:val="nil"/>
              <w:bottom w:val="single" w:sz="4" w:space="0" w:color="auto"/>
              <w:right w:val="nil"/>
            </w:tcBorders>
            <w:shd w:val="clear" w:color="auto" w:fill="auto"/>
            <w:noWrap/>
            <w:vAlign w:val="bottom"/>
            <w:hideMark/>
          </w:tcPr>
          <w:p w14:paraId="660ECAD8"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256</w:t>
            </w:r>
          </w:p>
        </w:tc>
      </w:tr>
      <w:tr w:rsidR="00B64E96" w:rsidRPr="00730B1E" w14:paraId="5FE6FDD8" w14:textId="77777777" w:rsidTr="00962CC3">
        <w:trPr>
          <w:trHeight w:val="330"/>
        </w:trPr>
        <w:tc>
          <w:tcPr>
            <w:tcW w:w="2080" w:type="dxa"/>
            <w:tcBorders>
              <w:top w:val="nil"/>
              <w:left w:val="nil"/>
              <w:bottom w:val="double" w:sz="6" w:space="0" w:color="auto"/>
              <w:right w:val="nil"/>
            </w:tcBorders>
            <w:shd w:val="clear" w:color="auto" w:fill="auto"/>
            <w:noWrap/>
            <w:vAlign w:val="bottom"/>
            <w:hideMark/>
          </w:tcPr>
          <w:p w14:paraId="74B12D91" w14:textId="77777777" w:rsidR="00D84F85" w:rsidRPr="00730B1E" w:rsidRDefault="00D84F85" w:rsidP="00D84F85">
            <w:pPr>
              <w:spacing w:line="240" w:lineRule="auto"/>
              <w:jc w:val="left"/>
              <w:rPr>
                <w:rFonts w:eastAsia="Times New Roman"/>
                <w:szCs w:val="24"/>
                <w:lang w:eastAsia="cs-CZ"/>
              </w:rPr>
            </w:pPr>
            <w:r w:rsidRPr="00730B1E">
              <w:rPr>
                <w:rFonts w:eastAsia="Times New Roman"/>
                <w:szCs w:val="24"/>
                <w:lang w:eastAsia="cs-CZ"/>
              </w:rPr>
              <w:t>KS Ostrava</w:t>
            </w:r>
          </w:p>
        </w:tc>
        <w:tc>
          <w:tcPr>
            <w:tcW w:w="695" w:type="dxa"/>
            <w:tcBorders>
              <w:top w:val="nil"/>
              <w:left w:val="nil"/>
              <w:bottom w:val="double" w:sz="6" w:space="0" w:color="auto"/>
              <w:right w:val="nil"/>
            </w:tcBorders>
            <w:shd w:val="clear" w:color="auto" w:fill="auto"/>
            <w:noWrap/>
            <w:vAlign w:val="bottom"/>
            <w:hideMark/>
          </w:tcPr>
          <w:p w14:paraId="4C2DFB14"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55</w:t>
            </w:r>
          </w:p>
        </w:tc>
        <w:tc>
          <w:tcPr>
            <w:tcW w:w="695" w:type="dxa"/>
            <w:tcBorders>
              <w:top w:val="nil"/>
              <w:left w:val="nil"/>
              <w:bottom w:val="double" w:sz="6" w:space="0" w:color="auto"/>
              <w:right w:val="nil"/>
            </w:tcBorders>
            <w:shd w:val="clear" w:color="auto" w:fill="auto"/>
            <w:noWrap/>
            <w:vAlign w:val="bottom"/>
            <w:hideMark/>
          </w:tcPr>
          <w:p w14:paraId="1B05FB38"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9</w:t>
            </w:r>
          </w:p>
        </w:tc>
        <w:tc>
          <w:tcPr>
            <w:tcW w:w="695" w:type="dxa"/>
            <w:tcBorders>
              <w:top w:val="nil"/>
              <w:left w:val="nil"/>
              <w:bottom w:val="double" w:sz="6" w:space="0" w:color="auto"/>
              <w:right w:val="nil"/>
            </w:tcBorders>
            <w:shd w:val="clear" w:color="auto" w:fill="auto"/>
            <w:noWrap/>
            <w:vAlign w:val="bottom"/>
            <w:hideMark/>
          </w:tcPr>
          <w:p w14:paraId="4F835BB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48</w:t>
            </w:r>
          </w:p>
        </w:tc>
        <w:tc>
          <w:tcPr>
            <w:tcW w:w="695" w:type="dxa"/>
            <w:tcBorders>
              <w:top w:val="nil"/>
              <w:left w:val="nil"/>
              <w:bottom w:val="double" w:sz="6" w:space="0" w:color="auto"/>
              <w:right w:val="nil"/>
            </w:tcBorders>
            <w:shd w:val="clear" w:color="auto" w:fill="auto"/>
            <w:noWrap/>
            <w:vAlign w:val="bottom"/>
            <w:hideMark/>
          </w:tcPr>
          <w:p w14:paraId="7D62B3E0"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34</w:t>
            </w:r>
          </w:p>
        </w:tc>
        <w:tc>
          <w:tcPr>
            <w:tcW w:w="695" w:type="dxa"/>
            <w:tcBorders>
              <w:top w:val="nil"/>
              <w:left w:val="nil"/>
              <w:bottom w:val="double" w:sz="6" w:space="0" w:color="auto"/>
              <w:right w:val="nil"/>
            </w:tcBorders>
            <w:shd w:val="clear" w:color="auto" w:fill="auto"/>
            <w:noWrap/>
            <w:vAlign w:val="bottom"/>
            <w:hideMark/>
          </w:tcPr>
          <w:p w14:paraId="4E9B9940"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30</w:t>
            </w:r>
          </w:p>
        </w:tc>
        <w:tc>
          <w:tcPr>
            <w:tcW w:w="695" w:type="dxa"/>
            <w:tcBorders>
              <w:top w:val="nil"/>
              <w:left w:val="nil"/>
              <w:bottom w:val="double" w:sz="6" w:space="0" w:color="auto"/>
              <w:right w:val="nil"/>
            </w:tcBorders>
            <w:shd w:val="clear" w:color="auto" w:fill="auto"/>
            <w:noWrap/>
            <w:vAlign w:val="bottom"/>
            <w:hideMark/>
          </w:tcPr>
          <w:p w14:paraId="42531646"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72</w:t>
            </w:r>
          </w:p>
        </w:tc>
        <w:tc>
          <w:tcPr>
            <w:tcW w:w="696" w:type="dxa"/>
            <w:tcBorders>
              <w:top w:val="nil"/>
              <w:left w:val="nil"/>
              <w:bottom w:val="double" w:sz="6" w:space="0" w:color="auto"/>
              <w:right w:val="nil"/>
            </w:tcBorders>
            <w:shd w:val="clear" w:color="auto" w:fill="auto"/>
            <w:noWrap/>
            <w:vAlign w:val="bottom"/>
            <w:hideMark/>
          </w:tcPr>
          <w:p w14:paraId="088A5619" w14:textId="77777777" w:rsidR="00D84F85" w:rsidRPr="00730B1E" w:rsidRDefault="00D84F85" w:rsidP="00D84F85">
            <w:pPr>
              <w:spacing w:line="240" w:lineRule="auto"/>
              <w:jc w:val="center"/>
              <w:rPr>
                <w:rFonts w:eastAsia="Times New Roman"/>
                <w:szCs w:val="24"/>
                <w:lang w:eastAsia="cs-CZ"/>
              </w:rPr>
            </w:pPr>
            <w:r w:rsidRPr="00730B1E">
              <w:rPr>
                <w:rFonts w:eastAsia="Times New Roman"/>
                <w:szCs w:val="24"/>
                <w:lang w:eastAsia="cs-CZ"/>
              </w:rPr>
              <w:t>42</w:t>
            </w:r>
          </w:p>
        </w:tc>
        <w:tc>
          <w:tcPr>
            <w:tcW w:w="1276" w:type="dxa"/>
            <w:gridSpan w:val="2"/>
            <w:tcBorders>
              <w:top w:val="nil"/>
              <w:left w:val="nil"/>
              <w:bottom w:val="nil"/>
              <w:right w:val="nil"/>
            </w:tcBorders>
            <w:shd w:val="clear" w:color="auto" w:fill="auto"/>
            <w:noWrap/>
            <w:vAlign w:val="bottom"/>
            <w:hideMark/>
          </w:tcPr>
          <w:p w14:paraId="3E15A851"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290</w:t>
            </w:r>
          </w:p>
        </w:tc>
      </w:tr>
      <w:tr w:rsidR="00B64E96" w:rsidRPr="00730B1E" w14:paraId="168976F4" w14:textId="77777777" w:rsidTr="00962CC3">
        <w:trPr>
          <w:trHeight w:val="345"/>
        </w:trPr>
        <w:tc>
          <w:tcPr>
            <w:tcW w:w="2080" w:type="dxa"/>
            <w:tcBorders>
              <w:top w:val="nil"/>
              <w:left w:val="nil"/>
              <w:bottom w:val="double" w:sz="6" w:space="0" w:color="auto"/>
              <w:right w:val="nil"/>
            </w:tcBorders>
            <w:shd w:val="clear" w:color="auto" w:fill="auto"/>
            <w:noWrap/>
            <w:vAlign w:val="bottom"/>
            <w:hideMark/>
          </w:tcPr>
          <w:p w14:paraId="3BA5402E" w14:textId="77777777" w:rsidR="00D84F85" w:rsidRPr="00730B1E" w:rsidRDefault="00D84F85" w:rsidP="00D84F85">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695" w:type="dxa"/>
            <w:tcBorders>
              <w:top w:val="nil"/>
              <w:left w:val="nil"/>
              <w:bottom w:val="double" w:sz="6" w:space="0" w:color="auto"/>
              <w:right w:val="nil"/>
            </w:tcBorders>
            <w:shd w:val="clear" w:color="auto" w:fill="auto"/>
            <w:noWrap/>
            <w:vAlign w:val="bottom"/>
            <w:hideMark/>
          </w:tcPr>
          <w:p w14:paraId="4D9BF017"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303</w:t>
            </w:r>
          </w:p>
        </w:tc>
        <w:tc>
          <w:tcPr>
            <w:tcW w:w="695" w:type="dxa"/>
            <w:tcBorders>
              <w:top w:val="nil"/>
              <w:left w:val="nil"/>
              <w:bottom w:val="double" w:sz="6" w:space="0" w:color="auto"/>
              <w:right w:val="nil"/>
            </w:tcBorders>
            <w:shd w:val="clear" w:color="auto" w:fill="auto"/>
            <w:noWrap/>
            <w:vAlign w:val="bottom"/>
            <w:hideMark/>
          </w:tcPr>
          <w:p w14:paraId="725671DA"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73</w:t>
            </w:r>
          </w:p>
        </w:tc>
        <w:tc>
          <w:tcPr>
            <w:tcW w:w="695" w:type="dxa"/>
            <w:tcBorders>
              <w:top w:val="nil"/>
              <w:left w:val="nil"/>
              <w:bottom w:val="double" w:sz="6" w:space="0" w:color="auto"/>
              <w:right w:val="nil"/>
            </w:tcBorders>
            <w:shd w:val="clear" w:color="auto" w:fill="auto"/>
            <w:noWrap/>
            <w:vAlign w:val="bottom"/>
            <w:hideMark/>
          </w:tcPr>
          <w:p w14:paraId="795AADAE"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369</w:t>
            </w:r>
          </w:p>
        </w:tc>
        <w:tc>
          <w:tcPr>
            <w:tcW w:w="695" w:type="dxa"/>
            <w:tcBorders>
              <w:top w:val="nil"/>
              <w:left w:val="nil"/>
              <w:bottom w:val="double" w:sz="6" w:space="0" w:color="auto"/>
              <w:right w:val="nil"/>
            </w:tcBorders>
            <w:shd w:val="clear" w:color="auto" w:fill="auto"/>
            <w:noWrap/>
            <w:vAlign w:val="bottom"/>
            <w:hideMark/>
          </w:tcPr>
          <w:p w14:paraId="26C5E539"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203</w:t>
            </w:r>
          </w:p>
        </w:tc>
        <w:tc>
          <w:tcPr>
            <w:tcW w:w="695" w:type="dxa"/>
            <w:tcBorders>
              <w:top w:val="nil"/>
              <w:left w:val="nil"/>
              <w:bottom w:val="double" w:sz="6" w:space="0" w:color="auto"/>
              <w:right w:val="nil"/>
            </w:tcBorders>
            <w:shd w:val="clear" w:color="auto" w:fill="auto"/>
            <w:noWrap/>
            <w:vAlign w:val="bottom"/>
            <w:hideMark/>
          </w:tcPr>
          <w:p w14:paraId="10F77CAC"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133</w:t>
            </w:r>
          </w:p>
        </w:tc>
        <w:tc>
          <w:tcPr>
            <w:tcW w:w="695" w:type="dxa"/>
            <w:tcBorders>
              <w:top w:val="nil"/>
              <w:left w:val="nil"/>
              <w:bottom w:val="double" w:sz="6" w:space="0" w:color="auto"/>
              <w:right w:val="nil"/>
            </w:tcBorders>
            <w:shd w:val="clear" w:color="auto" w:fill="auto"/>
            <w:noWrap/>
            <w:vAlign w:val="bottom"/>
            <w:hideMark/>
          </w:tcPr>
          <w:p w14:paraId="01769879"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381</w:t>
            </w:r>
          </w:p>
        </w:tc>
        <w:tc>
          <w:tcPr>
            <w:tcW w:w="696" w:type="dxa"/>
            <w:tcBorders>
              <w:top w:val="nil"/>
              <w:left w:val="nil"/>
              <w:bottom w:val="double" w:sz="6" w:space="0" w:color="auto"/>
              <w:right w:val="nil"/>
            </w:tcBorders>
            <w:shd w:val="clear" w:color="auto" w:fill="auto"/>
            <w:noWrap/>
            <w:vAlign w:val="bottom"/>
            <w:hideMark/>
          </w:tcPr>
          <w:p w14:paraId="3DC40019" w14:textId="77777777"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237</w:t>
            </w:r>
          </w:p>
        </w:tc>
        <w:tc>
          <w:tcPr>
            <w:tcW w:w="1276" w:type="dxa"/>
            <w:gridSpan w:val="2"/>
            <w:tcBorders>
              <w:top w:val="double" w:sz="6" w:space="0" w:color="auto"/>
              <w:left w:val="nil"/>
              <w:bottom w:val="double" w:sz="6" w:space="0" w:color="auto"/>
              <w:right w:val="nil"/>
            </w:tcBorders>
            <w:shd w:val="clear" w:color="auto" w:fill="auto"/>
            <w:noWrap/>
            <w:vAlign w:val="bottom"/>
            <w:hideMark/>
          </w:tcPr>
          <w:p w14:paraId="23448405" w14:textId="7B4C0733" w:rsidR="00D84F85" w:rsidRPr="00730B1E" w:rsidRDefault="00D84F85" w:rsidP="00D84F85">
            <w:pPr>
              <w:spacing w:line="240" w:lineRule="auto"/>
              <w:jc w:val="center"/>
              <w:rPr>
                <w:rFonts w:eastAsia="Times New Roman"/>
                <w:b/>
                <w:bCs/>
                <w:szCs w:val="24"/>
                <w:lang w:eastAsia="cs-CZ"/>
              </w:rPr>
            </w:pPr>
            <w:r w:rsidRPr="00730B1E">
              <w:rPr>
                <w:rFonts w:eastAsia="Times New Roman"/>
                <w:b/>
                <w:bCs/>
                <w:szCs w:val="24"/>
                <w:lang w:eastAsia="cs-CZ"/>
              </w:rPr>
              <w:t>1</w:t>
            </w:r>
            <w:r w:rsidR="00BB1AD0" w:rsidRPr="00730B1E">
              <w:rPr>
                <w:rFonts w:eastAsia="Times New Roman"/>
                <w:b/>
                <w:bCs/>
                <w:szCs w:val="24"/>
                <w:lang w:eastAsia="cs-CZ"/>
              </w:rPr>
              <w:t xml:space="preserve"> </w:t>
            </w:r>
            <w:r w:rsidRPr="00730B1E">
              <w:rPr>
                <w:rFonts w:eastAsia="Times New Roman"/>
                <w:b/>
                <w:bCs/>
                <w:szCs w:val="24"/>
                <w:lang w:eastAsia="cs-CZ"/>
              </w:rPr>
              <w:t>699</w:t>
            </w:r>
          </w:p>
        </w:tc>
      </w:tr>
      <w:tr w:rsidR="00B64E96" w:rsidRPr="00730B1E" w14:paraId="6F5D8E53" w14:textId="77777777" w:rsidTr="00962CC3">
        <w:trPr>
          <w:trHeight w:val="330"/>
        </w:trPr>
        <w:tc>
          <w:tcPr>
            <w:tcW w:w="2080" w:type="dxa"/>
            <w:tcBorders>
              <w:top w:val="nil"/>
              <w:left w:val="nil"/>
              <w:bottom w:val="nil"/>
              <w:right w:val="nil"/>
            </w:tcBorders>
            <w:shd w:val="clear" w:color="auto" w:fill="auto"/>
            <w:noWrap/>
            <w:vAlign w:val="bottom"/>
            <w:hideMark/>
          </w:tcPr>
          <w:p w14:paraId="32A53EE4" w14:textId="77777777" w:rsidR="00D84F85" w:rsidRPr="00730B1E" w:rsidRDefault="00D84F85" w:rsidP="00D84F85">
            <w:pPr>
              <w:spacing w:line="240" w:lineRule="auto"/>
              <w:jc w:val="center"/>
              <w:rPr>
                <w:rFonts w:eastAsia="Times New Roman"/>
                <w:b/>
                <w:bCs/>
                <w:szCs w:val="24"/>
                <w:lang w:eastAsia="cs-CZ"/>
              </w:rPr>
            </w:pPr>
          </w:p>
        </w:tc>
        <w:tc>
          <w:tcPr>
            <w:tcW w:w="695" w:type="dxa"/>
            <w:tcBorders>
              <w:top w:val="nil"/>
              <w:left w:val="nil"/>
              <w:bottom w:val="nil"/>
              <w:right w:val="nil"/>
            </w:tcBorders>
            <w:shd w:val="clear" w:color="auto" w:fill="auto"/>
            <w:noWrap/>
            <w:vAlign w:val="bottom"/>
            <w:hideMark/>
          </w:tcPr>
          <w:p w14:paraId="086A78EA" w14:textId="77777777" w:rsidR="00D84F85" w:rsidRPr="00DF07F3" w:rsidRDefault="00D84F85" w:rsidP="00D84F85">
            <w:pPr>
              <w:spacing w:line="240" w:lineRule="auto"/>
              <w:jc w:val="left"/>
              <w:rPr>
                <w:sz w:val="20"/>
              </w:rPr>
            </w:pPr>
          </w:p>
        </w:tc>
        <w:tc>
          <w:tcPr>
            <w:tcW w:w="695" w:type="dxa"/>
            <w:tcBorders>
              <w:top w:val="nil"/>
              <w:left w:val="nil"/>
              <w:bottom w:val="nil"/>
              <w:right w:val="nil"/>
            </w:tcBorders>
            <w:shd w:val="clear" w:color="auto" w:fill="auto"/>
            <w:noWrap/>
            <w:vAlign w:val="bottom"/>
            <w:hideMark/>
          </w:tcPr>
          <w:p w14:paraId="77AD5271" w14:textId="77777777" w:rsidR="00D84F85" w:rsidRPr="00DF07F3" w:rsidRDefault="00D84F85" w:rsidP="00D84F85">
            <w:pPr>
              <w:spacing w:line="240" w:lineRule="auto"/>
              <w:jc w:val="left"/>
              <w:rPr>
                <w:sz w:val="20"/>
              </w:rPr>
            </w:pPr>
          </w:p>
        </w:tc>
        <w:tc>
          <w:tcPr>
            <w:tcW w:w="695" w:type="dxa"/>
            <w:tcBorders>
              <w:top w:val="nil"/>
              <w:left w:val="nil"/>
              <w:bottom w:val="nil"/>
              <w:right w:val="nil"/>
            </w:tcBorders>
            <w:shd w:val="clear" w:color="auto" w:fill="auto"/>
            <w:noWrap/>
            <w:vAlign w:val="bottom"/>
            <w:hideMark/>
          </w:tcPr>
          <w:p w14:paraId="4F40A40C" w14:textId="77777777" w:rsidR="00D84F85" w:rsidRPr="00DF07F3" w:rsidRDefault="00D84F85" w:rsidP="00D84F85">
            <w:pPr>
              <w:spacing w:line="240" w:lineRule="auto"/>
              <w:jc w:val="left"/>
              <w:rPr>
                <w:sz w:val="20"/>
              </w:rPr>
            </w:pPr>
          </w:p>
        </w:tc>
        <w:tc>
          <w:tcPr>
            <w:tcW w:w="695" w:type="dxa"/>
            <w:tcBorders>
              <w:top w:val="nil"/>
              <w:left w:val="nil"/>
              <w:bottom w:val="nil"/>
              <w:right w:val="nil"/>
            </w:tcBorders>
            <w:shd w:val="clear" w:color="auto" w:fill="auto"/>
            <w:noWrap/>
            <w:vAlign w:val="bottom"/>
            <w:hideMark/>
          </w:tcPr>
          <w:p w14:paraId="7DE248E2" w14:textId="77777777" w:rsidR="00D84F85" w:rsidRPr="00DF07F3" w:rsidRDefault="00D84F85" w:rsidP="00D84F85">
            <w:pPr>
              <w:spacing w:line="240" w:lineRule="auto"/>
              <w:jc w:val="left"/>
              <w:rPr>
                <w:sz w:val="20"/>
              </w:rPr>
            </w:pPr>
          </w:p>
        </w:tc>
        <w:tc>
          <w:tcPr>
            <w:tcW w:w="695" w:type="dxa"/>
            <w:tcBorders>
              <w:top w:val="nil"/>
              <w:left w:val="nil"/>
              <w:bottom w:val="nil"/>
              <w:right w:val="nil"/>
            </w:tcBorders>
            <w:shd w:val="clear" w:color="auto" w:fill="auto"/>
            <w:noWrap/>
            <w:vAlign w:val="bottom"/>
            <w:hideMark/>
          </w:tcPr>
          <w:p w14:paraId="6D12EED9" w14:textId="77777777" w:rsidR="00D84F85" w:rsidRPr="00DF07F3" w:rsidRDefault="00D84F85" w:rsidP="00D84F85">
            <w:pPr>
              <w:spacing w:line="240" w:lineRule="auto"/>
              <w:jc w:val="left"/>
              <w:rPr>
                <w:sz w:val="20"/>
              </w:rPr>
            </w:pPr>
          </w:p>
        </w:tc>
        <w:tc>
          <w:tcPr>
            <w:tcW w:w="695" w:type="dxa"/>
            <w:tcBorders>
              <w:top w:val="nil"/>
              <w:left w:val="nil"/>
              <w:bottom w:val="nil"/>
              <w:right w:val="nil"/>
            </w:tcBorders>
            <w:shd w:val="clear" w:color="auto" w:fill="auto"/>
            <w:noWrap/>
            <w:vAlign w:val="bottom"/>
            <w:hideMark/>
          </w:tcPr>
          <w:p w14:paraId="0A61F8A4" w14:textId="77777777" w:rsidR="00D84F85" w:rsidRPr="00DF07F3" w:rsidRDefault="00D84F85" w:rsidP="00D84F85">
            <w:pPr>
              <w:spacing w:line="240" w:lineRule="auto"/>
              <w:jc w:val="left"/>
              <w:rPr>
                <w:sz w:val="20"/>
              </w:rPr>
            </w:pPr>
          </w:p>
        </w:tc>
        <w:tc>
          <w:tcPr>
            <w:tcW w:w="696" w:type="dxa"/>
            <w:tcBorders>
              <w:top w:val="nil"/>
              <w:left w:val="nil"/>
              <w:bottom w:val="nil"/>
              <w:right w:val="nil"/>
            </w:tcBorders>
            <w:shd w:val="clear" w:color="auto" w:fill="auto"/>
            <w:noWrap/>
            <w:vAlign w:val="bottom"/>
            <w:hideMark/>
          </w:tcPr>
          <w:p w14:paraId="6B8C5E27" w14:textId="77777777" w:rsidR="00D84F85" w:rsidRPr="00DF07F3" w:rsidRDefault="00D84F85" w:rsidP="00D84F85">
            <w:pPr>
              <w:spacing w:line="240" w:lineRule="auto"/>
              <w:jc w:val="left"/>
              <w:rPr>
                <w:sz w:val="20"/>
              </w:rPr>
            </w:pPr>
          </w:p>
        </w:tc>
        <w:tc>
          <w:tcPr>
            <w:tcW w:w="1276" w:type="dxa"/>
            <w:gridSpan w:val="2"/>
            <w:tcBorders>
              <w:top w:val="nil"/>
              <w:left w:val="nil"/>
              <w:bottom w:val="nil"/>
              <w:right w:val="nil"/>
            </w:tcBorders>
            <w:shd w:val="clear" w:color="auto" w:fill="auto"/>
            <w:noWrap/>
            <w:vAlign w:val="bottom"/>
            <w:hideMark/>
          </w:tcPr>
          <w:p w14:paraId="0304EF50" w14:textId="77777777" w:rsidR="00D84F85" w:rsidRPr="00DF07F3" w:rsidRDefault="00D84F85" w:rsidP="00D84F85">
            <w:pPr>
              <w:spacing w:line="240" w:lineRule="auto"/>
              <w:jc w:val="left"/>
              <w:rPr>
                <w:sz w:val="20"/>
              </w:rPr>
            </w:pPr>
          </w:p>
        </w:tc>
      </w:tr>
    </w:tbl>
    <w:p w14:paraId="50EE4FDC" w14:textId="5D95E25D" w:rsidR="00CD59BC" w:rsidRPr="00730B1E" w:rsidRDefault="00D84F85" w:rsidP="00D84F85">
      <w:pPr>
        <w:pStyle w:val="OdstavecASR"/>
      </w:pPr>
      <w:r w:rsidRPr="00730B1E">
        <w:t xml:space="preserve">Opět platí, že počet zaměstnanců ve výkonu se odvíjí od systemizace, personální politiky soudů a situace na trhu práce. U krajských soudů je počet zaměstnanců ve výkonu v poměru k počtu soudců nižší než u okresních soudů. To je důsledkem rozdílnosti zpracovávaných agend (méně práce, kterou lze delegovat na nesoudcovský personál). Po skokovém posílení jejich stavu o 101 zaměstnanců v roce 2017 došlo ke stabilizaci počtů v roce 2018. Z 1 531 v roce 2016 vzrostl počet zaměstnanců ve výkonu na 1 632, tedy asi o 7 %, a v roce 2018 již pouze o 12 osob. Jestliže v roce </w:t>
      </w:r>
      <w:r w:rsidRPr="00730B1E">
        <w:lastRenderedPageBreak/>
        <w:t xml:space="preserve">2017 byl v zásadě celý růst dán růstem počtu asistentů z 228 na 326, v roce 2018 docházelo zejména k přesunům mezi funkcemi v rámci krajských soudů. V roce 2020 došlo opět k mírnému </w:t>
      </w:r>
      <w:r w:rsidR="00684166" w:rsidRPr="00730B1E">
        <w:t>nárůstu</w:t>
      </w:r>
      <w:r w:rsidRPr="00730B1E">
        <w:t xml:space="preserve"> (o 47 osob), a to především u soudů v Praze (MS Praha, KS Praha). Vzrostl především počet VSÚ a zapisovatelek. V roce 2021 se celkový počet zaměstnanců takřka nezměnil – vzrostl o 10 na 1 738. V roce 2022 také došlo k malé změně, počet zaměstnanců klesl o 23 na 1715. V jednotlivých kategoriích došlo k malý</w:t>
      </w:r>
      <w:r w:rsidR="00882B92" w:rsidRPr="00730B1E">
        <w:t>m</w:t>
      </w:r>
      <w:r w:rsidRPr="00730B1E">
        <w:t xml:space="preserve"> posunům. To</w:t>
      </w:r>
      <w:r w:rsidR="00882B92" w:rsidRPr="00730B1E">
        <w:t>též</w:t>
      </w:r>
      <w:r w:rsidRPr="00730B1E">
        <w:t xml:space="preserve"> lze říc</w:t>
      </w:r>
      <w:r w:rsidR="00882B92" w:rsidRPr="00730B1E">
        <w:t>i</w:t>
      </w:r>
      <w:r w:rsidRPr="00730B1E">
        <w:t xml:space="preserve"> o roce 2023, kdy celkový počet zaměstnanců klesl o 16 nad 1</w:t>
      </w:r>
      <w:r w:rsidR="00855B9C" w:rsidRPr="00730B1E">
        <w:t> </w:t>
      </w:r>
      <w:r w:rsidRPr="00730B1E">
        <w:t>699.</w:t>
      </w:r>
    </w:p>
    <w:p w14:paraId="3DA338E2" w14:textId="77777777" w:rsidR="00506350" w:rsidRPr="00730B1E" w:rsidRDefault="00506350" w:rsidP="00506350">
      <w:pPr>
        <w:pStyle w:val="Nadpis3"/>
        <w:numPr>
          <w:ilvl w:val="2"/>
          <w:numId w:val="1"/>
        </w:numPr>
        <w:rPr>
          <w:color w:val="auto"/>
        </w:rPr>
      </w:pPr>
      <w:bookmarkStart w:id="724" w:name="_Toc109801362"/>
      <w:bookmarkStart w:id="725" w:name="_Toc169250827"/>
      <w:bookmarkStart w:id="726" w:name="_Toc174080863"/>
      <w:r w:rsidRPr="00730B1E">
        <w:rPr>
          <w:color w:val="auto"/>
        </w:rPr>
        <w:t>Přísedící soudu</w:t>
      </w:r>
      <w:bookmarkEnd w:id="724"/>
      <w:bookmarkEnd w:id="725"/>
      <w:bookmarkEnd w:id="726"/>
    </w:p>
    <w:p w14:paraId="36CE715F" w14:textId="4D2C0113" w:rsidR="00D84F85" w:rsidRPr="00730B1E" w:rsidRDefault="00D84F85" w:rsidP="00D84F85">
      <w:r w:rsidRPr="00730B1E">
        <w:t>Stejně jako předchozí rok jsou k dispozici počty přísedících dle krajů, pohlaví a věku, což umožňuje jejich bližší prozkoumání jak u okresních, tak i u krajských soudů. U krajských soudů přísedící rozhodují v prvostupňovém řízení o trestném činu, na který zákon stanoví trest odnětí svobody, jehož dolní hranice je minimálně pět let (což jsou u krajských soudů v podstatě všechna řízení). Data jsou k 1.</w:t>
      </w:r>
      <w:r w:rsidR="00855B9C" w:rsidRPr="00730B1E">
        <w:t> </w:t>
      </w:r>
      <w:r w:rsidRPr="00730B1E">
        <w:t>1.</w:t>
      </w:r>
      <w:r w:rsidR="00855B9C" w:rsidRPr="00730B1E">
        <w:t> </w:t>
      </w:r>
      <w:r w:rsidRPr="00730B1E">
        <w:t>2023.</w:t>
      </w:r>
      <w:r w:rsidR="008B1B35" w:rsidRPr="00730B1E">
        <w:t xml:space="preserve"> V</w:t>
      </w:r>
      <w:r w:rsidR="00E17C76" w:rsidRPr="00730B1E">
        <w:t>e srovnání s rokem 2019, kdy byly počty přísedících publikovány poprvé, se jejich počet zvýšil z 887 na současných 1</w:t>
      </w:r>
      <w:r w:rsidR="00855B9C" w:rsidRPr="00730B1E">
        <w:t> </w:t>
      </w:r>
      <w:r w:rsidR="00E17C76" w:rsidRPr="00730B1E">
        <w:t xml:space="preserve">009 osob a podíl žen </w:t>
      </w:r>
      <w:r w:rsidR="00882B92" w:rsidRPr="00730B1E">
        <w:t>vzrostl</w:t>
      </w:r>
      <w:r w:rsidR="00E17C76" w:rsidRPr="00730B1E">
        <w:t xml:space="preserve"> z </w:t>
      </w:r>
      <w:r w:rsidR="00E10A35" w:rsidRPr="00730B1E">
        <w:t>52,8 %</w:t>
      </w:r>
      <w:r w:rsidR="00E17C76" w:rsidRPr="00730B1E">
        <w:t xml:space="preserve"> na 54,1 %.</w:t>
      </w:r>
    </w:p>
    <w:p w14:paraId="70F7B9AC" w14:textId="34944E3A" w:rsidR="00D84F85" w:rsidRPr="00730B1E" w:rsidRDefault="00D84F85" w:rsidP="00D84F85">
      <w:pPr>
        <w:pStyle w:val="Podnadpis"/>
        <w:rPr>
          <w:color w:val="auto"/>
        </w:rPr>
      </w:pPr>
      <w:bookmarkStart w:id="727" w:name="_Toc75952344"/>
      <w:bookmarkStart w:id="728" w:name="_Toc106106802"/>
      <w:bookmarkStart w:id="729" w:name="_Toc109802125"/>
      <w:bookmarkStart w:id="730" w:name="_Toc144104282"/>
      <w:bookmarkStart w:id="731" w:name="_Toc169251094"/>
      <w:bookmarkStart w:id="732" w:name="_Toc174080780"/>
      <w:r w:rsidRPr="00730B1E">
        <w:rPr>
          <w:color w:val="auto"/>
        </w:rPr>
        <w:t xml:space="preserve">Tabulka </w:t>
      </w:r>
      <w:r w:rsidRPr="00730B1E">
        <w:rPr>
          <w:color w:val="auto"/>
        </w:rPr>
        <w:fldChar w:fldCharType="begin"/>
      </w:r>
      <w:r w:rsidRPr="00730B1E">
        <w:rPr>
          <w:noProof/>
          <w:color w:val="auto"/>
        </w:rPr>
        <w:instrText xml:space="preserve"> SEQ Tabulka \* ARABIC </w:instrText>
      </w:r>
      <w:r w:rsidRPr="00730B1E">
        <w:rPr>
          <w:color w:val="auto"/>
        </w:rPr>
        <w:fldChar w:fldCharType="separate"/>
      </w:r>
      <w:r w:rsidR="00056825">
        <w:rPr>
          <w:noProof/>
          <w:color w:val="auto"/>
        </w:rPr>
        <w:t>37</w:t>
      </w:r>
      <w:r w:rsidRPr="00730B1E">
        <w:rPr>
          <w:color w:val="auto"/>
        </w:rPr>
        <w:fldChar w:fldCharType="end"/>
      </w:r>
      <w:r w:rsidRPr="00730B1E">
        <w:rPr>
          <w:color w:val="auto"/>
        </w:rPr>
        <w:t>: KS – počet přísedících dle soudů a pohlaví</w:t>
      </w:r>
      <w:bookmarkEnd w:id="727"/>
      <w:bookmarkEnd w:id="728"/>
      <w:bookmarkEnd w:id="729"/>
      <w:bookmarkEnd w:id="730"/>
      <w:r w:rsidR="00962CC3" w:rsidRPr="00730B1E">
        <w:rPr>
          <w:color w:val="auto"/>
        </w:rPr>
        <w:t>, 2023</w:t>
      </w:r>
      <w:bookmarkEnd w:id="731"/>
      <w:bookmarkEnd w:id="732"/>
    </w:p>
    <w:tbl>
      <w:tblPr>
        <w:tblW w:w="6540" w:type="dxa"/>
        <w:tblCellMar>
          <w:left w:w="70" w:type="dxa"/>
          <w:right w:w="70" w:type="dxa"/>
        </w:tblCellMar>
        <w:tblLook w:val="04A0" w:firstRow="1" w:lastRow="0" w:firstColumn="1" w:lastColumn="0" w:noHBand="0" w:noVBand="1"/>
      </w:tblPr>
      <w:tblGrid>
        <w:gridCol w:w="2220"/>
        <w:gridCol w:w="1914"/>
        <w:gridCol w:w="1326"/>
        <w:gridCol w:w="1080"/>
      </w:tblGrid>
      <w:tr w:rsidR="00B64E96" w:rsidRPr="00730B1E" w14:paraId="6FD855E5" w14:textId="77777777" w:rsidTr="00604679">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2DA5F452" w14:textId="70B82B74" w:rsidR="00604679" w:rsidRPr="00730B1E" w:rsidRDefault="00855B9C" w:rsidP="00604679">
            <w:pPr>
              <w:spacing w:line="240" w:lineRule="auto"/>
              <w:jc w:val="center"/>
              <w:rPr>
                <w:rFonts w:eastAsia="Times New Roman"/>
                <w:b/>
                <w:bCs/>
                <w:szCs w:val="24"/>
                <w:lang w:eastAsia="cs-CZ"/>
              </w:rPr>
            </w:pPr>
            <w:r w:rsidRPr="00730B1E">
              <w:rPr>
                <w:rFonts w:eastAsia="Times New Roman"/>
                <w:b/>
                <w:bCs/>
                <w:szCs w:val="24"/>
                <w:lang w:eastAsia="cs-CZ"/>
              </w:rPr>
              <w:t>S</w:t>
            </w:r>
            <w:r w:rsidR="00604679" w:rsidRPr="00730B1E">
              <w:rPr>
                <w:rFonts w:eastAsia="Times New Roman"/>
                <w:b/>
                <w:bCs/>
                <w:szCs w:val="24"/>
                <w:lang w:eastAsia="cs-CZ"/>
              </w:rPr>
              <w:t>oud</w:t>
            </w:r>
          </w:p>
        </w:tc>
        <w:tc>
          <w:tcPr>
            <w:tcW w:w="3240" w:type="dxa"/>
            <w:gridSpan w:val="2"/>
            <w:tcBorders>
              <w:top w:val="double" w:sz="6" w:space="0" w:color="auto"/>
              <w:left w:val="nil"/>
              <w:bottom w:val="nil"/>
              <w:right w:val="nil"/>
            </w:tcBorders>
            <w:shd w:val="clear" w:color="auto" w:fill="auto"/>
            <w:noWrap/>
            <w:vAlign w:val="bottom"/>
            <w:hideMark/>
          </w:tcPr>
          <w:p w14:paraId="529AB2A6" w14:textId="1FB091C6" w:rsidR="00604679" w:rsidRPr="00730B1E" w:rsidRDefault="00604679" w:rsidP="00604679">
            <w:pPr>
              <w:spacing w:line="240" w:lineRule="auto"/>
              <w:jc w:val="center"/>
              <w:rPr>
                <w:rFonts w:eastAsia="Times New Roman"/>
                <w:b/>
                <w:bCs/>
                <w:szCs w:val="24"/>
                <w:lang w:eastAsia="cs-CZ"/>
              </w:rPr>
            </w:pPr>
            <w:r w:rsidRPr="00730B1E">
              <w:rPr>
                <w:rFonts w:eastAsia="Times New Roman"/>
                <w:b/>
                <w:bCs/>
                <w:szCs w:val="24"/>
                <w:lang w:eastAsia="cs-CZ"/>
              </w:rPr>
              <w:t>Počet přísedí</w:t>
            </w:r>
            <w:r w:rsidR="00002139" w:rsidRPr="00730B1E">
              <w:rPr>
                <w:rFonts w:eastAsia="Times New Roman"/>
                <w:b/>
                <w:bCs/>
                <w:szCs w:val="24"/>
                <w:lang w:eastAsia="cs-CZ"/>
              </w:rPr>
              <w:t>cí</w:t>
            </w:r>
            <w:r w:rsidRPr="00730B1E">
              <w:rPr>
                <w:rFonts w:eastAsia="Times New Roman"/>
                <w:b/>
                <w:bCs/>
                <w:szCs w:val="24"/>
                <w:lang w:eastAsia="cs-CZ"/>
              </w:rPr>
              <w:t>ch</w:t>
            </w:r>
          </w:p>
        </w:tc>
        <w:tc>
          <w:tcPr>
            <w:tcW w:w="1080" w:type="dxa"/>
            <w:vMerge w:val="restart"/>
            <w:tcBorders>
              <w:top w:val="double" w:sz="6" w:space="0" w:color="auto"/>
              <w:left w:val="nil"/>
              <w:bottom w:val="double" w:sz="6" w:space="0" w:color="000000"/>
              <w:right w:val="nil"/>
            </w:tcBorders>
            <w:shd w:val="clear" w:color="auto" w:fill="auto"/>
            <w:vAlign w:val="center"/>
            <w:hideMark/>
          </w:tcPr>
          <w:p w14:paraId="13C46160" w14:textId="77777777" w:rsidR="00604679" w:rsidRPr="00730B1E" w:rsidRDefault="00604679" w:rsidP="00604679">
            <w:pPr>
              <w:spacing w:line="240" w:lineRule="auto"/>
              <w:jc w:val="center"/>
              <w:rPr>
                <w:rFonts w:eastAsia="Times New Roman"/>
                <w:b/>
                <w:bCs/>
                <w:szCs w:val="24"/>
                <w:lang w:eastAsia="cs-CZ"/>
              </w:rPr>
            </w:pPr>
            <w:r w:rsidRPr="00730B1E">
              <w:rPr>
                <w:rFonts w:eastAsia="Times New Roman"/>
                <w:b/>
                <w:bCs/>
                <w:szCs w:val="24"/>
                <w:lang w:eastAsia="cs-CZ"/>
              </w:rPr>
              <w:t>Podíl žen v %</w:t>
            </w:r>
          </w:p>
        </w:tc>
      </w:tr>
      <w:tr w:rsidR="00B64E96" w:rsidRPr="00730B1E" w14:paraId="649DD9E2" w14:textId="77777777" w:rsidTr="00604679">
        <w:trPr>
          <w:trHeight w:val="330"/>
        </w:trPr>
        <w:tc>
          <w:tcPr>
            <w:tcW w:w="2220" w:type="dxa"/>
            <w:vMerge/>
            <w:tcBorders>
              <w:top w:val="double" w:sz="6" w:space="0" w:color="auto"/>
              <w:left w:val="nil"/>
              <w:bottom w:val="double" w:sz="6" w:space="0" w:color="000000"/>
              <w:right w:val="nil"/>
            </w:tcBorders>
            <w:vAlign w:val="center"/>
            <w:hideMark/>
          </w:tcPr>
          <w:p w14:paraId="596430F8" w14:textId="77777777" w:rsidR="00604679" w:rsidRPr="00730B1E" w:rsidRDefault="00604679" w:rsidP="00604679">
            <w:pPr>
              <w:spacing w:line="240" w:lineRule="auto"/>
              <w:jc w:val="left"/>
              <w:rPr>
                <w:rFonts w:eastAsia="Times New Roman"/>
                <w:b/>
                <w:bCs/>
                <w:szCs w:val="24"/>
                <w:lang w:eastAsia="cs-CZ"/>
              </w:rPr>
            </w:pPr>
          </w:p>
        </w:tc>
        <w:tc>
          <w:tcPr>
            <w:tcW w:w="1914" w:type="dxa"/>
            <w:tcBorders>
              <w:top w:val="nil"/>
              <w:left w:val="nil"/>
              <w:bottom w:val="double" w:sz="6" w:space="0" w:color="auto"/>
              <w:right w:val="nil"/>
            </w:tcBorders>
            <w:shd w:val="clear" w:color="auto" w:fill="auto"/>
            <w:noWrap/>
            <w:vAlign w:val="bottom"/>
            <w:hideMark/>
          </w:tcPr>
          <w:p w14:paraId="73B780D1" w14:textId="77777777" w:rsidR="00604679" w:rsidRPr="00730B1E" w:rsidRDefault="00604679" w:rsidP="00604679">
            <w:pPr>
              <w:spacing w:line="240" w:lineRule="auto"/>
              <w:jc w:val="center"/>
              <w:rPr>
                <w:rFonts w:eastAsia="Times New Roman"/>
                <w:b/>
                <w:bCs/>
                <w:szCs w:val="24"/>
                <w:lang w:eastAsia="cs-CZ"/>
              </w:rPr>
            </w:pPr>
            <w:r w:rsidRPr="00730B1E">
              <w:rPr>
                <w:rFonts w:eastAsia="Times New Roman"/>
                <w:b/>
                <w:bCs/>
                <w:szCs w:val="24"/>
                <w:lang w:eastAsia="cs-CZ"/>
              </w:rPr>
              <w:t>Mužů</w:t>
            </w:r>
          </w:p>
        </w:tc>
        <w:tc>
          <w:tcPr>
            <w:tcW w:w="1326" w:type="dxa"/>
            <w:tcBorders>
              <w:top w:val="nil"/>
              <w:left w:val="nil"/>
              <w:bottom w:val="double" w:sz="6" w:space="0" w:color="auto"/>
              <w:right w:val="nil"/>
            </w:tcBorders>
            <w:shd w:val="clear" w:color="auto" w:fill="auto"/>
            <w:noWrap/>
            <w:vAlign w:val="bottom"/>
            <w:hideMark/>
          </w:tcPr>
          <w:p w14:paraId="61D5D340" w14:textId="77777777" w:rsidR="00604679" w:rsidRPr="00730B1E" w:rsidRDefault="00604679" w:rsidP="00604679">
            <w:pPr>
              <w:spacing w:line="240" w:lineRule="auto"/>
              <w:jc w:val="center"/>
              <w:rPr>
                <w:rFonts w:eastAsia="Times New Roman"/>
                <w:b/>
                <w:bCs/>
                <w:szCs w:val="24"/>
                <w:lang w:eastAsia="cs-CZ"/>
              </w:rPr>
            </w:pPr>
            <w:r w:rsidRPr="00730B1E">
              <w:rPr>
                <w:rFonts w:eastAsia="Times New Roman"/>
                <w:b/>
                <w:bCs/>
                <w:szCs w:val="24"/>
                <w:lang w:eastAsia="cs-CZ"/>
              </w:rPr>
              <w:t>Žen</w:t>
            </w:r>
          </w:p>
        </w:tc>
        <w:tc>
          <w:tcPr>
            <w:tcW w:w="1080" w:type="dxa"/>
            <w:vMerge/>
            <w:tcBorders>
              <w:top w:val="double" w:sz="6" w:space="0" w:color="auto"/>
              <w:left w:val="nil"/>
              <w:bottom w:val="double" w:sz="6" w:space="0" w:color="000000"/>
              <w:right w:val="nil"/>
            </w:tcBorders>
            <w:vAlign w:val="center"/>
            <w:hideMark/>
          </w:tcPr>
          <w:p w14:paraId="63162BDE" w14:textId="77777777" w:rsidR="00604679" w:rsidRPr="00730B1E" w:rsidRDefault="00604679" w:rsidP="00604679">
            <w:pPr>
              <w:spacing w:line="240" w:lineRule="auto"/>
              <w:jc w:val="left"/>
              <w:rPr>
                <w:rFonts w:eastAsia="Times New Roman"/>
                <w:b/>
                <w:bCs/>
                <w:szCs w:val="24"/>
                <w:lang w:eastAsia="cs-CZ"/>
              </w:rPr>
            </w:pPr>
          </w:p>
        </w:tc>
      </w:tr>
      <w:tr w:rsidR="00B64E96" w:rsidRPr="00730B1E" w14:paraId="11E73B6C" w14:textId="77777777" w:rsidTr="00604679">
        <w:trPr>
          <w:trHeight w:val="330"/>
        </w:trPr>
        <w:tc>
          <w:tcPr>
            <w:tcW w:w="2220" w:type="dxa"/>
            <w:tcBorders>
              <w:top w:val="nil"/>
              <w:left w:val="nil"/>
              <w:bottom w:val="single" w:sz="4" w:space="0" w:color="auto"/>
              <w:right w:val="nil"/>
            </w:tcBorders>
            <w:shd w:val="clear" w:color="auto" w:fill="auto"/>
            <w:noWrap/>
            <w:vAlign w:val="bottom"/>
            <w:hideMark/>
          </w:tcPr>
          <w:p w14:paraId="16BCA512" w14:textId="77777777" w:rsidR="00604679" w:rsidRPr="00730B1E" w:rsidRDefault="00604679" w:rsidP="00604679">
            <w:pPr>
              <w:spacing w:line="240" w:lineRule="auto"/>
              <w:jc w:val="left"/>
              <w:rPr>
                <w:rFonts w:eastAsia="Times New Roman"/>
                <w:szCs w:val="24"/>
                <w:lang w:eastAsia="cs-CZ"/>
              </w:rPr>
            </w:pPr>
            <w:r w:rsidRPr="00730B1E">
              <w:rPr>
                <w:rFonts w:eastAsia="Times New Roman"/>
                <w:szCs w:val="24"/>
                <w:lang w:eastAsia="cs-CZ"/>
              </w:rPr>
              <w:t>MS Praha</w:t>
            </w:r>
          </w:p>
        </w:tc>
        <w:tc>
          <w:tcPr>
            <w:tcW w:w="1914" w:type="dxa"/>
            <w:tcBorders>
              <w:top w:val="nil"/>
              <w:left w:val="nil"/>
              <w:bottom w:val="single" w:sz="4" w:space="0" w:color="auto"/>
              <w:right w:val="nil"/>
            </w:tcBorders>
            <w:shd w:val="clear" w:color="auto" w:fill="auto"/>
            <w:noWrap/>
            <w:vAlign w:val="bottom"/>
            <w:hideMark/>
          </w:tcPr>
          <w:p w14:paraId="5E156194"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121</w:t>
            </w:r>
          </w:p>
        </w:tc>
        <w:tc>
          <w:tcPr>
            <w:tcW w:w="1326" w:type="dxa"/>
            <w:tcBorders>
              <w:top w:val="nil"/>
              <w:left w:val="nil"/>
              <w:bottom w:val="single" w:sz="4" w:space="0" w:color="auto"/>
              <w:right w:val="nil"/>
            </w:tcBorders>
            <w:shd w:val="clear" w:color="auto" w:fill="auto"/>
            <w:noWrap/>
            <w:vAlign w:val="bottom"/>
            <w:hideMark/>
          </w:tcPr>
          <w:p w14:paraId="754D53E3"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125</w:t>
            </w:r>
          </w:p>
        </w:tc>
        <w:tc>
          <w:tcPr>
            <w:tcW w:w="1080" w:type="dxa"/>
            <w:tcBorders>
              <w:top w:val="single" w:sz="4" w:space="0" w:color="auto"/>
              <w:left w:val="nil"/>
              <w:bottom w:val="single" w:sz="4" w:space="0" w:color="auto"/>
              <w:right w:val="nil"/>
            </w:tcBorders>
            <w:shd w:val="clear" w:color="auto" w:fill="auto"/>
            <w:noWrap/>
            <w:vAlign w:val="bottom"/>
            <w:hideMark/>
          </w:tcPr>
          <w:p w14:paraId="32982599" w14:textId="1260FFAC"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50,81</w:t>
            </w:r>
          </w:p>
        </w:tc>
      </w:tr>
      <w:tr w:rsidR="00B64E96" w:rsidRPr="00730B1E" w14:paraId="41835F23" w14:textId="77777777" w:rsidTr="00604679">
        <w:trPr>
          <w:trHeight w:val="315"/>
        </w:trPr>
        <w:tc>
          <w:tcPr>
            <w:tcW w:w="2220" w:type="dxa"/>
            <w:tcBorders>
              <w:top w:val="nil"/>
              <w:left w:val="nil"/>
              <w:bottom w:val="single" w:sz="4" w:space="0" w:color="auto"/>
              <w:right w:val="nil"/>
            </w:tcBorders>
            <w:shd w:val="clear" w:color="auto" w:fill="auto"/>
            <w:noWrap/>
            <w:vAlign w:val="bottom"/>
            <w:hideMark/>
          </w:tcPr>
          <w:p w14:paraId="6EDF53BB" w14:textId="77777777" w:rsidR="00604679" w:rsidRPr="00730B1E" w:rsidRDefault="00604679" w:rsidP="00604679">
            <w:pPr>
              <w:spacing w:line="240" w:lineRule="auto"/>
              <w:jc w:val="left"/>
              <w:rPr>
                <w:rFonts w:eastAsia="Times New Roman"/>
                <w:szCs w:val="24"/>
                <w:lang w:eastAsia="cs-CZ"/>
              </w:rPr>
            </w:pPr>
            <w:r w:rsidRPr="00730B1E">
              <w:rPr>
                <w:rFonts w:eastAsia="Times New Roman"/>
                <w:szCs w:val="24"/>
                <w:lang w:eastAsia="cs-CZ"/>
              </w:rPr>
              <w:t>KS Praha</w:t>
            </w:r>
          </w:p>
        </w:tc>
        <w:tc>
          <w:tcPr>
            <w:tcW w:w="1914" w:type="dxa"/>
            <w:tcBorders>
              <w:top w:val="nil"/>
              <w:left w:val="nil"/>
              <w:bottom w:val="single" w:sz="4" w:space="0" w:color="auto"/>
              <w:right w:val="nil"/>
            </w:tcBorders>
            <w:shd w:val="clear" w:color="auto" w:fill="auto"/>
            <w:noWrap/>
            <w:vAlign w:val="bottom"/>
            <w:hideMark/>
          </w:tcPr>
          <w:p w14:paraId="089C214D"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35</w:t>
            </w:r>
          </w:p>
        </w:tc>
        <w:tc>
          <w:tcPr>
            <w:tcW w:w="1326" w:type="dxa"/>
            <w:tcBorders>
              <w:top w:val="nil"/>
              <w:left w:val="nil"/>
              <w:bottom w:val="single" w:sz="4" w:space="0" w:color="auto"/>
              <w:right w:val="nil"/>
            </w:tcBorders>
            <w:shd w:val="clear" w:color="auto" w:fill="auto"/>
            <w:noWrap/>
            <w:vAlign w:val="bottom"/>
            <w:hideMark/>
          </w:tcPr>
          <w:p w14:paraId="68B63DE5"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37</w:t>
            </w:r>
          </w:p>
        </w:tc>
        <w:tc>
          <w:tcPr>
            <w:tcW w:w="1080" w:type="dxa"/>
            <w:tcBorders>
              <w:top w:val="nil"/>
              <w:left w:val="nil"/>
              <w:bottom w:val="single" w:sz="4" w:space="0" w:color="auto"/>
              <w:right w:val="nil"/>
            </w:tcBorders>
            <w:shd w:val="clear" w:color="auto" w:fill="auto"/>
            <w:noWrap/>
            <w:vAlign w:val="bottom"/>
            <w:hideMark/>
          </w:tcPr>
          <w:p w14:paraId="32715980" w14:textId="7CB496B2"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51,39</w:t>
            </w:r>
          </w:p>
        </w:tc>
      </w:tr>
      <w:tr w:rsidR="00B64E96" w:rsidRPr="00730B1E" w14:paraId="4E3D884D" w14:textId="77777777" w:rsidTr="00604679">
        <w:trPr>
          <w:trHeight w:val="315"/>
        </w:trPr>
        <w:tc>
          <w:tcPr>
            <w:tcW w:w="2220" w:type="dxa"/>
            <w:tcBorders>
              <w:top w:val="nil"/>
              <w:left w:val="nil"/>
              <w:bottom w:val="single" w:sz="4" w:space="0" w:color="auto"/>
              <w:right w:val="nil"/>
            </w:tcBorders>
            <w:shd w:val="clear" w:color="auto" w:fill="auto"/>
            <w:noWrap/>
            <w:vAlign w:val="bottom"/>
            <w:hideMark/>
          </w:tcPr>
          <w:p w14:paraId="67E5A12C" w14:textId="77777777" w:rsidR="00604679" w:rsidRPr="00730B1E" w:rsidRDefault="00604679" w:rsidP="00604679">
            <w:pPr>
              <w:spacing w:line="240" w:lineRule="auto"/>
              <w:jc w:val="left"/>
              <w:rPr>
                <w:rFonts w:eastAsia="Times New Roman"/>
                <w:szCs w:val="24"/>
                <w:lang w:eastAsia="cs-CZ"/>
              </w:rPr>
            </w:pPr>
            <w:r w:rsidRPr="00730B1E">
              <w:rPr>
                <w:rFonts w:eastAsia="Times New Roman"/>
                <w:szCs w:val="24"/>
                <w:lang w:eastAsia="cs-CZ"/>
              </w:rPr>
              <w:t>KS Č. Budějovice</w:t>
            </w:r>
          </w:p>
        </w:tc>
        <w:tc>
          <w:tcPr>
            <w:tcW w:w="1914" w:type="dxa"/>
            <w:tcBorders>
              <w:top w:val="nil"/>
              <w:left w:val="nil"/>
              <w:bottom w:val="single" w:sz="4" w:space="0" w:color="auto"/>
              <w:right w:val="nil"/>
            </w:tcBorders>
            <w:shd w:val="clear" w:color="auto" w:fill="auto"/>
            <w:noWrap/>
            <w:vAlign w:val="bottom"/>
            <w:hideMark/>
          </w:tcPr>
          <w:p w14:paraId="6F64FE8E"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16</w:t>
            </w:r>
          </w:p>
        </w:tc>
        <w:tc>
          <w:tcPr>
            <w:tcW w:w="1326" w:type="dxa"/>
            <w:tcBorders>
              <w:top w:val="nil"/>
              <w:left w:val="nil"/>
              <w:bottom w:val="single" w:sz="4" w:space="0" w:color="auto"/>
              <w:right w:val="nil"/>
            </w:tcBorders>
            <w:shd w:val="clear" w:color="auto" w:fill="auto"/>
            <w:noWrap/>
            <w:vAlign w:val="bottom"/>
            <w:hideMark/>
          </w:tcPr>
          <w:p w14:paraId="10868B2B"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25</w:t>
            </w:r>
          </w:p>
        </w:tc>
        <w:tc>
          <w:tcPr>
            <w:tcW w:w="1080" w:type="dxa"/>
            <w:tcBorders>
              <w:top w:val="nil"/>
              <w:left w:val="nil"/>
              <w:bottom w:val="single" w:sz="4" w:space="0" w:color="auto"/>
              <w:right w:val="nil"/>
            </w:tcBorders>
            <w:shd w:val="clear" w:color="auto" w:fill="auto"/>
            <w:noWrap/>
            <w:vAlign w:val="bottom"/>
            <w:hideMark/>
          </w:tcPr>
          <w:p w14:paraId="1495B496" w14:textId="01850589"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60,98</w:t>
            </w:r>
          </w:p>
        </w:tc>
      </w:tr>
      <w:tr w:rsidR="00B64E96" w:rsidRPr="00730B1E" w14:paraId="369680AB" w14:textId="77777777" w:rsidTr="00604679">
        <w:trPr>
          <w:trHeight w:val="315"/>
        </w:trPr>
        <w:tc>
          <w:tcPr>
            <w:tcW w:w="2220" w:type="dxa"/>
            <w:tcBorders>
              <w:top w:val="nil"/>
              <w:left w:val="nil"/>
              <w:bottom w:val="single" w:sz="4" w:space="0" w:color="auto"/>
              <w:right w:val="nil"/>
            </w:tcBorders>
            <w:shd w:val="clear" w:color="auto" w:fill="auto"/>
            <w:noWrap/>
            <w:vAlign w:val="bottom"/>
            <w:hideMark/>
          </w:tcPr>
          <w:p w14:paraId="29A2D973" w14:textId="77777777" w:rsidR="00604679" w:rsidRPr="00730B1E" w:rsidRDefault="00604679" w:rsidP="00604679">
            <w:pPr>
              <w:spacing w:line="240" w:lineRule="auto"/>
              <w:jc w:val="left"/>
              <w:rPr>
                <w:rFonts w:eastAsia="Times New Roman"/>
                <w:szCs w:val="24"/>
                <w:lang w:eastAsia="cs-CZ"/>
              </w:rPr>
            </w:pPr>
            <w:r w:rsidRPr="00730B1E">
              <w:rPr>
                <w:rFonts w:eastAsia="Times New Roman"/>
                <w:szCs w:val="24"/>
                <w:lang w:eastAsia="cs-CZ"/>
              </w:rPr>
              <w:t>KS Plzeň</w:t>
            </w:r>
          </w:p>
        </w:tc>
        <w:tc>
          <w:tcPr>
            <w:tcW w:w="1914" w:type="dxa"/>
            <w:tcBorders>
              <w:top w:val="nil"/>
              <w:left w:val="nil"/>
              <w:bottom w:val="single" w:sz="4" w:space="0" w:color="auto"/>
              <w:right w:val="nil"/>
            </w:tcBorders>
            <w:shd w:val="clear" w:color="auto" w:fill="auto"/>
            <w:noWrap/>
            <w:vAlign w:val="bottom"/>
            <w:hideMark/>
          </w:tcPr>
          <w:p w14:paraId="677CE4B2"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40</w:t>
            </w:r>
          </w:p>
        </w:tc>
        <w:tc>
          <w:tcPr>
            <w:tcW w:w="1326" w:type="dxa"/>
            <w:tcBorders>
              <w:top w:val="nil"/>
              <w:left w:val="nil"/>
              <w:bottom w:val="single" w:sz="4" w:space="0" w:color="auto"/>
              <w:right w:val="nil"/>
            </w:tcBorders>
            <w:shd w:val="clear" w:color="auto" w:fill="auto"/>
            <w:noWrap/>
            <w:vAlign w:val="bottom"/>
            <w:hideMark/>
          </w:tcPr>
          <w:p w14:paraId="3D5E6B4A"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30</w:t>
            </w:r>
          </w:p>
        </w:tc>
        <w:tc>
          <w:tcPr>
            <w:tcW w:w="1080" w:type="dxa"/>
            <w:tcBorders>
              <w:top w:val="nil"/>
              <w:left w:val="nil"/>
              <w:bottom w:val="single" w:sz="4" w:space="0" w:color="auto"/>
              <w:right w:val="nil"/>
            </w:tcBorders>
            <w:shd w:val="clear" w:color="auto" w:fill="auto"/>
            <w:noWrap/>
            <w:vAlign w:val="bottom"/>
            <w:hideMark/>
          </w:tcPr>
          <w:p w14:paraId="6A46BB90" w14:textId="0734B13E"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42,86</w:t>
            </w:r>
          </w:p>
        </w:tc>
      </w:tr>
      <w:tr w:rsidR="00B64E96" w:rsidRPr="00730B1E" w14:paraId="17D2B7C4" w14:textId="77777777" w:rsidTr="00604679">
        <w:trPr>
          <w:trHeight w:val="315"/>
        </w:trPr>
        <w:tc>
          <w:tcPr>
            <w:tcW w:w="2220" w:type="dxa"/>
            <w:tcBorders>
              <w:top w:val="nil"/>
              <w:left w:val="nil"/>
              <w:bottom w:val="single" w:sz="4" w:space="0" w:color="auto"/>
              <w:right w:val="nil"/>
            </w:tcBorders>
            <w:shd w:val="clear" w:color="auto" w:fill="auto"/>
            <w:noWrap/>
            <w:vAlign w:val="bottom"/>
            <w:hideMark/>
          </w:tcPr>
          <w:p w14:paraId="46D2F58A" w14:textId="77777777" w:rsidR="00604679" w:rsidRPr="00730B1E" w:rsidRDefault="00604679" w:rsidP="00604679">
            <w:pPr>
              <w:spacing w:line="240" w:lineRule="auto"/>
              <w:jc w:val="left"/>
              <w:rPr>
                <w:rFonts w:eastAsia="Times New Roman"/>
                <w:szCs w:val="24"/>
                <w:lang w:eastAsia="cs-CZ"/>
              </w:rPr>
            </w:pPr>
            <w:r w:rsidRPr="00730B1E">
              <w:rPr>
                <w:rFonts w:eastAsia="Times New Roman"/>
                <w:szCs w:val="24"/>
                <w:lang w:eastAsia="cs-CZ"/>
              </w:rPr>
              <w:t>KS Ústí n. Labem</w:t>
            </w:r>
          </w:p>
        </w:tc>
        <w:tc>
          <w:tcPr>
            <w:tcW w:w="1914" w:type="dxa"/>
            <w:tcBorders>
              <w:top w:val="nil"/>
              <w:left w:val="nil"/>
              <w:bottom w:val="single" w:sz="4" w:space="0" w:color="auto"/>
              <w:right w:val="nil"/>
            </w:tcBorders>
            <w:shd w:val="clear" w:color="auto" w:fill="auto"/>
            <w:noWrap/>
            <w:vAlign w:val="bottom"/>
            <w:hideMark/>
          </w:tcPr>
          <w:p w14:paraId="26228BAC"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33</w:t>
            </w:r>
          </w:p>
        </w:tc>
        <w:tc>
          <w:tcPr>
            <w:tcW w:w="1326" w:type="dxa"/>
            <w:tcBorders>
              <w:top w:val="nil"/>
              <w:left w:val="nil"/>
              <w:bottom w:val="single" w:sz="4" w:space="0" w:color="auto"/>
              <w:right w:val="nil"/>
            </w:tcBorders>
            <w:shd w:val="clear" w:color="auto" w:fill="auto"/>
            <w:noWrap/>
            <w:vAlign w:val="bottom"/>
            <w:hideMark/>
          </w:tcPr>
          <w:p w14:paraId="1655057A"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66</w:t>
            </w:r>
          </w:p>
        </w:tc>
        <w:tc>
          <w:tcPr>
            <w:tcW w:w="1080" w:type="dxa"/>
            <w:tcBorders>
              <w:top w:val="nil"/>
              <w:left w:val="nil"/>
              <w:bottom w:val="single" w:sz="4" w:space="0" w:color="auto"/>
              <w:right w:val="nil"/>
            </w:tcBorders>
            <w:shd w:val="clear" w:color="auto" w:fill="auto"/>
            <w:noWrap/>
            <w:vAlign w:val="bottom"/>
            <w:hideMark/>
          </w:tcPr>
          <w:p w14:paraId="56BFD171" w14:textId="5511C1ED"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66,67</w:t>
            </w:r>
          </w:p>
        </w:tc>
      </w:tr>
      <w:tr w:rsidR="00B64E96" w:rsidRPr="00730B1E" w14:paraId="3FF651BE" w14:textId="77777777" w:rsidTr="00604679">
        <w:trPr>
          <w:trHeight w:val="315"/>
        </w:trPr>
        <w:tc>
          <w:tcPr>
            <w:tcW w:w="2220" w:type="dxa"/>
            <w:tcBorders>
              <w:top w:val="nil"/>
              <w:left w:val="nil"/>
              <w:bottom w:val="single" w:sz="4" w:space="0" w:color="auto"/>
              <w:right w:val="nil"/>
            </w:tcBorders>
            <w:shd w:val="clear" w:color="auto" w:fill="auto"/>
            <w:noWrap/>
            <w:vAlign w:val="bottom"/>
            <w:hideMark/>
          </w:tcPr>
          <w:p w14:paraId="09E09A45" w14:textId="77777777" w:rsidR="00604679" w:rsidRPr="00730B1E" w:rsidRDefault="00604679" w:rsidP="00604679">
            <w:pPr>
              <w:spacing w:line="240" w:lineRule="auto"/>
              <w:jc w:val="left"/>
              <w:rPr>
                <w:rFonts w:eastAsia="Times New Roman"/>
                <w:szCs w:val="24"/>
                <w:lang w:eastAsia="cs-CZ"/>
              </w:rPr>
            </w:pPr>
            <w:r w:rsidRPr="00730B1E">
              <w:rPr>
                <w:rFonts w:eastAsia="Times New Roman"/>
                <w:szCs w:val="24"/>
                <w:lang w:eastAsia="cs-CZ"/>
              </w:rPr>
              <w:t>KS Hr. Králové</w:t>
            </w:r>
          </w:p>
        </w:tc>
        <w:tc>
          <w:tcPr>
            <w:tcW w:w="1914" w:type="dxa"/>
            <w:tcBorders>
              <w:top w:val="nil"/>
              <w:left w:val="nil"/>
              <w:bottom w:val="single" w:sz="4" w:space="0" w:color="auto"/>
              <w:right w:val="nil"/>
            </w:tcBorders>
            <w:shd w:val="clear" w:color="auto" w:fill="auto"/>
            <w:noWrap/>
            <w:vAlign w:val="bottom"/>
            <w:hideMark/>
          </w:tcPr>
          <w:p w14:paraId="088B0829"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35</w:t>
            </w:r>
          </w:p>
        </w:tc>
        <w:tc>
          <w:tcPr>
            <w:tcW w:w="1326" w:type="dxa"/>
            <w:tcBorders>
              <w:top w:val="nil"/>
              <w:left w:val="nil"/>
              <w:bottom w:val="single" w:sz="4" w:space="0" w:color="auto"/>
              <w:right w:val="nil"/>
            </w:tcBorders>
            <w:shd w:val="clear" w:color="auto" w:fill="auto"/>
            <w:noWrap/>
            <w:vAlign w:val="bottom"/>
            <w:hideMark/>
          </w:tcPr>
          <w:p w14:paraId="58C4BE1F"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30</w:t>
            </w:r>
          </w:p>
        </w:tc>
        <w:tc>
          <w:tcPr>
            <w:tcW w:w="1080" w:type="dxa"/>
            <w:tcBorders>
              <w:top w:val="nil"/>
              <w:left w:val="nil"/>
              <w:bottom w:val="single" w:sz="4" w:space="0" w:color="auto"/>
              <w:right w:val="nil"/>
            </w:tcBorders>
            <w:shd w:val="clear" w:color="auto" w:fill="auto"/>
            <w:noWrap/>
            <w:vAlign w:val="bottom"/>
            <w:hideMark/>
          </w:tcPr>
          <w:p w14:paraId="0EBE9211" w14:textId="134269B8"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46,15</w:t>
            </w:r>
          </w:p>
        </w:tc>
      </w:tr>
      <w:tr w:rsidR="00B64E96" w:rsidRPr="00730B1E" w14:paraId="741B0294" w14:textId="77777777" w:rsidTr="00604679">
        <w:trPr>
          <w:trHeight w:val="315"/>
        </w:trPr>
        <w:tc>
          <w:tcPr>
            <w:tcW w:w="2220" w:type="dxa"/>
            <w:tcBorders>
              <w:top w:val="nil"/>
              <w:left w:val="nil"/>
              <w:bottom w:val="single" w:sz="4" w:space="0" w:color="auto"/>
              <w:right w:val="nil"/>
            </w:tcBorders>
            <w:shd w:val="clear" w:color="auto" w:fill="auto"/>
            <w:noWrap/>
            <w:vAlign w:val="bottom"/>
            <w:hideMark/>
          </w:tcPr>
          <w:p w14:paraId="67AACF5F" w14:textId="77777777" w:rsidR="00604679" w:rsidRPr="00730B1E" w:rsidRDefault="00604679" w:rsidP="00604679">
            <w:pPr>
              <w:spacing w:line="240" w:lineRule="auto"/>
              <w:jc w:val="left"/>
              <w:rPr>
                <w:rFonts w:eastAsia="Times New Roman"/>
                <w:szCs w:val="24"/>
                <w:lang w:eastAsia="cs-CZ"/>
              </w:rPr>
            </w:pPr>
            <w:r w:rsidRPr="00730B1E">
              <w:rPr>
                <w:rFonts w:eastAsia="Times New Roman"/>
                <w:szCs w:val="24"/>
                <w:lang w:eastAsia="cs-CZ"/>
              </w:rPr>
              <w:t>KS Brno</w:t>
            </w:r>
          </w:p>
        </w:tc>
        <w:tc>
          <w:tcPr>
            <w:tcW w:w="1914" w:type="dxa"/>
            <w:tcBorders>
              <w:top w:val="nil"/>
              <w:left w:val="nil"/>
              <w:bottom w:val="single" w:sz="4" w:space="0" w:color="auto"/>
              <w:right w:val="nil"/>
            </w:tcBorders>
            <w:shd w:val="clear" w:color="auto" w:fill="auto"/>
            <w:noWrap/>
            <w:vAlign w:val="bottom"/>
            <w:hideMark/>
          </w:tcPr>
          <w:p w14:paraId="1EE25830"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78</w:t>
            </w:r>
          </w:p>
        </w:tc>
        <w:tc>
          <w:tcPr>
            <w:tcW w:w="1326" w:type="dxa"/>
            <w:tcBorders>
              <w:top w:val="nil"/>
              <w:left w:val="nil"/>
              <w:bottom w:val="single" w:sz="4" w:space="0" w:color="auto"/>
              <w:right w:val="nil"/>
            </w:tcBorders>
            <w:shd w:val="clear" w:color="auto" w:fill="auto"/>
            <w:noWrap/>
            <w:vAlign w:val="bottom"/>
            <w:hideMark/>
          </w:tcPr>
          <w:p w14:paraId="6C5DF9C2"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86</w:t>
            </w:r>
          </w:p>
        </w:tc>
        <w:tc>
          <w:tcPr>
            <w:tcW w:w="1080" w:type="dxa"/>
            <w:tcBorders>
              <w:top w:val="nil"/>
              <w:left w:val="nil"/>
              <w:bottom w:val="single" w:sz="4" w:space="0" w:color="auto"/>
              <w:right w:val="nil"/>
            </w:tcBorders>
            <w:shd w:val="clear" w:color="auto" w:fill="auto"/>
            <w:noWrap/>
            <w:vAlign w:val="bottom"/>
            <w:hideMark/>
          </w:tcPr>
          <w:p w14:paraId="6C437CE3" w14:textId="71BF2F56"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52,44</w:t>
            </w:r>
          </w:p>
        </w:tc>
      </w:tr>
      <w:tr w:rsidR="00B64E96" w:rsidRPr="00730B1E" w14:paraId="58B5FC7A" w14:textId="77777777" w:rsidTr="00604679">
        <w:trPr>
          <w:trHeight w:val="330"/>
        </w:trPr>
        <w:tc>
          <w:tcPr>
            <w:tcW w:w="2220" w:type="dxa"/>
            <w:tcBorders>
              <w:top w:val="nil"/>
              <w:left w:val="nil"/>
              <w:bottom w:val="double" w:sz="6" w:space="0" w:color="auto"/>
              <w:right w:val="nil"/>
            </w:tcBorders>
            <w:shd w:val="clear" w:color="auto" w:fill="auto"/>
            <w:noWrap/>
            <w:vAlign w:val="bottom"/>
            <w:hideMark/>
          </w:tcPr>
          <w:p w14:paraId="4B3EDA2E" w14:textId="77777777" w:rsidR="00604679" w:rsidRPr="00730B1E" w:rsidRDefault="00604679" w:rsidP="00604679">
            <w:pPr>
              <w:spacing w:line="240" w:lineRule="auto"/>
              <w:jc w:val="left"/>
              <w:rPr>
                <w:rFonts w:eastAsia="Times New Roman"/>
                <w:szCs w:val="24"/>
                <w:lang w:eastAsia="cs-CZ"/>
              </w:rPr>
            </w:pPr>
            <w:r w:rsidRPr="00730B1E">
              <w:rPr>
                <w:rFonts w:eastAsia="Times New Roman"/>
                <w:szCs w:val="24"/>
                <w:lang w:eastAsia="cs-CZ"/>
              </w:rPr>
              <w:t>KS Ostrava</w:t>
            </w:r>
          </w:p>
        </w:tc>
        <w:tc>
          <w:tcPr>
            <w:tcW w:w="1914" w:type="dxa"/>
            <w:tcBorders>
              <w:top w:val="nil"/>
              <w:left w:val="nil"/>
              <w:bottom w:val="double" w:sz="6" w:space="0" w:color="auto"/>
              <w:right w:val="nil"/>
            </w:tcBorders>
            <w:shd w:val="clear" w:color="auto" w:fill="auto"/>
            <w:noWrap/>
            <w:vAlign w:val="bottom"/>
            <w:hideMark/>
          </w:tcPr>
          <w:p w14:paraId="4544FEA3"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105</w:t>
            </w:r>
          </w:p>
        </w:tc>
        <w:tc>
          <w:tcPr>
            <w:tcW w:w="1326" w:type="dxa"/>
            <w:tcBorders>
              <w:top w:val="nil"/>
              <w:left w:val="nil"/>
              <w:bottom w:val="double" w:sz="6" w:space="0" w:color="auto"/>
              <w:right w:val="nil"/>
            </w:tcBorders>
            <w:shd w:val="clear" w:color="auto" w:fill="auto"/>
            <w:noWrap/>
            <w:vAlign w:val="bottom"/>
            <w:hideMark/>
          </w:tcPr>
          <w:p w14:paraId="02E98A96" w14:textId="7777777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147</w:t>
            </w:r>
          </w:p>
        </w:tc>
        <w:tc>
          <w:tcPr>
            <w:tcW w:w="1080" w:type="dxa"/>
            <w:tcBorders>
              <w:top w:val="nil"/>
              <w:left w:val="nil"/>
              <w:bottom w:val="double" w:sz="6" w:space="0" w:color="auto"/>
              <w:right w:val="nil"/>
            </w:tcBorders>
            <w:shd w:val="clear" w:color="auto" w:fill="auto"/>
            <w:noWrap/>
            <w:vAlign w:val="bottom"/>
            <w:hideMark/>
          </w:tcPr>
          <w:p w14:paraId="54764806" w14:textId="4F9655B7" w:rsidR="00604679" w:rsidRPr="00730B1E" w:rsidRDefault="00604679" w:rsidP="00604679">
            <w:pPr>
              <w:spacing w:line="240" w:lineRule="auto"/>
              <w:jc w:val="center"/>
              <w:rPr>
                <w:rFonts w:eastAsia="Times New Roman"/>
                <w:szCs w:val="24"/>
                <w:lang w:eastAsia="cs-CZ"/>
              </w:rPr>
            </w:pPr>
            <w:r w:rsidRPr="00730B1E">
              <w:rPr>
                <w:rFonts w:eastAsia="Times New Roman"/>
                <w:szCs w:val="24"/>
                <w:lang w:eastAsia="cs-CZ"/>
              </w:rPr>
              <w:t>58,33</w:t>
            </w:r>
          </w:p>
        </w:tc>
      </w:tr>
      <w:tr w:rsidR="00B64E96" w:rsidRPr="00730B1E" w14:paraId="347D0D60" w14:textId="77777777" w:rsidTr="00604679">
        <w:trPr>
          <w:trHeight w:val="345"/>
        </w:trPr>
        <w:tc>
          <w:tcPr>
            <w:tcW w:w="2220" w:type="dxa"/>
            <w:tcBorders>
              <w:top w:val="nil"/>
              <w:left w:val="nil"/>
              <w:bottom w:val="double" w:sz="6" w:space="0" w:color="auto"/>
              <w:right w:val="nil"/>
            </w:tcBorders>
            <w:shd w:val="clear" w:color="auto" w:fill="auto"/>
            <w:noWrap/>
            <w:vAlign w:val="bottom"/>
            <w:hideMark/>
          </w:tcPr>
          <w:p w14:paraId="58A3AD2F" w14:textId="77777777" w:rsidR="00604679" w:rsidRPr="00730B1E" w:rsidRDefault="00604679" w:rsidP="00604679">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914" w:type="dxa"/>
            <w:tcBorders>
              <w:top w:val="nil"/>
              <w:left w:val="nil"/>
              <w:bottom w:val="double" w:sz="6" w:space="0" w:color="auto"/>
              <w:right w:val="nil"/>
            </w:tcBorders>
            <w:shd w:val="clear" w:color="auto" w:fill="auto"/>
            <w:noWrap/>
            <w:vAlign w:val="bottom"/>
            <w:hideMark/>
          </w:tcPr>
          <w:p w14:paraId="1A37CE40" w14:textId="77777777" w:rsidR="00604679" w:rsidRPr="00730B1E" w:rsidRDefault="00604679" w:rsidP="00604679">
            <w:pPr>
              <w:spacing w:line="240" w:lineRule="auto"/>
              <w:jc w:val="center"/>
              <w:rPr>
                <w:rFonts w:eastAsia="Times New Roman"/>
                <w:b/>
                <w:bCs/>
                <w:szCs w:val="24"/>
                <w:lang w:eastAsia="cs-CZ"/>
              </w:rPr>
            </w:pPr>
            <w:r w:rsidRPr="00730B1E">
              <w:rPr>
                <w:rFonts w:eastAsia="Times New Roman"/>
                <w:b/>
                <w:bCs/>
                <w:szCs w:val="24"/>
                <w:lang w:eastAsia="cs-CZ"/>
              </w:rPr>
              <w:t>463</w:t>
            </w:r>
          </w:p>
        </w:tc>
        <w:tc>
          <w:tcPr>
            <w:tcW w:w="1326" w:type="dxa"/>
            <w:tcBorders>
              <w:top w:val="nil"/>
              <w:left w:val="nil"/>
              <w:bottom w:val="double" w:sz="6" w:space="0" w:color="auto"/>
              <w:right w:val="nil"/>
            </w:tcBorders>
            <w:shd w:val="clear" w:color="auto" w:fill="auto"/>
            <w:noWrap/>
            <w:vAlign w:val="bottom"/>
            <w:hideMark/>
          </w:tcPr>
          <w:p w14:paraId="69F02F7C" w14:textId="77777777" w:rsidR="00604679" w:rsidRPr="00730B1E" w:rsidRDefault="00604679" w:rsidP="00604679">
            <w:pPr>
              <w:spacing w:line="240" w:lineRule="auto"/>
              <w:jc w:val="center"/>
              <w:rPr>
                <w:rFonts w:eastAsia="Times New Roman"/>
                <w:b/>
                <w:bCs/>
                <w:szCs w:val="24"/>
                <w:lang w:eastAsia="cs-CZ"/>
              </w:rPr>
            </w:pPr>
            <w:r w:rsidRPr="00730B1E">
              <w:rPr>
                <w:rFonts w:eastAsia="Times New Roman"/>
                <w:b/>
                <w:bCs/>
                <w:szCs w:val="24"/>
                <w:lang w:eastAsia="cs-CZ"/>
              </w:rPr>
              <w:t>546</w:t>
            </w:r>
          </w:p>
        </w:tc>
        <w:tc>
          <w:tcPr>
            <w:tcW w:w="1080" w:type="dxa"/>
            <w:tcBorders>
              <w:top w:val="nil"/>
              <w:left w:val="nil"/>
              <w:bottom w:val="double" w:sz="6" w:space="0" w:color="auto"/>
              <w:right w:val="nil"/>
            </w:tcBorders>
            <w:shd w:val="clear" w:color="auto" w:fill="auto"/>
            <w:noWrap/>
            <w:vAlign w:val="bottom"/>
            <w:hideMark/>
          </w:tcPr>
          <w:p w14:paraId="3E5A97C4" w14:textId="57726BC3" w:rsidR="00604679" w:rsidRPr="00730B1E" w:rsidRDefault="00604679" w:rsidP="00604679">
            <w:pPr>
              <w:spacing w:line="240" w:lineRule="auto"/>
              <w:jc w:val="center"/>
              <w:rPr>
                <w:rFonts w:eastAsia="Times New Roman"/>
                <w:b/>
                <w:bCs/>
                <w:szCs w:val="24"/>
                <w:lang w:eastAsia="cs-CZ"/>
              </w:rPr>
            </w:pPr>
            <w:r w:rsidRPr="00730B1E">
              <w:rPr>
                <w:rFonts w:eastAsia="Times New Roman"/>
                <w:b/>
                <w:bCs/>
                <w:szCs w:val="24"/>
                <w:lang w:eastAsia="cs-CZ"/>
              </w:rPr>
              <w:t>54,11</w:t>
            </w:r>
          </w:p>
        </w:tc>
      </w:tr>
      <w:tr w:rsidR="00B64E96" w:rsidRPr="00730B1E" w14:paraId="0ECC54AB" w14:textId="77777777" w:rsidTr="00604679">
        <w:trPr>
          <w:trHeight w:val="345"/>
        </w:trPr>
        <w:tc>
          <w:tcPr>
            <w:tcW w:w="2220" w:type="dxa"/>
            <w:tcBorders>
              <w:top w:val="nil"/>
              <w:left w:val="nil"/>
              <w:bottom w:val="nil"/>
              <w:right w:val="nil"/>
            </w:tcBorders>
            <w:shd w:val="clear" w:color="auto" w:fill="auto"/>
            <w:noWrap/>
            <w:vAlign w:val="bottom"/>
            <w:hideMark/>
          </w:tcPr>
          <w:p w14:paraId="3C76E72E" w14:textId="77777777" w:rsidR="00604679" w:rsidRPr="00730B1E" w:rsidRDefault="00604679" w:rsidP="00604679">
            <w:pPr>
              <w:spacing w:line="240" w:lineRule="auto"/>
              <w:jc w:val="center"/>
              <w:rPr>
                <w:rFonts w:eastAsia="Times New Roman"/>
                <w:b/>
                <w:bCs/>
                <w:szCs w:val="24"/>
                <w:lang w:eastAsia="cs-CZ"/>
              </w:rPr>
            </w:pPr>
          </w:p>
        </w:tc>
        <w:tc>
          <w:tcPr>
            <w:tcW w:w="1914" w:type="dxa"/>
            <w:tcBorders>
              <w:top w:val="nil"/>
              <w:left w:val="nil"/>
              <w:bottom w:val="nil"/>
              <w:right w:val="nil"/>
            </w:tcBorders>
            <w:shd w:val="clear" w:color="auto" w:fill="auto"/>
            <w:noWrap/>
            <w:vAlign w:val="bottom"/>
            <w:hideMark/>
          </w:tcPr>
          <w:p w14:paraId="388F983E" w14:textId="77777777" w:rsidR="00604679" w:rsidRPr="00DF07F3" w:rsidRDefault="00604679" w:rsidP="00604679">
            <w:pPr>
              <w:spacing w:line="240" w:lineRule="auto"/>
              <w:jc w:val="left"/>
              <w:rPr>
                <w:sz w:val="20"/>
              </w:rPr>
            </w:pPr>
          </w:p>
        </w:tc>
        <w:tc>
          <w:tcPr>
            <w:tcW w:w="1326" w:type="dxa"/>
            <w:tcBorders>
              <w:top w:val="nil"/>
              <w:left w:val="nil"/>
              <w:bottom w:val="nil"/>
              <w:right w:val="nil"/>
            </w:tcBorders>
            <w:shd w:val="clear" w:color="auto" w:fill="auto"/>
            <w:noWrap/>
            <w:vAlign w:val="bottom"/>
            <w:hideMark/>
          </w:tcPr>
          <w:p w14:paraId="77D055C4" w14:textId="77777777" w:rsidR="00604679" w:rsidRPr="00DF07F3" w:rsidRDefault="00604679" w:rsidP="00604679">
            <w:pPr>
              <w:spacing w:line="240" w:lineRule="auto"/>
              <w:jc w:val="left"/>
              <w:rPr>
                <w:sz w:val="20"/>
              </w:rPr>
            </w:pPr>
          </w:p>
        </w:tc>
        <w:tc>
          <w:tcPr>
            <w:tcW w:w="1080" w:type="dxa"/>
            <w:tcBorders>
              <w:top w:val="nil"/>
              <w:left w:val="nil"/>
              <w:bottom w:val="nil"/>
              <w:right w:val="nil"/>
            </w:tcBorders>
            <w:shd w:val="clear" w:color="auto" w:fill="auto"/>
            <w:noWrap/>
            <w:vAlign w:val="bottom"/>
            <w:hideMark/>
          </w:tcPr>
          <w:p w14:paraId="0E7738D7" w14:textId="77777777" w:rsidR="00604679" w:rsidRPr="00DF07F3" w:rsidRDefault="00604679" w:rsidP="00604679">
            <w:pPr>
              <w:spacing w:line="240" w:lineRule="auto"/>
              <w:jc w:val="left"/>
              <w:rPr>
                <w:sz w:val="20"/>
              </w:rPr>
            </w:pPr>
          </w:p>
        </w:tc>
      </w:tr>
    </w:tbl>
    <w:p w14:paraId="6E96E883" w14:textId="6AFFE87F" w:rsidR="00604679" w:rsidRPr="00730B1E" w:rsidRDefault="00604679" w:rsidP="00604679">
      <w:r w:rsidRPr="00730B1E">
        <w:t>V tabulce na první pohled rozhodně zaujme srovnání s okresními soudy. Podíl mužů, kteří působí jako přísedící, je totiž u krajských soudů výrazně vyšší</w:t>
      </w:r>
      <w:r w:rsidR="00E10A35" w:rsidRPr="00730B1E">
        <w:t xml:space="preserve"> (46 % vs. 35 %)</w:t>
      </w:r>
      <w:r w:rsidRPr="00730B1E">
        <w:t>. U dvou soudů dokonce působí více mužů než žen. Přísedících je</w:t>
      </w:r>
      <w:r w:rsidR="00703303" w:rsidRPr="00730B1E">
        <w:t xml:space="preserve"> však</w:t>
      </w:r>
      <w:r w:rsidRPr="00730B1E">
        <w:t xml:space="preserve"> mnohem méně než u OS, neboť počet věcí, které vyřizují, je násobně nižší, i když agenda KS je náročnější. </w:t>
      </w:r>
    </w:p>
    <w:p w14:paraId="58E4421E" w14:textId="151C2DFD" w:rsidR="00962CC3" w:rsidRPr="00730B1E" w:rsidRDefault="008E0022" w:rsidP="008E0022">
      <w:r w:rsidRPr="00730B1E">
        <w:t xml:space="preserve">Další tabulka se (stejně jako u OS) zabývá věkovou strukturou. Zatímco struktura dle pohlaví se liší, věková struktura přísedících u OS a přísedících u KS je podobná. U KS je funkce přísedícího rovněž mnohem populárnější u vyšších věkových skupin. </w:t>
      </w:r>
      <w:r w:rsidR="00882B92" w:rsidRPr="00730B1E">
        <w:t xml:space="preserve">Téměř </w:t>
      </w:r>
      <w:r w:rsidRPr="00730B1E">
        <w:t>57 % (u OS 60 %) přísedících tvoří lidé ve věku 60 let a více, tedy ve většině případů v důchodovém věku. Naopak přísedící ve věku do 39 let tvoří pouze 7,43 % (u OS 4,36 %). V průměru nejstarší jsou, stejně jako u OS, přísedící v Jihočeském kraji. V tomto kraji ale působí u KS málo přísedících (jedná se o nejmenší krajský soud). Od předchozího roku nedošlo ve složení přísedících prakticky k žádné změně.</w:t>
      </w:r>
    </w:p>
    <w:p w14:paraId="751D11BB" w14:textId="77777777" w:rsidR="00962CC3" w:rsidRPr="00730B1E" w:rsidRDefault="00962CC3">
      <w:pPr>
        <w:spacing w:after="160" w:line="259" w:lineRule="auto"/>
        <w:jc w:val="left"/>
      </w:pPr>
      <w:r w:rsidRPr="00730B1E">
        <w:br w:type="page"/>
      </w:r>
    </w:p>
    <w:p w14:paraId="7D451BD5" w14:textId="45079CD5" w:rsidR="008E0022" w:rsidRPr="00730B1E" w:rsidRDefault="008E0022" w:rsidP="008E0022">
      <w:pPr>
        <w:pStyle w:val="Podnadpis"/>
        <w:rPr>
          <w:color w:val="auto"/>
        </w:rPr>
      </w:pPr>
      <w:bookmarkStart w:id="733" w:name="_Toc75952345"/>
      <w:bookmarkStart w:id="734" w:name="_Toc106106803"/>
      <w:bookmarkStart w:id="735" w:name="_Toc109802126"/>
      <w:bookmarkStart w:id="736" w:name="_Toc144104283"/>
      <w:bookmarkStart w:id="737" w:name="_Toc169251095"/>
      <w:bookmarkStart w:id="738" w:name="_Toc174080781"/>
      <w:r w:rsidRPr="00730B1E">
        <w:rPr>
          <w:color w:val="auto"/>
        </w:rPr>
        <w:lastRenderedPageBreak/>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38</w:t>
      </w:r>
      <w:r w:rsidRPr="00730B1E">
        <w:rPr>
          <w:noProof/>
          <w:color w:val="auto"/>
        </w:rPr>
        <w:fldChar w:fldCharType="end"/>
      </w:r>
      <w:r w:rsidRPr="00730B1E">
        <w:rPr>
          <w:color w:val="auto"/>
        </w:rPr>
        <w:t>: KS – počet přísedících dle soudů a věk</w:t>
      </w:r>
      <w:r w:rsidR="00002139" w:rsidRPr="00730B1E">
        <w:rPr>
          <w:color w:val="auto"/>
        </w:rPr>
        <w:t>u</w:t>
      </w:r>
      <w:bookmarkEnd w:id="733"/>
      <w:bookmarkEnd w:id="734"/>
      <w:bookmarkEnd w:id="735"/>
      <w:bookmarkEnd w:id="736"/>
      <w:r w:rsidR="00962CC3" w:rsidRPr="00730B1E">
        <w:rPr>
          <w:color w:val="auto"/>
        </w:rPr>
        <w:t>, 2023</w:t>
      </w:r>
      <w:bookmarkEnd w:id="737"/>
      <w:bookmarkEnd w:id="738"/>
    </w:p>
    <w:tbl>
      <w:tblPr>
        <w:tblW w:w="7797" w:type="dxa"/>
        <w:tblLayout w:type="fixed"/>
        <w:tblCellMar>
          <w:left w:w="70" w:type="dxa"/>
          <w:right w:w="70" w:type="dxa"/>
        </w:tblCellMar>
        <w:tblLook w:val="04A0" w:firstRow="1" w:lastRow="0" w:firstColumn="1" w:lastColumn="0" w:noHBand="0" w:noVBand="1"/>
      </w:tblPr>
      <w:tblGrid>
        <w:gridCol w:w="2220"/>
        <w:gridCol w:w="1115"/>
        <w:gridCol w:w="1115"/>
        <w:gridCol w:w="1116"/>
        <w:gridCol w:w="1115"/>
        <w:gridCol w:w="1116"/>
      </w:tblGrid>
      <w:tr w:rsidR="00B64E96" w:rsidRPr="00730B1E" w14:paraId="15501B89" w14:textId="77777777" w:rsidTr="00962CC3">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699440B8" w14:textId="5ADBA05F" w:rsidR="008E0022" w:rsidRPr="00730B1E" w:rsidRDefault="00855B9C" w:rsidP="008E0022">
            <w:pPr>
              <w:spacing w:line="240" w:lineRule="auto"/>
              <w:jc w:val="center"/>
              <w:rPr>
                <w:rFonts w:eastAsia="Times New Roman"/>
                <w:b/>
                <w:bCs/>
                <w:szCs w:val="24"/>
                <w:lang w:eastAsia="cs-CZ"/>
              </w:rPr>
            </w:pPr>
            <w:r w:rsidRPr="00730B1E">
              <w:rPr>
                <w:rFonts w:eastAsia="Times New Roman"/>
                <w:b/>
                <w:bCs/>
                <w:szCs w:val="24"/>
                <w:lang w:eastAsia="cs-CZ"/>
              </w:rPr>
              <w:t>S</w:t>
            </w:r>
            <w:r w:rsidR="008E0022" w:rsidRPr="00730B1E">
              <w:rPr>
                <w:rFonts w:eastAsia="Times New Roman"/>
                <w:b/>
                <w:bCs/>
                <w:szCs w:val="24"/>
                <w:lang w:eastAsia="cs-CZ"/>
              </w:rPr>
              <w:t>oud</w:t>
            </w:r>
          </w:p>
        </w:tc>
        <w:tc>
          <w:tcPr>
            <w:tcW w:w="5577" w:type="dxa"/>
            <w:gridSpan w:val="5"/>
            <w:tcBorders>
              <w:top w:val="double" w:sz="6" w:space="0" w:color="auto"/>
              <w:left w:val="nil"/>
              <w:bottom w:val="nil"/>
              <w:right w:val="nil"/>
            </w:tcBorders>
            <w:shd w:val="clear" w:color="auto" w:fill="auto"/>
            <w:noWrap/>
            <w:vAlign w:val="bottom"/>
            <w:hideMark/>
          </w:tcPr>
          <w:p w14:paraId="7783C601" w14:textId="77777777"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Věková skupina (podíl v %)</w:t>
            </w:r>
          </w:p>
        </w:tc>
      </w:tr>
      <w:tr w:rsidR="00B64E96" w:rsidRPr="00730B1E" w14:paraId="1958BE5B" w14:textId="77777777" w:rsidTr="00962CC3">
        <w:trPr>
          <w:trHeight w:val="330"/>
        </w:trPr>
        <w:tc>
          <w:tcPr>
            <w:tcW w:w="2220" w:type="dxa"/>
            <w:vMerge/>
            <w:tcBorders>
              <w:top w:val="double" w:sz="6" w:space="0" w:color="auto"/>
              <w:left w:val="nil"/>
              <w:bottom w:val="double" w:sz="6" w:space="0" w:color="000000"/>
              <w:right w:val="nil"/>
            </w:tcBorders>
            <w:vAlign w:val="center"/>
            <w:hideMark/>
          </w:tcPr>
          <w:p w14:paraId="3D3D2452" w14:textId="77777777" w:rsidR="008E0022" w:rsidRPr="00730B1E" w:rsidRDefault="008E0022" w:rsidP="008E0022">
            <w:pPr>
              <w:spacing w:line="240" w:lineRule="auto"/>
              <w:jc w:val="left"/>
              <w:rPr>
                <w:rFonts w:eastAsia="Times New Roman"/>
                <w:b/>
                <w:bCs/>
                <w:szCs w:val="24"/>
                <w:lang w:eastAsia="cs-CZ"/>
              </w:rPr>
            </w:pPr>
          </w:p>
        </w:tc>
        <w:tc>
          <w:tcPr>
            <w:tcW w:w="1115" w:type="dxa"/>
            <w:tcBorders>
              <w:top w:val="nil"/>
              <w:left w:val="nil"/>
              <w:bottom w:val="double" w:sz="6" w:space="0" w:color="auto"/>
              <w:right w:val="nil"/>
            </w:tcBorders>
            <w:shd w:val="clear" w:color="auto" w:fill="auto"/>
            <w:noWrap/>
            <w:vAlign w:val="bottom"/>
            <w:hideMark/>
          </w:tcPr>
          <w:p w14:paraId="6DA7378D" w14:textId="3FE74D68"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30-39</w:t>
            </w:r>
          </w:p>
        </w:tc>
        <w:tc>
          <w:tcPr>
            <w:tcW w:w="1115" w:type="dxa"/>
            <w:tcBorders>
              <w:top w:val="nil"/>
              <w:left w:val="nil"/>
              <w:bottom w:val="double" w:sz="6" w:space="0" w:color="auto"/>
              <w:right w:val="nil"/>
            </w:tcBorders>
            <w:shd w:val="clear" w:color="auto" w:fill="auto"/>
            <w:noWrap/>
            <w:vAlign w:val="bottom"/>
            <w:hideMark/>
          </w:tcPr>
          <w:p w14:paraId="430B0D4A" w14:textId="77777777"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40-49</w:t>
            </w:r>
          </w:p>
        </w:tc>
        <w:tc>
          <w:tcPr>
            <w:tcW w:w="1116" w:type="dxa"/>
            <w:tcBorders>
              <w:top w:val="nil"/>
              <w:left w:val="nil"/>
              <w:bottom w:val="double" w:sz="6" w:space="0" w:color="auto"/>
              <w:right w:val="nil"/>
            </w:tcBorders>
            <w:shd w:val="clear" w:color="auto" w:fill="auto"/>
            <w:noWrap/>
            <w:vAlign w:val="bottom"/>
            <w:hideMark/>
          </w:tcPr>
          <w:p w14:paraId="1A09AD79" w14:textId="77777777"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50-59</w:t>
            </w:r>
          </w:p>
        </w:tc>
        <w:tc>
          <w:tcPr>
            <w:tcW w:w="1115" w:type="dxa"/>
            <w:tcBorders>
              <w:top w:val="nil"/>
              <w:left w:val="nil"/>
              <w:bottom w:val="double" w:sz="6" w:space="0" w:color="auto"/>
              <w:right w:val="nil"/>
            </w:tcBorders>
            <w:shd w:val="clear" w:color="auto" w:fill="auto"/>
            <w:noWrap/>
            <w:vAlign w:val="bottom"/>
            <w:hideMark/>
          </w:tcPr>
          <w:p w14:paraId="0050A96B" w14:textId="77777777"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60-69</w:t>
            </w:r>
          </w:p>
        </w:tc>
        <w:tc>
          <w:tcPr>
            <w:tcW w:w="1116" w:type="dxa"/>
            <w:tcBorders>
              <w:top w:val="nil"/>
              <w:left w:val="nil"/>
              <w:bottom w:val="double" w:sz="6" w:space="0" w:color="auto"/>
              <w:right w:val="nil"/>
            </w:tcBorders>
            <w:shd w:val="clear" w:color="auto" w:fill="auto"/>
            <w:noWrap/>
            <w:vAlign w:val="bottom"/>
            <w:hideMark/>
          </w:tcPr>
          <w:p w14:paraId="318012A9" w14:textId="77777777"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70 a více</w:t>
            </w:r>
          </w:p>
        </w:tc>
      </w:tr>
      <w:tr w:rsidR="00B64E96" w:rsidRPr="00730B1E" w14:paraId="332402AE" w14:textId="77777777" w:rsidTr="00962CC3">
        <w:trPr>
          <w:trHeight w:val="330"/>
        </w:trPr>
        <w:tc>
          <w:tcPr>
            <w:tcW w:w="2220" w:type="dxa"/>
            <w:tcBorders>
              <w:top w:val="nil"/>
              <w:left w:val="nil"/>
              <w:bottom w:val="single" w:sz="4" w:space="0" w:color="auto"/>
              <w:right w:val="nil"/>
            </w:tcBorders>
            <w:shd w:val="clear" w:color="auto" w:fill="auto"/>
            <w:noWrap/>
            <w:vAlign w:val="bottom"/>
            <w:hideMark/>
          </w:tcPr>
          <w:p w14:paraId="7C8B6C91" w14:textId="77777777" w:rsidR="008E0022" w:rsidRPr="00730B1E" w:rsidRDefault="008E0022" w:rsidP="008E0022">
            <w:pPr>
              <w:spacing w:line="240" w:lineRule="auto"/>
              <w:jc w:val="left"/>
              <w:rPr>
                <w:rFonts w:eastAsia="Times New Roman"/>
                <w:szCs w:val="24"/>
                <w:lang w:eastAsia="cs-CZ"/>
              </w:rPr>
            </w:pPr>
            <w:r w:rsidRPr="00730B1E">
              <w:rPr>
                <w:rFonts w:eastAsia="Times New Roman"/>
                <w:szCs w:val="24"/>
                <w:lang w:eastAsia="cs-CZ"/>
              </w:rPr>
              <w:t>MS Praha</w:t>
            </w:r>
          </w:p>
        </w:tc>
        <w:tc>
          <w:tcPr>
            <w:tcW w:w="1115" w:type="dxa"/>
            <w:tcBorders>
              <w:top w:val="nil"/>
              <w:left w:val="nil"/>
              <w:bottom w:val="single" w:sz="4" w:space="0" w:color="auto"/>
              <w:right w:val="nil"/>
            </w:tcBorders>
            <w:shd w:val="clear" w:color="auto" w:fill="auto"/>
            <w:noWrap/>
            <w:vAlign w:val="bottom"/>
            <w:hideMark/>
          </w:tcPr>
          <w:p w14:paraId="0BD0E9C5" w14:textId="52861B71"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10,98</w:t>
            </w:r>
          </w:p>
        </w:tc>
        <w:tc>
          <w:tcPr>
            <w:tcW w:w="1115" w:type="dxa"/>
            <w:tcBorders>
              <w:top w:val="nil"/>
              <w:left w:val="nil"/>
              <w:bottom w:val="single" w:sz="4" w:space="0" w:color="auto"/>
              <w:right w:val="nil"/>
            </w:tcBorders>
            <w:shd w:val="clear" w:color="auto" w:fill="auto"/>
            <w:noWrap/>
            <w:vAlign w:val="bottom"/>
            <w:hideMark/>
          </w:tcPr>
          <w:p w14:paraId="68A4DE0A" w14:textId="5166C8F5"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25,20</w:t>
            </w:r>
          </w:p>
        </w:tc>
        <w:tc>
          <w:tcPr>
            <w:tcW w:w="1116" w:type="dxa"/>
            <w:tcBorders>
              <w:top w:val="nil"/>
              <w:left w:val="nil"/>
              <w:bottom w:val="single" w:sz="4" w:space="0" w:color="auto"/>
              <w:right w:val="nil"/>
            </w:tcBorders>
            <w:shd w:val="clear" w:color="auto" w:fill="auto"/>
            <w:noWrap/>
            <w:vAlign w:val="bottom"/>
            <w:hideMark/>
          </w:tcPr>
          <w:p w14:paraId="17E71DAC" w14:textId="5DBDE78D"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22,76</w:t>
            </w:r>
          </w:p>
        </w:tc>
        <w:tc>
          <w:tcPr>
            <w:tcW w:w="1115" w:type="dxa"/>
            <w:tcBorders>
              <w:top w:val="nil"/>
              <w:left w:val="nil"/>
              <w:bottom w:val="single" w:sz="4" w:space="0" w:color="auto"/>
              <w:right w:val="nil"/>
            </w:tcBorders>
            <w:shd w:val="clear" w:color="auto" w:fill="auto"/>
            <w:noWrap/>
            <w:vAlign w:val="bottom"/>
            <w:hideMark/>
          </w:tcPr>
          <w:p w14:paraId="186A0283" w14:textId="27DBCAA9"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21,54</w:t>
            </w:r>
          </w:p>
        </w:tc>
        <w:tc>
          <w:tcPr>
            <w:tcW w:w="1116" w:type="dxa"/>
            <w:tcBorders>
              <w:top w:val="nil"/>
              <w:left w:val="nil"/>
              <w:bottom w:val="single" w:sz="4" w:space="0" w:color="auto"/>
              <w:right w:val="nil"/>
            </w:tcBorders>
            <w:shd w:val="clear" w:color="auto" w:fill="auto"/>
            <w:noWrap/>
            <w:vAlign w:val="bottom"/>
            <w:hideMark/>
          </w:tcPr>
          <w:p w14:paraId="35EF29D1" w14:textId="6439B1CD"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19,51</w:t>
            </w:r>
          </w:p>
        </w:tc>
      </w:tr>
      <w:tr w:rsidR="00B64E96" w:rsidRPr="00730B1E" w14:paraId="538F0BF1" w14:textId="77777777" w:rsidTr="00962CC3">
        <w:trPr>
          <w:trHeight w:val="315"/>
        </w:trPr>
        <w:tc>
          <w:tcPr>
            <w:tcW w:w="2220" w:type="dxa"/>
            <w:tcBorders>
              <w:top w:val="nil"/>
              <w:left w:val="nil"/>
              <w:bottom w:val="single" w:sz="4" w:space="0" w:color="auto"/>
              <w:right w:val="nil"/>
            </w:tcBorders>
            <w:shd w:val="clear" w:color="auto" w:fill="auto"/>
            <w:noWrap/>
            <w:vAlign w:val="bottom"/>
            <w:hideMark/>
          </w:tcPr>
          <w:p w14:paraId="07879931" w14:textId="77777777" w:rsidR="008E0022" w:rsidRPr="00730B1E" w:rsidRDefault="008E0022" w:rsidP="008E0022">
            <w:pPr>
              <w:spacing w:line="240" w:lineRule="auto"/>
              <w:jc w:val="left"/>
              <w:rPr>
                <w:rFonts w:eastAsia="Times New Roman"/>
                <w:szCs w:val="24"/>
                <w:lang w:eastAsia="cs-CZ"/>
              </w:rPr>
            </w:pPr>
            <w:r w:rsidRPr="00730B1E">
              <w:rPr>
                <w:rFonts w:eastAsia="Times New Roman"/>
                <w:szCs w:val="24"/>
                <w:lang w:eastAsia="cs-CZ"/>
              </w:rPr>
              <w:t>KS Praha</w:t>
            </w:r>
          </w:p>
        </w:tc>
        <w:tc>
          <w:tcPr>
            <w:tcW w:w="1115" w:type="dxa"/>
            <w:tcBorders>
              <w:top w:val="nil"/>
              <w:left w:val="nil"/>
              <w:bottom w:val="single" w:sz="4" w:space="0" w:color="auto"/>
              <w:right w:val="nil"/>
            </w:tcBorders>
            <w:shd w:val="clear" w:color="auto" w:fill="auto"/>
            <w:noWrap/>
            <w:vAlign w:val="bottom"/>
            <w:hideMark/>
          </w:tcPr>
          <w:p w14:paraId="780CA751" w14:textId="4B523D8F"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8,33</w:t>
            </w:r>
          </w:p>
        </w:tc>
        <w:tc>
          <w:tcPr>
            <w:tcW w:w="1115" w:type="dxa"/>
            <w:tcBorders>
              <w:top w:val="nil"/>
              <w:left w:val="nil"/>
              <w:bottom w:val="single" w:sz="4" w:space="0" w:color="auto"/>
              <w:right w:val="nil"/>
            </w:tcBorders>
            <w:shd w:val="clear" w:color="auto" w:fill="auto"/>
            <w:noWrap/>
            <w:vAlign w:val="bottom"/>
            <w:hideMark/>
          </w:tcPr>
          <w:p w14:paraId="187BC950" w14:textId="6C16F7CB"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23,61</w:t>
            </w:r>
          </w:p>
        </w:tc>
        <w:tc>
          <w:tcPr>
            <w:tcW w:w="1116" w:type="dxa"/>
            <w:tcBorders>
              <w:top w:val="nil"/>
              <w:left w:val="nil"/>
              <w:bottom w:val="single" w:sz="4" w:space="0" w:color="auto"/>
              <w:right w:val="nil"/>
            </w:tcBorders>
            <w:shd w:val="clear" w:color="auto" w:fill="auto"/>
            <w:noWrap/>
            <w:vAlign w:val="bottom"/>
            <w:hideMark/>
          </w:tcPr>
          <w:p w14:paraId="5FE6B157" w14:textId="0348378D"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18,06</w:t>
            </w:r>
          </w:p>
        </w:tc>
        <w:tc>
          <w:tcPr>
            <w:tcW w:w="1115" w:type="dxa"/>
            <w:tcBorders>
              <w:top w:val="nil"/>
              <w:left w:val="nil"/>
              <w:bottom w:val="single" w:sz="4" w:space="0" w:color="auto"/>
              <w:right w:val="nil"/>
            </w:tcBorders>
            <w:shd w:val="clear" w:color="auto" w:fill="auto"/>
            <w:noWrap/>
            <w:vAlign w:val="bottom"/>
            <w:hideMark/>
          </w:tcPr>
          <w:p w14:paraId="302E480C" w14:textId="691DF8DD"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22,22</w:t>
            </w:r>
          </w:p>
        </w:tc>
        <w:tc>
          <w:tcPr>
            <w:tcW w:w="1116" w:type="dxa"/>
            <w:tcBorders>
              <w:top w:val="nil"/>
              <w:left w:val="nil"/>
              <w:bottom w:val="single" w:sz="4" w:space="0" w:color="auto"/>
              <w:right w:val="nil"/>
            </w:tcBorders>
            <w:shd w:val="clear" w:color="auto" w:fill="auto"/>
            <w:noWrap/>
            <w:vAlign w:val="bottom"/>
            <w:hideMark/>
          </w:tcPr>
          <w:p w14:paraId="7A8ECE58" w14:textId="01646C8F"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27,78</w:t>
            </w:r>
          </w:p>
        </w:tc>
      </w:tr>
      <w:tr w:rsidR="00B64E96" w:rsidRPr="00730B1E" w14:paraId="0D4A4619" w14:textId="77777777" w:rsidTr="00962CC3">
        <w:trPr>
          <w:trHeight w:val="315"/>
        </w:trPr>
        <w:tc>
          <w:tcPr>
            <w:tcW w:w="2220" w:type="dxa"/>
            <w:tcBorders>
              <w:top w:val="nil"/>
              <w:left w:val="nil"/>
              <w:bottom w:val="single" w:sz="4" w:space="0" w:color="auto"/>
              <w:right w:val="nil"/>
            </w:tcBorders>
            <w:shd w:val="clear" w:color="auto" w:fill="auto"/>
            <w:noWrap/>
            <w:vAlign w:val="bottom"/>
            <w:hideMark/>
          </w:tcPr>
          <w:p w14:paraId="31C9EDB3" w14:textId="77777777" w:rsidR="008E0022" w:rsidRPr="00730B1E" w:rsidRDefault="008E0022" w:rsidP="008E0022">
            <w:pPr>
              <w:spacing w:line="240" w:lineRule="auto"/>
              <w:jc w:val="left"/>
              <w:rPr>
                <w:rFonts w:eastAsia="Times New Roman"/>
                <w:szCs w:val="24"/>
                <w:lang w:eastAsia="cs-CZ"/>
              </w:rPr>
            </w:pPr>
            <w:r w:rsidRPr="00730B1E">
              <w:rPr>
                <w:rFonts w:eastAsia="Times New Roman"/>
                <w:szCs w:val="24"/>
                <w:lang w:eastAsia="cs-CZ"/>
              </w:rPr>
              <w:t>KS Č. Budějovice</w:t>
            </w:r>
          </w:p>
        </w:tc>
        <w:tc>
          <w:tcPr>
            <w:tcW w:w="1115" w:type="dxa"/>
            <w:tcBorders>
              <w:top w:val="nil"/>
              <w:left w:val="nil"/>
              <w:bottom w:val="single" w:sz="4" w:space="0" w:color="auto"/>
              <w:right w:val="nil"/>
            </w:tcBorders>
            <w:shd w:val="clear" w:color="auto" w:fill="auto"/>
            <w:noWrap/>
            <w:vAlign w:val="bottom"/>
            <w:hideMark/>
          </w:tcPr>
          <w:p w14:paraId="2AB0BB01" w14:textId="59709414"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7,32</w:t>
            </w:r>
          </w:p>
        </w:tc>
        <w:tc>
          <w:tcPr>
            <w:tcW w:w="1115" w:type="dxa"/>
            <w:tcBorders>
              <w:top w:val="nil"/>
              <w:left w:val="nil"/>
              <w:bottom w:val="single" w:sz="4" w:space="0" w:color="auto"/>
              <w:right w:val="nil"/>
            </w:tcBorders>
            <w:shd w:val="clear" w:color="auto" w:fill="auto"/>
            <w:noWrap/>
            <w:vAlign w:val="bottom"/>
            <w:hideMark/>
          </w:tcPr>
          <w:p w14:paraId="5902DA12" w14:textId="0BF1911E"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9,76</w:t>
            </w:r>
          </w:p>
        </w:tc>
        <w:tc>
          <w:tcPr>
            <w:tcW w:w="1116" w:type="dxa"/>
            <w:tcBorders>
              <w:top w:val="nil"/>
              <w:left w:val="nil"/>
              <w:bottom w:val="single" w:sz="4" w:space="0" w:color="auto"/>
              <w:right w:val="nil"/>
            </w:tcBorders>
            <w:shd w:val="clear" w:color="auto" w:fill="auto"/>
            <w:noWrap/>
            <w:vAlign w:val="bottom"/>
            <w:hideMark/>
          </w:tcPr>
          <w:p w14:paraId="5D74D408" w14:textId="63BDCBB8"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4,88</w:t>
            </w:r>
          </w:p>
        </w:tc>
        <w:tc>
          <w:tcPr>
            <w:tcW w:w="1115" w:type="dxa"/>
            <w:tcBorders>
              <w:top w:val="nil"/>
              <w:left w:val="nil"/>
              <w:bottom w:val="single" w:sz="4" w:space="0" w:color="auto"/>
              <w:right w:val="nil"/>
            </w:tcBorders>
            <w:shd w:val="clear" w:color="auto" w:fill="auto"/>
            <w:noWrap/>
            <w:vAlign w:val="bottom"/>
            <w:hideMark/>
          </w:tcPr>
          <w:p w14:paraId="65F71B88" w14:textId="610BB8D8"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39,02</w:t>
            </w:r>
          </w:p>
        </w:tc>
        <w:tc>
          <w:tcPr>
            <w:tcW w:w="1116" w:type="dxa"/>
            <w:tcBorders>
              <w:top w:val="nil"/>
              <w:left w:val="nil"/>
              <w:bottom w:val="single" w:sz="4" w:space="0" w:color="auto"/>
              <w:right w:val="nil"/>
            </w:tcBorders>
            <w:shd w:val="clear" w:color="auto" w:fill="auto"/>
            <w:noWrap/>
            <w:vAlign w:val="bottom"/>
            <w:hideMark/>
          </w:tcPr>
          <w:p w14:paraId="53E82E6F" w14:textId="519C927A"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39,02</w:t>
            </w:r>
          </w:p>
        </w:tc>
      </w:tr>
      <w:tr w:rsidR="00B64E96" w:rsidRPr="00730B1E" w14:paraId="2A6BD145" w14:textId="77777777" w:rsidTr="00962CC3">
        <w:trPr>
          <w:trHeight w:val="315"/>
        </w:trPr>
        <w:tc>
          <w:tcPr>
            <w:tcW w:w="2220" w:type="dxa"/>
            <w:tcBorders>
              <w:top w:val="nil"/>
              <w:left w:val="nil"/>
              <w:bottom w:val="single" w:sz="4" w:space="0" w:color="auto"/>
              <w:right w:val="nil"/>
            </w:tcBorders>
            <w:shd w:val="clear" w:color="auto" w:fill="auto"/>
            <w:noWrap/>
            <w:vAlign w:val="bottom"/>
            <w:hideMark/>
          </w:tcPr>
          <w:p w14:paraId="756FE487" w14:textId="77777777" w:rsidR="008E0022" w:rsidRPr="00730B1E" w:rsidRDefault="008E0022" w:rsidP="008E0022">
            <w:pPr>
              <w:spacing w:line="240" w:lineRule="auto"/>
              <w:jc w:val="left"/>
              <w:rPr>
                <w:rFonts w:eastAsia="Times New Roman"/>
                <w:szCs w:val="24"/>
                <w:lang w:eastAsia="cs-CZ"/>
              </w:rPr>
            </w:pPr>
            <w:r w:rsidRPr="00730B1E">
              <w:rPr>
                <w:rFonts w:eastAsia="Times New Roman"/>
                <w:szCs w:val="24"/>
                <w:lang w:eastAsia="cs-CZ"/>
              </w:rPr>
              <w:t>KS Plzeň</w:t>
            </w:r>
          </w:p>
        </w:tc>
        <w:tc>
          <w:tcPr>
            <w:tcW w:w="1115" w:type="dxa"/>
            <w:tcBorders>
              <w:top w:val="nil"/>
              <w:left w:val="nil"/>
              <w:bottom w:val="single" w:sz="4" w:space="0" w:color="auto"/>
              <w:right w:val="nil"/>
            </w:tcBorders>
            <w:shd w:val="clear" w:color="auto" w:fill="auto"/>
            <w:noWrap/>
            <w:vAlign w:val="bottom"/>
            <w:hideMark/>
          </w:tcPr>
          <w:p w14:paraId="609EF8C4" w14:textId="300CBCB6"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10,00</w:t>
            </w:r>
          </w:p>
        </w:tc>
        <w:tc>
          <w:tcPr>
            <w:tcW w:w="1115" w:type="dxa"/>
            <w:tcBorders>
              <w:top w:val="nil"/>
              <w:left w:val="nil"/>
              <w:bottom w:val="single" w:sz="4" w:space="0" w:color="auto"/>
              <w:right w:val="nil"/>
            </w:tcBorders>
            <w:shd w:val="clear" w:color="auto" w:fill="auto"/>
            <w:noWrap/>
            <w:vAlign w:val="bottom"/>
            <w:hideMark/>
          </w:tcPr>
          <w:p w14:paraId="4DBA5C6E" w14:textId="5138F28A"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20,00</w:t>
            </w:r>
          </w:p>
        </w:tc>
        <w:tc>
          <w:tcPr>
            <w:tcW w:w="1116" w:type="dxa"/>
            <w:tcBorders>
              <w:top w:val="nil"/>
              <w:left w:val="nil"/>
              <w:bottom w:val="single" w:sz="4" w:space="0" w:color="auto"/>
              <w:right w:val="nil"/>
            </w:tcBorders>
            <w:shd w:val="clear" w:color="auto" w:fill="auto"/>
            <w:noWrap/>
            <w:vAlign w:val="bottom"/>
            <w:hideMark/>
          </w:tcPr>
          <w:p w14:paraId="0178D104" w14:textId="4EE12E18"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11,43</w:t>
            </w:r>
          </w:p>
        </w:tc>
        <w:tc>
          <w:tcPr>
            <w:tcW w:w="1115" w:type="dxa"/>
            <w:tcBorders>
              <w:top w:val="nil"/>
              <w:left w:val="nil"/>
              <w:bottom w:val="single" w:sz="4" w:space="0" w:color="auto"/>
              <w:right w:val="nil"/>
            </w:tcBorders>
            <w:shd w:val="clear" w:color="auto" w:fill="auto"/>
            <w:noWrap/>
            <w:vAlign w:val="bottom"/>
            <w:hideMark/>
          </w:tcPr>
          <w:p w14:paraId="12F72CE5" w14:textId="61887F15"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28,57</w:t>
            </w:r>
          </w:p>
        </w:tc>
        <w:tc>
          <w:tcPr>
            <w:tcW w:w="1116" w:type="dxa"/>
            <w:tcBorders>
              <w:top w:val="nil"/>
              <w:left w:val="nil"/>
              <w:bottom w:val="single" w:sz="4" w:space="0" w:color="auto"/>
              <w:right w:val="nil"/>
            </w:tcBorders>
            <w:shd w:val="clear" w:color="auto" w:fill="auto"/>
            <w:noWrap/>
            <w:vAlign w:val="bottom"/>
            <w:hideMark/>
          </w:tcPr>
          <w:p w14:paraId="2F8207A3" w14:textId="6FE16BC6"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30,00</w:t>
            </w:r>
          </w:p>
        </w:tc>
      </w:tr>
      <w:tr w:rsidR="00B64E96" w:rsidRPr="00730B1E" w14:paraId="49D2DAA1" w14:textId="77777777" w:rsidTr="00962CC3">
        <w:trPr>
          <w:trHeight w:val="315"/>
        </w:trPr>
        <w:tc>
          <w:tcPr>
            <w:tcW w:w="2220" w:type="dxa"/>
            <w:tcBorders>
              <w:top w:val="nil"/>
              <w:left w:val="nil"/>
              <w:bottom w:val="single" w:sz="4" w:space="0" w:color="auto"/>
              <w:right w:val="nil"/>
            </w:tcBorders>
            <w:shd w:val="clear" w:color="auto" w:fill="auto"/>
            <w:noWrap/>
            <w:vAlign w:val="bottom"/>
            <w:hideMark/>
          </w:tcPr>
          <w:p w14:paraId="0548061F" w14:textId="77777777" w:rsidR="008E0022" w:rsidRPr="00730B1E" w:rsidRDefault="008E0022" w:rsidP="008E0022">
            <w:pPr>
              <w:spacing w:line="240" w:lineRule="auto"/>
              <w:jc w:val="left"/>
              <w:rPr>
                <w:rFonts w:eastAsia="Times New Roman"/>
                <w:szCs w:val="24"/>
                <w:lang w:eastAsia="cs-CZ"/>
              </w:rPr>
            </w:pPr>
            <w:r w:rsidRPr="00730B1E">
              <w:rPr>
                <w:rFonts w:eastAsia="Times New Roman"/>
                <w:szCs w:val="24"/>
                <w:lang w:eastAsia="cs-CZ"/>
              </w:rPr>
              <w:t>KS Ústí n. Labem</w:t>
            </w:r>
          </w:p>
        </w:tc>
        <w:tc>
          <w:tcPr>
            <w:tcW w:w="1115" w:type="dxa"/>
            <w:tcBorders>
              <w:top w:val="nil"/>
              <w:left w:val="nil"/>
              <w:bottom w:val="single" w:sz="4" w:space="0" w:color="auto"/>
              <w:right w:val="nil"/>
            </w:tcBorders>
            <w:shd w:val="clear" w:color="auto" w:fill="auto"/>
            <w:noWrap/>
            <w:vAlign w:val="bottom"/>
            <w:hideMark/>
          </w:tcPr>
          <w:p w14:paraId="371F7804" w14:textId="65A3C54A"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2,02</w:t>
            </w:r>
          </w:p>
        </w:tc>
        <w:tc>
          <w:tcPr>
            <w:tcW w:w="1115" w:type="dxa"/>
            <w:tcBorders>
              <w:top w:val="nil"/>
              <w:left w:val="nil"/>
              <w:bottom w:val="single" w:sz="4" w:space="0" w:color="auto"/>
              <w:right w:val="nil"/>
            </w:tcBorders>
            <w:shd w:val="clear" w:color="auto" w:fill="auto"/>
            <w:noWrap/>
            <w:vAlign w:val="bottom"/>
            <w:hideMark/>
          </w:tcPr>
          <w:p w14:paraId="4D4BFBBE" w14:textId="34E2A0F4"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11,11</w:t>
            </w:r>
          </w:p>
        </w:tc>
        <w:tc>
          <w:tcPr>
            <w:tcW w:w="1116" w:type="dxa"/>
            <w:tcBorders>
              <w:top w:val="nil"/>
              <w:left w:val="nil"/>
              <w:bottom w:val="single" w:sz="4" w:space="0" w:color="auto"/>
              <w:right w:val="nil"/>
            </w:tcBorders>
            <w:shd w:val="clear" w:color="auto" w:fill="auto"/>
            <w:noWrap/>
            <w:vAlign w:val="bottom"/>
            <w:hideMark/>
          </w:tcPr>
          <w:p w14:paraId="770598B6" w14:textId="05E19940"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23,23</w:t>
            </w:r>
          </w:p>
        </w:tc>
        <w:tc>
          <w:tcPr>
            <w:tcW w:w="1115" w:type="dxa"/>
            <w:tcBorders>
              <w:top w:val="nil"/>
              <w:left w:val="nil"/>
              <w:bottom w:val="single" w:sz="4" w:space="0" w:color="auto"/>
              <w:right w:val="nil"/>
            </w:tcBorders>
            <w:shd w:val="clear" w:color="auto" w:fill="auto"/>
            <w:noWrap/>
            <w:vAlign w:val="bottom"/>
            <w:hideMark/>
          </w:tcPr>
          <w:p w14:paraId="2CC08584" w14:textId="145973FD"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29,29</w:t>
            </w:r>
          </w:p>
        </w:tc>
        <w:tc>
          <w:tcPr>
            <w:tcW w:w="1116" w:type="dxa"/>
            <w:tcBorders>
              <w:top w:val="nil"/>
              <w:left w:val="nil"/>
              <w:bottom w:val="single" w:sz="4" w:space="0" w:color="auto"/>
              <w:right w:val="nil"/>
            </w:tcBorders>
            <w:shd w:val="clear" w:color="auto" w:fill="auto"/>
            <w:noWrap/>
            <w:vAlign w:val="bottom"/>
            <w:hideMark/>
          </w:tcPr>
          <w:p w14:paraId="70CED51E" w14:textId="4FA18AA3"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34,34</w:t>
            </w:r>
          </w:p>
        </w:tc>
      </w:tr>
      <w:tr w:rsidR="00B64E96" w:rsidRPr="00730B1E" w14:paraId="4115C676" w14:textId="77777777" w:rsidTr="00962CC3">
        <w:trPr>
          <w:trHeight w:val="315"/>
        </w:trPr>
        <w:tc>
          <w:tcPr>
            <w:tcW w:w="2220" w:type="dxa"/>
            <w:tcBorders>
              <w:top w:val="nil"/>
              <w:left w:val="nil"/>
              <w:bottom w:val="single" w:sz="4" w:space="0" w:color="auto"/>
              <w:right w:val="nil"/>
            </w:tcBorders>
            <w:shd w:val="clear" w:color="auto" w:fill="auto"/>
            <w:noWrap/>
            <w:vAlign w:val="bottom"/>
            <w:hideMark/>
          </w:tcPr>
          <w:p w14:paraId="391A40B5" w14:textId="77777777" w:rsidR="008E0022" w:rsidRPr="00730B1E" w:rsidRDefault="008E0022" w:rsidP="008E0022">
            <w:pPr>
              <w:spacing w:line="240" w:lineRule="auto"/>
              <w:jc w:val="left"/>
              <w:rPr>
                <w:rFonts w:eastAsia="Times New Roman"/>
                <w:szCs w:val="24"/>
                <w:lang w:eastAsia="cs-CZ"/>
              </w:rPr>
            </w:pPr>
            <w:r w:rsidRPr="00730B1E">
              <w:rPr>
                <w:rFonts w:eastAsia="Times New Roman"/>
                <w:szCs w:val="24"/>
                <w:lang w:eastAsia="cs-CZ"/>
              </w:rPr>
              <w:t>KS Hr. Králové</w:t>
            </w:r>
          </w:p>
        </w:tc>
        <w:tc>
          <w:tcPr>
            <w:tcW w:w="1115" w:type="dxa"/>
            <w:tcBorders>
              <w:top w:val="nil"/>
              <w:left w:val="nil"/>
              <w:bottom w:val="single" w:sz="4" w:space="0" w:color="auto"/>
              <w:right w:val="nil"/>
            </w:tcBorders>
            <w:shd w:val="clear" w:color="auto" w:fill="auto"/>
            <w:noWrap/>
            <w:vAlign w:val="bottom"/>
            <w:hideMark/>
          </w:tcPr>
          <w:p w14:paraId="3F314103" w14:textId="41703203"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3,08</w:t>
            </w:r>
          </w:p>
        </w:tc>
        <w:tc>
          <w:tcPr>
            <w:tcW w:w="1115" w:type="dxa"/>
            <w:tcBorders>
              <w:top w:val="nil"/>
              <w:left w:val="nil"/>
              <w:bottom w:val="single" w:sz="4" w:space="0" w:color="auto"/>
              <w:right w:val="nil"/>
            </w:tcBorders>
            <w:shd w:val="clear" w:color="auto" w:fill="auto"/>
            <w:noWrap/>
            <w:vAlign w:val="bottom"/>
            <w:hideMark/>
          </w:tcPr>
          <w:p w14:paraId="5F97E116" w14:textId="6DEC5E83"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13,85</w:t>
            </w:r>
          </w:p>
        </w:tc>
        <w:tc>
          <w:tcPr>
            <w:tcW w:w="1116" w:type="dxa"/>
            <w:tcBorders>
              <w:top w:val="nil"/>
              <w:left w:val="nil"/>
              <w:bottom w:val="single" w:sz="4" w:space="0" w:color="auto"/>
              <w:right w:val="nil"/>
            </w:tcBorders>
            <w:shd w:val="clear" w:color="auto" w:fill="auto"/>
            <w:noWrap/>
            <w:vAlign w:val="bottom"/>
            <w:hideMark/>
          </w:tcPr>
          <w:p w14:paraId="60A2F064" w14:textId="3BC897E2"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16,92</w:t>
            </w:r>
          </w:p>
        </w:tc>
        <w:tc>
          <w:tcPr>
            <w:tcW w:w="1115" w:type="dxa"/>
            <w:tcBorders>
              <w:top w:val="nil"/>
              <w:left w:val="nil"/>
              <w:bottom w:val="single" w:sz="4" w:space="0" w:color="auto"/>
              <w:right w:val="nil"/>
            </w:tcBorders>
            <w:shd w:val="clear" w:color="auto" w:fill="auto"/>
            <w:noWrap/>
            <w:vAlign w:val="bottom"/>
            <w:hideMark/>
          </w:tcPr>
          <w:p w14:paraId="65ED1FA4" w14:textId="17EBC027"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30,77</w:t>
            </w:r>
          </w:p>
        </w:tc>
        <w:tc>
          <w:tcPr>
            <w:tcW w:w="1116" w:type="dxa"/>
            <w:tcBorders>
              <w:top w:val="nil"/>
              <w:left w:val="nil"/>
              <w:bottom w:val="single" w:sz="4" w:space="0" w:color="auto"/>
              <w:right w:val="nil"/>
            </w:tcBorders>
            <w:shd w:val="clear" w:color="auto" w:fill="auto"/>
            <w:noWrap/>
            <w:vAlign w:val="bottom"/>
            <w:hideMark/>
          </w:tcPr>
          <w:p w14:paraId="54E3C552" w14:textId="48381546"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35,38</w:t>
            </w:r>
          </w:p>
        </w:tc>
      </w:tr>
      <w:tr w:rsidR="00B64E96" w:rsidRPr="00730B1E" w14:paraId="4C2948AE" w14:textId="77777777" w:rsidTr="00962CC3">
        <w:trPr>
          <w:trHeight w:val="315"/>
        </w:trPr>
        <w:tc>
          <w:tcPr>
            <w:tcW w:w="2220" w:type="dxa"/>
            <w:tcBorders>
              <w:top w:val="nil"/>
              <w:left w:val="nil"/>
              <w:bottom w:val="single" w:sz="4" w:space="0" w:color="auto"/>
              <w:right w:val="nil"/>
            </w:tcBorders>
            <w:shd w:val="clear" w:color="auto" w:fill="auto"/>
            <w:noWrap/>
            <w:vAlign w:val="bottom"/>
            <w:hideMark/>
          </w:tcPr>
          <w:p w14:paraId="7B6B7761" w14:textId="77777777" w:rsidR="008E0022" w:rsidRPr="00730B1E" w:rsidRDefault="008E0022" w:rsidP="008E0022">
            <w:pPr>
              <w:spacing w:line="240" w:lineRule="auto"/>
              <w:jc w:val="left"/>
              <w:rPr>
                <w:rFonts w:eastAsia="Times New Roman"/>
                <w:szCs w:val="24"/>
                <w:lang w:eastAsia="cs-CZ"/>
              </w:rPr>
            </w:pPr>
            <w:r w:rsidRPr="00730B1E">
              <w:rPr>
                <w:rFonts w:eastAsia="Times New Roman"/>
                <w:szCs w:val="24"/>
                <w:lang w:eastAsia="cs-CZ"/>
              </w:rPr>
              <w:t>KS Brno</w:t>
            </w:r>
          </w:p>
        </w:tc>
        <w:tc>
          <w:tcPr>
            <w:tcW w:w="1115" w:type="dxa"/>
            <w:tcBorders>
              <w:top w:val="nil"/>
              <w:left w:val="nil"/>
              <w:bottom w:val="single" w:sz="4" w:space="0" w:color="auto"/>
              <w:right w:val="nil"/>
            </w:tcBorders>
            <w:shd w:val="clear" w:color="auto" w:fill="auto"/>
            <w:noWrap/>
            <w:vAlign w:val="bottom"/>
            <w:hideMark/>
          </w:tcPr>
          <w:p w14:paraId="64CFAE43" w14:textId="31894F48"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8,54</w:t>
            </w:r>
          </w:p>
        </w:tc>
        <w:tc>
          <w:tcPr>
            <w:tcW w:w="1115" w:type="dxa"/>
            <w:tcBorders>
              <w:top w:val="nil"/>
              <w:left w:val="nil"/>
              <w:bottom w:val="single" w:sz="4" w:space="0" w:color="auto"/>
              <w:right w:val="nil"/>
            </w:tcBorders>
            <w:shd w:val="clear" w:color="auto" w:fill="auto"/>
            <w:noWrap/>
            <w:vAlign w:val="bottom"/>
            <w:hideMark/>
          </w:tcPr>
          <w:p w14:paraId="0E5D1B15" w14:textId="27294853"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7,32</w:t>
            </w:r>
          </w:p>
        </w:tc>
        <w:tc>
          <w:tcPr>
            <w:tcW w:w="1116" w:type="dxa"/>
            <w:tcBorders>
              <w:top w:val="nil"/>
              <w:left w:val="nil"/>
              <w:bottom w:val="single" w:sz="4" w:space="0" w:color="auto"/>
              <w:right w:val="nil"/>
            </w:tcBorders>
            <w:shd w:val="clear" w:color="auto" w:fill="auto"/>
            <w:noWrap/>
            <w:vAlign w:val="bottom"/>
            <w:hideMark/>
          </w:tcPr>
          <w:p w14:paraId="24E4A6D5" w14:textId="216EA120"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18,29</w:t>
            </w:r>
          </w:p>
        </w:tc>
        <w:tc>
          <w:tcPr>
            <w:tcW w:w="1115" w:type="dxa"/>
            <w:tcBorders>
              <w:top w:val="nil"/>
              <w:left w:val="nil"/>
              <w:bottom w:val="single" w:sz="4" w:space="0" w:color="auto"/>
              <w:right w:val="nil"/>
            </w:tcBorders>
            <w:shd w:val="clear" w:color="auto" w:fill="auto"/>
            <w:noWrap/>
            <w:vAlign w:val="bottom"/>
            <w:hideMark/>
          </w:tcPr>
          <w:p w14:paraId="72E107AD" w14:textId="18DC16A2"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29,27</w:t>
            </w:r>
          </w:p>
        </w:tc>
        <w:tc>
          <w:tcPr>
            <w:tcW w:w="1116" w:type="dxa"/>
            <w:tcBorders>
              <w:top w:val="nil"/>
              <w:left w:val="nil"/>
              <w:bottom w:val="single" w:sz="4" w:space="0" w:color="auto"/>
              <w:right w:val="nil"/>
            </w:tcBorders>
            <w:shd w:val="clear" w:color="auto" w:fill="auto"/>
            <w:noWrap/>
            <w:vAlign w:val="bottom"/>
            <w:hideMark/>
          </w:tcPr>
          <w:p w14:paraId="3DF070EF" w14:textId="5FE33DDC"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36,59</w:t>
            </w:r>
          </w:p>
        </w:tc>
      </w:tr>
      <w:tr w:rsidR="00B64E96" w:rsidRPr="00730B1E" w14:paraId="0C9CF5CF" w14:textId="77777777" w:rsidTr="00962CC3">
        <w:trPr>
          <w:trHeight w:val="330"/>
        </w:trPr>
        <w:tc>
          <w:tcPr>
            <w:tcW w:w="2220" w:type="dxa"/>
            <w:tcBorders>
              <w:top w:val="nil"/>
              <w:left w:val="nil"/>
              <w:bottom w:val="double" w:sz="6" w:space="0" w:color="auto"/>
              <w:right w:val="nil"/>
            </w:tcBorders>
            <w:shd w:val="clear" w:color="auto" w:fill="auto"/>
            <w:noWrap/>
            <w:vAlign w:val="bottom"/>
            <w:hideMark/>
          </w:tcPr>
          <w:p w14:paraId="66D61C77" w14:textId="77777777" w:rsidR="008E0022" w:rsidRPr="00730B1E" w:rsidRDefault="008E0022" w:rsidP="008E0022">
            <w:pPr>
              <w:spacing w:line="240" w:lineRule="auto"/>
              <w:jc w:val="left"/>
              <w:rPr>
                <w:rFonts w:eastAsia="Times New Roman"/>
                <w:szCs w:val="24"/>
                <w:lang w:eastAsia="cs-CZ"/>
              </w:rPr>
            </w:pPr>
            <w:r w:rsidRPr="00730B1E">
              <w:rPr>
                <w:rFonts w:eastAsia="Times New Roman"/>
                <w:szCs w:val="24"/>
                <w:lang w:eastAsia="cs-CZ"/>
              </w:rPr>
              <w:t>KS Ostrava</w:t>
            </w:r>
          </w:p>
        </w:tc>
        <w:tc>
          <w:tcPr>
            <w:tcW w:w="1115" w:type="dxa"/>
            <w:tcBorders>
              <w:top w:val="nil"/>
              <w:left w:val="nil"/>
              <w:bottom w:val="double" w:sz="6" w:space="0" w:color="auto"/>
              <w:right w:val="nil"/>
            </w:tcBorders>
            <w:shd w:val="clear" w:color="auto" w:fill="auto"/>
            <w:noWrap/>
            <w:vAlign w:val="bottom"/>
            <w:hideMark/>
          </w:tcPr>
          <w:p w14:paraId="3F0EF897" w14:textId="589958E4"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5,56</w:t>
            </w:r>
          </w:p>
        </w:tc>
        <w:tc>
          <w:tcPr>
            <w:tcW w:w="1115" w:type="dxa"/>
            <w:tcBorders>
              <w:top w:val="nil"/>
              <w:left w:val="nil"/>
              <w:bottom w:val="double" w:sz="6" w:space="0" w:color="auto"/>
              <w:right w:val="nil"/>
            </w:tcBorders>
            <w:shd w:val="clear" w:color="auto" w:fill="auto"/>
            <w:noWrap/>
            <w:vAlign w:val="bottom"/>
            <w:hideMark/>
          </w:tcPr>
          <w:p w14:paraId="3C63A042" w14:textId="64143F16"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13,10</w:t>
            </w:r>
          </w:p>
        </w:tc>
        <w:tc>
          <w:tcPr>
            <w:tcW w:w="1116" w:type="dxa"/>
            <w:tcBorders>
              <w:top w:val="nil"/>
              <w:left w:val="nil"/>
              <w:bottom w:val="double" w:sz="6" w:space="0" w:color="auto"/>
              <w:right w:val="nil"/>
            </w:tcBorders>
            <w:shd w:val="clear" w:color="auto" w:fill="auto"/>
            <w:noWrap/>
            <w:vAlign w:val="bottom"/>
            <w:hideMark/>
          </w:tcPr>
          <w:p w14:paraId="5507D0ED" w14:textId="5D4CA0E9"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21,83</w:t>
            </w:r>
          </w:p>
        </w:tc>
        <w:tc>
          <w:tcPr>
            <w:tcW w:w="1115" w:type="dxa"/>
            <w:tcBorders>
              <w:top w:val="nil"/>
              <w:left w:val="nil"/>
              <w:bottom w:val="double" w:sz="6" w:space="0" w:color="auto"/>
              <w:right w:val="nil"/>
            </w:tcBorders>
            <w:shd w:val="clear" w:color="auto" w:fill="auto"/>
            <w:noWrap/>
            <w:vAlign w:val="bottom"/>
            <w:hideMark/>
          </w:tcPr>
          <w:p w14:paraId="27E702D8" w14:textId="490B95FD"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28,57</w:t>
            </w:r>
          </w:p>
        </w:tc>
        <w:tc>
          <w:tcPr>
            <w:tcW w:w="1116" w:type="dxa"/>
            <w:tcBorders>
              <w:top w:val="nil"/>
              <w:left w:val="nil"/>
              <w:bottom w:val="double" w:sz="6" w:space="0" w:color="auto"/>
              <w:right w:val="nil"/>
            </w:tcBorders>
            <w:shd w:val="clear" w:color="auto" w:fill="auto"/>
            <w:noWrap/>
            <w:vAlign w:val="bottom"/>
            <w:hideMark/>
          </w:tcPr>
          <w:p w14:paraId="6464DDC7" w14:textId="1A688B9C" w:rsidR="008E0022" w:rsidRPr="00730B1E" w:rsidRDefault="008E0022" w:rsidP="008E0022">
            <w:pPr>
              <w:spacing w:line="240" w:lineRule="auto"/>
              <w:jc w:val="center"/>
              <w:rPr>
                <w:rFonts w:eastAsia="Times New Roman"/>
                <w:szCs w:val="24"/>
                <w:lang w:eastAsia="cs-CZ"/>
              </w:rPr>
            </w:pPr>
            <w:r w:rsidRPr="00730B1E">
              <w:rPr>
                <w:rFonts w:eastAsia="Times New Roman"/>
                <w:szCs w:val="24"/>
                <w:lang w:eastAsia="cs-CZ"/>
              </w:rPr>
              <w:t>30,95</w:t>
            </w:r>
          </w:p>
        </w:tc>
      </w:tr>
      <w:tr w:rsidR="00B64E96" w:rsidRPr="00730B1E" w14:paraId="62D15E2C" w14:textId="77777777" w:rsidTr="00962CC3">
        <w:trPr>
          <w:trHeight w:val="345"/>
        </w:trPr>
        <w:tc>
          <w:tcPr>
            <w:tcW w:w="2220" w:type="dxa"/>
            <w:tcBorders>
              <w:top w:val="nil"/>
              <w:left w:val="nil"/>
              <w:bottom w:val="double" w:sz="6" w:space="0" w:color="auto"/>
              <w:right w:val="nil"/>
            </w:tcBorders>
            <w:shd w:val="clear" w:color="auto" w:fill="auto"/>
            <w:noWrap/>
            <w:vAlign w:val="bottom"/>
            <w:hideMark/>
          </w:tcPr>
          <w:p w14:paraId="7C8EC9DB" w14:textId="77777777" w:rsidR="008E0022" w:rsidRPr="00730B1E" w:rsidRDefault="008E0022" w:rsidP="008E0022">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115" w:type="dxa"/>
            <w:tcBorders>
              <w:top w:val="nil"/>
              <w:left w:val="nil"/>
              <w:bottom w:val="double" w:sz="6" w:space="0" w:color="auto"/>
              <w:right w:val="nil"/>
            </w:tcBorders>
            <w:shd w:val="clear" w:color="auto" w:fill="auto"/>
            <w:noWrap/>
            <w:vAlign w:val="bottom"/>
            <w:hideMark/>
          </w:tcPr>
          <w:p w14:paraId="0CE2D797" w14:textId="7515C53A"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7,43</w:t>
            </w:r>
          </w:p>
        </w:tc>
        <w:tc>
          <w:tcPr>
            <w:tcW w:w="1115" w:type="dxa"/>
            <w:tcBorders>
              <w:top w:val="nil"/>
              <w:left w:val="nil"/>
              <w:bottom w:val="double" w:sz="6" w:space="0" w:color="auto"/>
              <w:right w:val="nil"/>
            </w:tcBorders>
            <w:shd w:val="clear" w:color="auto" w:fill="auto"/>
            <w:noWrap/>
            <w:vAlign w:val="bottom"/>
            <w:hideMark/>
          </w:tcPr>
          <w:p w14:paraId="7575673C" w14:textId="261205D1"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16,06</w:t>
            </w:r>
          </w:p>
        </w:tc>
        <w:tc>
          <w:tcPr>
            <w:tcW w:w="1116" w:type="dxa"/>
            <w:tcBorders>
              <w:top w:val="nil"/>
              <w:left w:val="nil"/>
              <w:bottom w:val="double" w:sz="6" w:space="0" w:color="auto"/>
              <w:right w:val="nil"/>
            </w:tcBorders>
            <w:shd w:val="clear" w:color="auto" w:fill="auto"/>
            <w:noWrap/>
            <w:vAlign w:val="bottom"/>
            <w:hideMark/>
          </w:tcPr>
          <w:p w14:paraId="34066F85" w14:textId="71D9C621"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19,62</w:t>
            </w:r>
          </w:p>
        </w:tc>
        <w:tc>
          <w:tcPr>
            <w:tcW w:w="1115" w:type="dxa"/>
            <w:tcBorders>
              <w:top w:val="nil"/>
              <w:left w:val="nil"/>
              <w:bottom w:val="double" w:sz="6" w:space="0" w:color="auto"/>
              <w:right w:val="nil"/>
            </w:tcBorders>
            <w:shd w:val="clear" w:color="auto" w:fill="auto"/>
            <w:noWrap/>
            <w:vAlign w:val="bottom"/>
            <w:hideMark/>
          </w:tcPr>
          <w:p w14:paraId="75F10B91" w14:textId="7B685AE4"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27,16</w:t>
            </w:r>
          </w:p>
        </w:tc>
        <w:tc>
          <w:tcPr>
            <w:tcW w:w="1116" w:type="dxa"/>
            <w:tcBorders>
              <w:top w:val="nil"/>
              <w:left w:val="nil"/>
              <w:bottom w:val="double" w:sz="6" w:space="0" w:color="auto"/>
              <w:right w:val="nil"/>
            </w:tcBorders>
            <w:shd w:val="clear" w:color="auto" w:fill="auto"/>
            <w:noWrap/>
            <w:vAlign w:val="bottom"/>
            <w:hideMark/>
          </w:tcPr>
          <w:p w14:paraId="3B55BA1A" w14:textId="128E5B3D" w:rsidR="008E0022" w:rsidRPr="00730B1E" w:rsidRDefault="008E0022" w:rsidP="008E0022">
            <w:pPr>
              <w:spacing w:line="240" w:lineRule="auto"/>
              <w:jc w:val="center"/>
              <w:rPr>
                <w:rFonts w:eastAsia="Times New Roman"/>
                <w:b/>
                <w:bCs/>
                <w:szCs w:val="24"/>
                <w:lang w:eastAsia="cs-CZ"/>
              </w:rPr>
            </w:pPr>
            <w:r w:rsidRPr="00730B1E">
              <w:rPr>
                <w:rFonts w:eastAsia="Times New Roman"/>
                <w:b/>
                <w:bCs/>
                <w:szCs w:val="24"/>
                <w:lang w:eastAsia="cs-CZ"/>
              </w:rPr>
              <w:t>29,73</w:t>
            </w:r>
          </w:p>
        </w:tc>
      </w:tr>
      <w:tr w:rsidR="008E0022" w:rsidRPr="00730B1E" w14:paraId="3F7FF835" w14:textId="77777777" w:rsidTr="00962CC3">
        <w:trPr>
          <w:trHeight w:val="330"/>
        </w:trPr>
        <w:tc>
          <w:tcPr>
            <w:tcW w:w="2220" w:type="dxa"/>
            <w:tcBorders>
              <w:top w:val="nil"/>
              <w:left w:val="nil"/>
              <w:bottom w:val="nil"/>
              <w:right w:val="nil"/>
            </w:tcBorders>
            <w:shd w:val="clear" w:color="auto" w:fill="auto"/>
            <w:noWrap/>
            <w:vAlign w:val="bottom"/>
            <w:hideMark/>
          </w:tcPr>
          <w:p w14:paraId="151698F3" w14:textId="77777777" w:rsidR="008E0022" w:rsidRPr="00730B1E" w:rsidRDefault="008E0022" w:rsidP="008E0022">
            <w:pPr>
              <w:spacing w:line="240" w:lineRule="auto"/>
              <w:jc w:val="center"/>
              <w:rPr>
                <w:rFonts w:eastAsia="Times New Roman"/>
                <w:b/>
                <w:bCs/>
                <w:szCs w:val="24"/>
                <w:lang w:eastAsia="cs-CZ"/>
              </w:rPr>
            </w:pPr>
          </w:p>
        </w:tc>
        <w:tc>
          <w:tcPr>
            <w:tcW w:w="1115" w:type="dxa"/>
            <w:tcBorders>
              <w:top w:val="nil"/>
              <w:left w:val="nil"/>
              <w:bottom w:val="nil"/>
              <w:right w:val="nil"/>
            </w:tcBorders>
            <w:shd w:val="clear" w:color="auto" w:fill="auto"/>
            <w:noWrap/>
            <w:vAlign w:val="bottom"/>
            <w:hideMark/>
          </w:tcPr>
          <w:p w14:paraId="1EF66963" w14:textId="77777777" w:rsidR="008E0022" w:rsidRPr="00730B1E" w:rsidRDefault="008E0022" w:rsidP="008E0022">
            <w:pPr>
              <w:spacing w:line="240" w:lineRule="auto"/>
              <w:jc w:val="left"/>
              <w:rPr>
                <w:rFonts w:eastAsia="Times New Roman"/>
                <w:szCs w:val="24"/>
                <w:lang w:eastAsia="cs-CZ"/>
              </w:rPr>
            </w:pPr>
          </w:p>
        </w:tc>
        <w:tc>
          <w:tcPr>
            <w:tcW w:w="1115" w:type="dxa"/>
            <w:tcBorders>
              <w:top w:val="nil"/>
              <w:left w:val="nil"/>
              <w:bottom w:val="nil"/>
              <w:right w:val="nil"/>
            </w:tcBorders>
            <w:shd w:val="clear" w:color="auto" w:fill="auto"/>
            <w:noWrap/>
            <w:vAlign w:val="bottom"/>
            <w:hideMark/>
          </w:tcPr>
          <w:p w14:paraId="6E35BCE6" w14:textId="77777777" w:rsidR="008E0022" w:rsidRPr="00730B1E" w:rsidRDefault="008E0022" w:rsidP="008E0022">
            <w:pPr>
              <w:spacing w:line="240" w:lineRule="auto"/>
              <w:jc w:val="left"/>
              <w:rPr>
                <w:rFonts w:eastAsia="Times New Roman"/>
                <w:szCs w:val="24"/>
                <w:lang w:eastAsia="cs-CZ"/>
              </w:rPr>
            </w:pPr>
          </w:p>
        </w:tc>
        <w:tc>
          <w:tcPr>
            <w:tcW w:w="1116" w:type="dxa"/>
            <w:tcBorders>
              <w:top w:val="nil"/>
              <w:left w:val="nil"/>
              <w:bottom w:val="nil"/>
              <w:right w:val="nil"/>
            </w:tcBorders>
            <w:shd w:val="clear" w:color="auto" w:fill="auto"/>
            <w:noWrap/>
            <w:vAlign w:val="bottom"/>
            <w:hideMark/>
          </w:tcPr>
          <w:p w14:paraId="1E9CBDC4" w14:textId="77777777" w:rsidR="008E0022" w:rsidRPr="00730B1E" w:rsidRDefault="008E0022" w:rsidP="008E0022">
            <w:pPr>
              <w:spacing w:line="240" w:lineRule="auto"/>
              <w:jc w:val="left"/>
              <w:rPr>
                <w:rFonts w:eastAsia="Times New Roman"/>
                <w:szCs w:val="24"/>
                <w:lang w:eastAsia="cs-CZ"/>
              </w:rPr>
            </w:pPr>
          </w:p>
        </w:tc>
        <w:tc>
          <w:tcPr>
            <w:tcW w:w="1115" w:type="dxa"/>
            <w:tcBorders>
              <w:top w:val="nil"/>
              <w:left w:val="nil"/>
              <w:bottom w:val="nil"/>
              <w:right w:val="nil"/>
            </w:tcBorders>
            <w:shd w:val="clear" w:color="auto" w:fill="auto"/>
            <w:noWrap/>
            <w:vAlign w:val="bottom"/>
            <w:hideMark/>
          </w:tcPr>
          <w:p w14:paraId="7E28C591" w14:textId="77777777" w:rsidR="008E0022" w:rsidRPr="00730B1E" w:rsidRDefault="008E0022" w:rsidP="008E0022">
            <w:pPr>
              <w:spacing w:line="240" w:lineRule="auto"/>
              <w:jc w:val="left"/>
              <w:rPr>
                <w:rFonts w:eastAsia="Times New Roman"/>
                <w:szCs w:val="24"/>
                <w:lang w:eastAsia="cs-CZ"/>
              </w:rPr>
            </w:pPr>
          </w:p>
        </w:tc>
        <w:tc>
          <w:tcPr>
            <w:tcW w:w="1116" w:type="dxa"/>
            <w:tcBorders>
              <w:top w:val="nil"/>
              <w:left w:val="nil"/>
              <w:bottom w:val="nil"/>
              <w:right w:val="nil"/>
            </w:tcBorders>
            <w:shd w:val="clear" w:color="auto" w:fill="auto"/>
            <w:noWrap/>
            <w:vAlign w:val="bottom"/>
            <w:hideMark/>
          </w:tcPr>
          <w:p w14:paraId="7D3042CF" w14:textId="77777777" w:rsidR="008E0022" w:rsidRPr="00730B1E" w:rsidRDefault="008E0022" w:rsidP="008E0022">
            <w:pPr>
              <w:spacing w:line="240" w:lineRule="auto"/>
              <w:jc w:val="left"/>
              <w:rPr>
                <w:rFonts w:eastAsia="Times New Roman"/>
                <w:szCs w:val="24"/>
                <w:lang w:eastAsia="cs-CZ"/>
              </w:rPr>
            </w:pPr>
          </w:p>
        </w:tc>
      </w:tr>
    </w:tbl>
    <w:p w14:paraId="47EA0D30" w14:textId="77777777" w:rsidR="00604679" w:rsidRPr="00730B1E" w:rsidRDefault="00604679" w:rsidP="00604679"/>
    <w:p w14:paraId="096F8113" w14:textId="77777777" w:rsidR="00D84F85" w:rsidRPr="00730B1E" w:rsidRDefault="00D84F85" w:rsidP="00D84F85"/>
    <w:p w14:paraId="21BB7146" w14:textId="6834FC8D" w:rsidR="005A734C" w:rsidRPr="00730B1E" w:rsidRDefault="008430BD" w:rsidP="00BD4804">
      <w:pPr>
        <w:pStyle w:val="Nadpis2"/>
        <w:pageBreakBefore/>
        <w:numPr>
          <w:ilvl w:val="1"/>
          <w:numId w:val="1"/>
        </w:numPr>
        <w:spacing w:before="120"/>
        <w:ind w:left="578" w:hanging="578"/>
        <w:rPr>
          <w:color w:val="auto"/>
        </w:rPr>
      </w:pPr>
      <w:bookmarkStart w:id="739" w:name="_Toc515871248"/>
      <w:bookmarkStart w:id="740" w:name="_Toc106092752"/>
      <w:bookmarkStart w:id="741" w:name="_Toc169250828"/>
      <w:bookmarkStart w:id="742" w:name="_Toc174080864"/>
      <w:r w:rsidRPr="00730B1E">
        <w:rPr>
          <w:color w:val="auto"/>
        </w:rPr>
        <w:lastRenderedPageBreak/>
        <w:t>Prvostupňová civilní a obchodní agenda</w:t>
      </w:r>
      <w:bookmarkEnd w:id="739"/>
      <w:bookmarkEnd w:id="740"/>
      <w:bookmarkEnd w:id="741"/>
      <w:bookmarkEnd w:id="742"/>
    </w:p>
    <w:p w14:paraId="08E4E6EB" w14:textId="5914B5B6" w:rsidR="008E0022" w:rsidRPr="00730B1E" w:rsidRDefault="008E0022" w:rsidP="008E0022">
      <w:pPr>
        <w:pStyle w:val="OdstavecASR"/>
      </w:pPr>
      <w:r w:rsidRPr="00730B1E">
        <w:t xml:space="preserve">Krajské soudy vyřizují podobně jako okresní soudy větší množství </w:t>
      </w:r>
      <w:r w:rsidR="00882B92" w:rsidRPr="00730B1E">
        <w:t xml:space="preserve">typů </w:t>
      </w:r>
      <w:r w:rsidRPr="00730B1E">
        <w:t>prvostupňové agendy. Na rozdíl od okresních soudů vyřizují krajské soudy s výjimkou KS Praha též věci veřejných rejstříků právnických a fyzických osob</w:t>
      </w:r>
      <w:r w:rsidR="00855B9C" w:rsidRPr="00730B1E">
        <w:t>, evidence svěřenských fondů a evidence skutečných majitelů</w:t>
      </w:r>
      <w:r w:rsidRPr="00730B1E">
        <w:t>. Tato podkapitola se věnuje prvostupňové civilní (občanskoprávní) a obchodní agendě. V rámci této zprávy se jedná o rejstříky označené jako C, EC, Cm a ECm. Ve vedení statistik došlo k podobným změnám jako u OS, což se do určité míry projeví i v časových řadách, a to i přes snahu data o tyto změny očistit. Data, která se týkají délek řízení a dalších statistik, byla opět v největší možné míře očištěna o rozkazní řízení.</w:t>
      </w:r>
    </w:p>
    <w:p w14:paraId="2EF553A3" w14:textId="0E5DD199" w:rsidR="005A734C" w:rsidRPr="00730B1E" w:rsidRDefault="005A734C" w:rsidP="005A734C">
      <w:pPr>
        <w:pStyle w:val="Nadpis3"/>
        <w:numPr>
          <w:ilvl w:val="2"/>
          <w:numId w:val="1"/>
        </w:numPr>
        <w:rPr>
          <w:color w:val="auto"/>
        </w:rPr>
      </w:pPr>
      <w:bookmarkStart w:id="743" w:name="_Toc75952087"/>
      <w:bookmarkStart w:id="744" w:name="_Ref103764802"/>
      <w:bookmarkStart w:id="745" w:name="_Ref103764829"/>
      <w:bookmarkStart w:id="746" w:name="_Toc106092753"/>
      <w:bookmarkStart w:id="747" w:name="_Toc169250829"/>
      <w:bookmarkStart w:id="748" w:name="_Toc174080865"/>
      <w:r w:rsidRPr="00730B1E">
        <w:rPr>
          <w:color w:val="auto"/>
        </w:rPr>
        <w:t>Délka řízení</w:t>
      </w:r>
      <w:bookmarkEnd w:id="743"/>
      <w:bookmarkEnd w:id="744"/>
      <w:bookmarkEnd w:id="745"/>
      <w:bookmarkEnd w:id="746"/>
      <w:bookmarkEnd w:id="747"/>
      <w:bookmarkEnd w:id="748"/>
    </w:p>
    <w:p w14:paraId="36D79C36" w14:textId="77777777" w:rsidR="00542B00" w:rsidRPr="00730B1E" w:rsidRDefault="00542B00" w:rsidP="00542B00">
      <w:pPr>
        <w:pStyle w:val="OdstavecASR"/>
      </w:pPr>
      <w:r w:rsidRPr="00730B1E">
        <w:t>Uvádíme délky řízení v kalendářních dnech ode dne nápadu do dne konečného vyřízení soudem I. stupně zjištěné ze statistických listů.</w:t>
      </w:r>
    </w:p>
    <w:p w14:paraId="08908EB3" w14:textId="77777777" w:rsidR="00542B00" w:rsidRPr="00730B1E" w:rsidRDefault="00542B00" w:rsidP="00542B00">
      <w:pPr>
        <w:pStyle w:val="OdstavecASR"/>
      </w:pPr>
      <w:r w:rsidRPr="00730B1E">
        <w:t xml:space="preserve">Data byla očištěna o věci s předmětem </w:t>
      </w:r>
      <w:bookmarkStart w:id="749" w:name="_Hlk98502272"/>
      <w:r w:rsidRPr="00730B1E">
        <w:t xml:space="preserve">sporu </w:t>
      </w:r>
      <w:r w:rsidRPr="00730B1E">
        <w:rPr>
          <w:i/>
        </w:rPr>
        <w:t>právní vztahy související se zrušením a likvidací obchodní korporace</w:t>
      </w:r>
      <w:r w:rsidRPr="00730B1E">
        <w:t>.</w:t>
      </w:r>
      <w:bookmarkEnd w:id="749"/>
      <w:r w:rsidRPr="00730B1E">
        <w:t xml:space="preserve"> Přestože se může jednat o administrativně náročnou agendu, především v Praze se velmi často vyskytují jednoduché a rychle vyřízené věci. Právě u tohoto soudu přitom došlo v roce 2017 k velkému nárůstu v počtu pravomocně skončených věcí (nárůst o 176 %), což samozřejmě značně ovlivňuje vykazovanou délku řízení – výrazně ji to snižuje. Stejně tak má tato kategorie sporů významný vliv na míru odvolání. Po úvaze byla proto především z důvodu zachování srovnatelnosti mezi soudními kraji a roky data využitá v této zprávě o uvedený typ sporu očištěna.</w:t>
      </w:r>
    </w:p>
    <w:p w14:paraId="2EEC35C5" w14:textId="10C58348" w:rsidR="00542B00" w:rsidRPr="00730B1E" w:rsidRDefault="00542B00" w:rsidP="00542B00">
      <w:r w:rsidRPr="00730B1E">
        <w:t xml:space="preserve">V roce 2021 došlo k další úpravě metodiky. Data byla po úvaze očištěna i o spory s předmětem sporu </w:t>
      </w:r>
      <w:bookmarkStart w:id="750" w:name="_Hlk98502296"/>
      <w:r w:rsidRPr="00730B1E">
        <w:rPr>
          <w:i/>
          <w:iCs/>
        </w:rPr>
        <w:t>zrušení a jmenování likvidátora u jiných korporací (spolky, odborové organizace atd</w:t>
      </w:r>
      <w:r w:rsidR="00684166" w:rsidRPr="00730B1E">
        <w:rPr>
          <w:i/>
          <w:iCs/>
        </w:rPr>
        <w:t>.</w:t>
      </w:r>
      <w:r w:rsidRPr="00730B1E">
        <w:rPr>
          <w:i/>
          <w:iCs/>
        </w:rPr>
        <w:t>)</w:t>
      </w:r>
      <w:r w:rsidRPr="00730B1E">
        <w:t xml:space="preserve">. </w:t>
      </w:r>
      <w:bookmarkEnd w:id="750"/>
      <w:r w:rsidRPr="00730B1E">
        <w:t>Podobně jako u </w:t>
      </w:r>
      <w:r w:rsidRPr="00730B1E">
        <w:rPr>
          <w:i/>
          <w:iCs/>
        </w:rPr>
        <w:t xml:space="preserve">právních vztahů souvisejících se zrušením a likvidací obchodní korporace </w:t>
      </w:r>
      <w:r w:rsidRPr="00730B1E">
        <w:t>se nejedná o typický obchodní spor a délka řízení je u těchto sporů výrazně kratší. V roce 2021 došlo asi k trojnásobnému nárůstu v počtu těchto řízení oproti roku 2020, a to především u MS Praha, částečně pak u KS Brno a KS Hradec Králové. Bez očištění dat by došlo k výraznému poklesu délky řízení (opět především u MS Praha). Pokles délky řízení by nicméně plynul právě pouze ze změny ve složení agendy, nikoliv ze zrychlení vyřizování věcí obecně. Pro ilustraci – po očištění o tento předmět sporu u MS Praha vykázal mediánovou délku řízení 334 dnů v roce 2020 a 321 v roce 2021. Bez očištění by ale vykázal délky řízení 260 v roce 2020 a 125 v roce 2021. Zahrnutí tohoto předmětu sporu by tedy (opět) výrazně zkreslilo jak porovnání mezi soudy, tak i porovnání mezi roky. Z tohoto důvodu byla data o tento spor očištěna. Očištění je zpětně aplikováno i na předchozí roky</w:t>
      </w:r>
    </w:p>
    <w:p w14:paraId="417F7E27" w14:textId="37666DAD" w:rsidR="00144C49" w:rsidRPr="00730B1E" w:rsidRDefault="00144C49" w:rsidP="00144C49">
      <w:pPr>
        <w:pStyle w:val="Podnadpis"/>
        <w:numPr>
          <w:ilvl w:val="0"/>
          <w:numId w:val="0"/>
        </w:numPr>
        <w:rPr>
          <w:color w:val="auto"/>
        </w:rPr>
      </w:pPr>
      <w:bookmarkStart w:id="751" w:name="_Toc43841430"/>
      <w:bookmarkStart w:id="752" w:name="_Toc75952234"/>
      <w:bookmarkStart w:id="753" w:name="_Toc106106690"/>
      <w:bookmarkStart w:id="754" w:name="_Toc109802014"/>
      <w:bookmarkStart w:id="755" w:name="_Toc144104164"/>
      <w:bookmarkStart w:id="756" w:name="_Toc169250976"/>
      <w:bookmarkStart w:id="757" w:name="_Toc174080662"/>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57</w:t>
      </w:r>
      <w:r w:rsidRPr="00730B1E">
        <w:rPr>
          <w:color w:val="auto"/>
        </w:rPr>
        <w:fldChar w:fldCharType="end"/>
      </w:r>
      <w:r w:rsidRPr="00730B1E">
        <w:rPr>
          <w:color w:val="auto"/>
        </w:rPr>
        <w:t>: KS – délka prvostupňového civilního řízení v letech 2014–20</w:t>
      </w:r>
      <w:bookmarkEnd w:id="751"/>
      <w:r w:rsidRPr="00730B1E">
        <w:rPr>
          <w:color w:val="auto"/>
        </w:rPr>
        <w:t>2</w:t>
      </w:r>
      <w:bookmarkEnd w:id="752"/>
      <w:bookmarkEnd w:id="753"/>
      <w:bookmarkEnd w:id="754"/>
      <w:bookmarkEnd w:id="755"/>
      <w:r w:rsidRPr="00730B1E">
        <w:rPr>
          <w:color w:val="auto"/>
        </w:rPr>
        <w:t>3</w:t>
      </w:r>
      <w:bookmarkEnd w:id="756"/>
      <w:bookmarkEnd w:id="757"/>
    </w:p>
    <w:p w14:paraId="437A7608" w14:textId="3A44359D" w:rsidR="00144C49" w:rsidRPr="00730B1E" w:rsidRDefault="00144C49" w:rsidP="00144C49">
      <w:r w:rsidRPr="00730B1E">
        <w:rPr>
          <w:noProof/>
          <w:lang w:eastAsia="cs-CZ"/>
        </w:rPr>
        <w:drawing>
          <wp:inline distT="0" distB="0" distL="0" distR="0" wp14:anchorId="65C99CB4" wp14:editId="028D88F9">
            <wp:extent cx="5038725" cy="3657600"/>
            <wp:effectExtent l="0" t="0" r="9525" b="0"/>
            <wp:docPr id="31" name="Obrázek 31">
              <a:extLst xmlns:a="http://schemas.openxmlformats.org/drawingml/2006/main">
                <a:ext uri="{FF2B5EF4-FFF2-40B4-BE49-F238E27FC236}">
                  <a16:creationId xmlns:a16="http://schemas.microsoft.com/office/drawing/2014/main" id="{1A885CA9-25E7-3D22-F5D8-2F2CD8493C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a:extLst>
                        <a:ext uri="{FF2B5EF4-FFF2-40B4-BE49-F238E27FC236}">
                          <a16:creationId xmlns:a16="http://schemas.microsoft.com/office/drawing/2014/main" id="{1A885CA9-25E7-3D22-F5D8-2F2CD8493CA4}"/>
                        </a:ext>
                      </a:extLs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38725" cy="3657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5E3C18F" w14:textId="77777777" w:rsidR="00542B00" w:rsidRPr="00730B1E" w:rsidRDefault="00542B00" w:rsidP="00144C49"/>
    <w:p w14:paraId="68121226" w14:textId="03B43FCF" w:rsidR="00542B00" w:rsidRPr="00730B1E" w:rsidRDefault="00542B00" w:rsidP="00542B00">
      <w:pPr>
        <w:pStyle w:val="OdstavecASR"/>
      </w:pPr>
      <w:r w:rsidRPr="00730B1E">
        <w:t xml:space="preserve">Do jisté míry mohou v této agendě změny v délkách řízení vyplývat ze změn ve vedení statistik. Data totiž není možné úplně očistit a zbavit je tak výkyvů, které jsou způsobeny metodologickými změnami. </w:t>
      </w:r>
      <w:r w:rsidR="008B1F56" w:rsidRPr="00730B1E">
        <w:t>V této časové řadě se jedná o nárůst délek řízení v roce 2015</w:t>
      </w:r>
      <w:r w:rsidR="00C15C6C" w:rsidRPr="00730B1E">
        <w:t xml:space="preserve">, který </w:t>
      </w:r>
      <w:r w:rsidR="008B1F56" w:rsidRPr="00730B1E">
        <w:t xml:space="preserve">je </w:t>
      </w:r>
      <w:r w:rsidRPr="00730B1E">
        <w:t>zřejmě minimálně částečně dán změnami v metodice vykazování statistik</w:t>
      </w:r>
      <w:r w:rsidR="00C15C6C" w:rsidRPr="00730B1E">
        <w:t xml:space="preserve">; k dalším relevantním </w:t>
      </w:r>
      <w:r w:rsidR="008B1F56" w:rsidRPr="00730B1E">
        <w:t xml:space="preserve">změnám nedošlo. Medián je stabilní, průměr už méně a percentil 90 </w:t>
      </w:r>
      <w:r w:rsidR="00C15C6C" w:rsidRPr="00730B1E">
        <w:t xml:space="preserve">v celém sledovaném období </w:t>
      </w:r>
      <w:r w:rsidR="008B1F56" w:rsidRPr="00730B1E">
        <w:t xml:space="preserve">vysoce nestabilní </w:t>
      </w:r>
      <w:r w:rsidR="00C15C6C" w:rsidRPr="00730B1E">
        <w:t xml:space="preserve">– mezi </w:t>
      </w:r>
      <w:r w:rsidR="008B1F56" w:rsidRPr="00730B1E">
        <w:t xml:space="preserve">rokem 2021 a 2023 </w:t>
      </w:r>
      <w:r w:rsidR="00C15C6C" w:rsidRPr="00730B1E">
        <w:t xml:space="preserve">tak například poklesl </w:t>
      </w:r>
      <w:r w:rsidR="008B1F56" w:rsidRPr="00730B1E">
        <w:t>o 43 %.</w:t>
      </w:r>
    </w:p>
    <w:p w14:paraId="3198F4B9" w14:textId="0154F664" w:rsidR="008B1F56" w:rsidRPr="00730B1E" w:rsidRDefault="008B1F56" w:rsidP="008B1F56">
      <w:pPr>
        <w:pStyle w:val="Podnadpis"/>
        <w:rPr>
          <w:color w:val="auto"/>
        </w:rPr>
      </w:pPr>
      <w:bookmarkStart w:id="758" w:name="_Toc144104284"/>
      <w:bookmarkStart w:id="759" w:name="_Toc169251096"/>
      <w:bookmarkStart w:id="760" w:name="_Toc174080782"/>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39</w:t>
      </w:r>
      <w:r w:rsidRPr="00730B1E">
        <w:rPr>
          <w:noProof/>
          <w:color w:val="auto"/>
        </w:rPr>
        <w:fldChar w:fldCharType="end"/>
      </w:r>
      <w:r w:rsidRPr="00730B1E">
        <w:rPr>
          <w:color w:val="auto"/>
        </w:rPr>
        <w:t>: KS – délky prvostupňového civilního řízení dle soudů</w:t>
      </w:r>
      <w:bookmarkEnd w:id="758"/>
      <w:r w:rsidR="00962CC3" w:rsidRPr="00730B1E">
        <w:rPr>
          <w:color w:val="auto"/>
        </w:rPr>
        <w:t>, 2023</w:t>
      </w:r>
      <w:bookmarkEnd w:id="759"/>
      <w:bookmarkEnd w:id="760"/>
    </w:p>
    <w:tbl>
      <w:tblPr>
        <w:tblW w:w="7520" w:type="dxa"/>
        <w:tblCellMar>
          <w:left w:w="70" w:type="dxa"/>
          <w:right w:w="70" w:type="dxa"/>
        </w:tblCellMar>
        <w:tblLook w:val="04A0" w:firstRow="1" w:lastRow="0" w:firstColumn="1" w:lastColumn="0" w:noHBand="0" w:noVBand="1"/>
      </w:tblPr>
      <w:tblGrid>
        <w:gridCol w:w="2480"/>
        <w:gridCol w:w="776"/>
        <w:gridCol w:w="915"/>
        <w:gridCol w:w="594"/>
        <w:gridCol w:w="1066"/>
        <w:gridCol w:w="775"/>
        <w:gridCol w:w="914"/>
      </w:tblGrid>
      <w:tr w:rsidR="00B64E96" w:rsidRPr="00730B1E" w14:paraId="405C3608" w14:textId="77777777" w:rsidTr="00522968">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3909A03" w14:textId="47080822" w:rsidR="00522968" w:rsidRPr="00730B1E" w:rsidRDefault="005500D6" w:rsidP="00522968">
            <w:pPr>
              <w:spacing w:line="240" w:lineRule="auto"/>
              <w:jc w:val="center"/>
              <w:rPr>
                <w:rFonts w:eastAsia="Times New Roman"/>
                <w:b/>
                <w:bCs/>
                <w:szCs w:val="24"/>
                <w:lang w:eastAsia="cs-CZ"/>
              </w:rPr>
            </w:pPr>
            <w:r w:rsidRPr="00730B1E">
              <w:rPr>
                <w:rFonts w:eastAsia="Times New Roman"/>
                <w:b/>
                <w:bCs/>
                <w:szCs w:val="24"/>
                <w:lang w:eastAsia="cs-CZ"/>
              </w:rPr>
              <w:t>S</w:t>
            </w:r>
            <w:r w:rsidR="00522968" w:rsidRPr="00730B1E">
              <w:rPr>
                <w:rFonts w:eastAsia="Times New Roman"/>
                <w:b/>
                <w:bCs/>
                <w:szCs w:val="24"/>
                <w:lang w:eastAsia="cs-CZ"/>
              </w:rPr>
              <w:t>oud</w:t>
            </w:r>
          </w:p>
        </w:tc>
        <w:tc>
          <w:tcPr>
            <w:tcW w:w="5040" w:type="dxa"/>
            <w:gridSpan w:val="6"/>
            <w:tcBorders>
              <w:top w:val="double" w:sz="6" w:space="0" w:color="auto"/>
              <w:left w:val="nil"/>
              <w:bottom w:val="nil"/>
              <w:right w:val="nil"/>
            </w:tcBorders>
            <w:shd w:val="clear" w:color="auto" w:fill="auto"/>
            <w:noWrap/>
            <w:vAlign w:val="center"/>
            <w:hideMark/>
          </w:tcPr>
          <w:p w14:paraId="3D71587B" w14:textId="77777777" w:rsidR="00522968" w:rsidRPr="00730B1E" w:rsidRDefault="00522968" w:rsidP="00522968">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7B4D8228" w14:textId="77777777" w:rsidTr="00522968">
        <w:trPr>
          <w:trHeight w:val="330"/>
        </w:trPr>
        <w:tc>
          <w:tcPr>
            <w:tcW w:w="2480" w:type="dxa"/>
            <w:vMerge/>
            <w:tcBorders>
              <w:top w:val="double" w:sz="6" w:space="0" w:color="auto"/>
              <w:left w:val="nil"/>
              <w:bottom w:val="double" w:sz="6" w:space="0" w:color="000000"/>
              <w:right w:val="nil"/>
            </w:tcBorders>
            <w:vAlign w:val="center"/>
            <w:hideMark/>
          </w:tcPr>
          <w:p w14:paraId="2C91B875" w14:textId="77777777" w:rsidR="00522968" w:rsidRPr="00730B1E" w:rsidRDefault="00522968" w:rsidP="00522968">
            <w:pPr>
              <w:spacing w:line="240" w:lineRule="auto"/>
              <w:jc w:val="left"/>
              <w:rPr>
                <w:rFonts w:eastAsia="Times New Roman"/>
                <w:b/>
                <w:bCs/>
                <w:szCs w:val="24"/>
                <w:lang w:eastAsia="cs-CZ"/>
              </w:rPr>
            </w:pPr>
          </w:p>
        </w:tc>
        <w:tc>
          <w:tcPr>
            <w:tcW w:w="1691" w:type="dxa"/>
            <w:gridSpan w:val="2"/>
            <w:tcBorders>
              <w:top w:val="nil"/>
              <w:left w:val="nil"/>
              <w:bottom w:val="double" w:sz="6" w:space="0" w:color="auto"/>
              <w:right w:val="nil"/>
            </w:tcBorders>
            <w:shd w:val="clear" w:color="auto" w:fill="auto"/>
            <w:noWrap/>
            <w:vAlign w:val="center"/>
            <w:hideMark/>
          </w:tcPr>
          <w:p w14:paraId="6D5E3B64" w14:textId="77777777" w:rsidR="00522968" w:rsidRPr="00730B1E" w:rsidRDefault="00522968" w:rsidP="00522968">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6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31951D4" w14:textId="77777777" w:rsidR="00522968" w:rsidRPr="00730B1E" w:rsidRDefault="00522968" w:rsidP="00522968">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1689" w:type="dxa"/>
            <w:gridSpan w:val="2"/>
            <w:tcBorders>
              <w:top w:val="nil"/>
              <w:left w:val="nil"/>
              <w:bottom w:val="double" w:sz="6" w:space="0" w:color="auto"/>
              <w:right w:val="nil"/>
            </w:tcBorders>
            <w:shd w:val="clear" w:color="auto" w:fill="auto"/>
            <w:noWrap/>
            <w:vAlign w:val="center"/>
            <w:hideMark/>
          </w:tcPr>
          <w:p w14:paraId="0D651E71" w14:textId="77777777" w:rsidR="00522968" w:rsidRPr="00730B1E" w:rsidRDefault="00522968" w:rsidP="00522968">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192B0822" w14:textId="77777777" w:rsidTr="00522968">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7871FB5" w14:textId="77777777" w:rsidR="00522968" w:rsidRPr="00730B1E" w:rsidRDefault="00522968" w:rsidP="00522968">
            <w:pPr>
              <w:spacing w:line="240" w:lineRule="auto"/>
              <w:jc w:val="left"/>
              <w:rPr>
                <w:rFonts w:eastAsia="Times New Roman"/>
                <w:szCs w:val="24"/>
                <w:lang w:eastAsia="cs-CZ"/>
              </w:rPr>
            </w:pPr>
            <w:r w:rsidRPr="00730B1E">
              <w:rPr>
                <w:rFonts w:eastAsia="Times New Roman"/>
                <w:szCs w:val="24"/>
                <w:lang w:eastAsia="cs-CZ"/>
              </w:rPr>
              <w:t>MS Praha</w:t>
            </w:r>
          </w:p>
        </w:tc>
        <w:tc>
          <w:tcPr>
            <w:tcW w:w="776" w:type="dxa"/>
            <w:tcBorders>
              <w:top w:val="single" w:sz="4" w:space="0" w:color="auto"/>
              <w:left w:val="nil"/>
              <w:bottom w:val="single" w:sz="4" w:space="0" w:color="auto"/>
              <w:right w:val="nil"/>
            </w:tcBorders>
            <w:shd w:val="clear" w:color="auto" w:fill="auto"/>
            <w:noWrap/>
            <w:vAlign w:val="bottom"/>
            <w:hideMark/>
          </w:tcPr>
          <w:p w14:paraId="45D8413D"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716</w:t>
            </w:r>
          </w:p>
        </w:tc>
        <w:tc>
          <w:tcPr>
            <w:tcW w:w="915" w:type="dxa"/>
            <w:tcBorders>
              <w:top w:val="single" w:sz="4" w:space="0" w:color="auto"/>
              <w:left w:val="nil"/>
              <w:bottom w:val="single" w:sz="4" w:space="0" w:color="auto"/>
              <w:right w:val="nil"/>
            </w:tcBorders>
            <w:shd w:val="clear" w:color="auto" w:fill="auto"/>
            <w:noWrap/>
            <w:vAlign w:val="center"/>
            <w:hideMark/>
          </w:tcPr>
          <w:p w14:paraId="144B9CE0" w14:textId="7EFF1610"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-24 %</w:t>
            </w:r>
          </w:p>
        </w:tc>
        <w:tc>
          <w:tcPr>
            <w:tcW w:w="594" w:type="dxa"/>
            <w:tcBorders>
              <w:top w:val="nil"/>
              <w:left w:val="single" w:sz="4" w:space="0" w:color="auto"/>
              <w:bottom w:val="single" w:sz="4" w:space="0" w:color="auto"/>
              <w:right w:val="nil"/>
            </w:tcBorders>
            <w:shd w:val="clear" w:color="auto" w:fill="auto"/>
            <w:noWrap/>
            <w:vAlign w:val="bottom"/>
            <w:hideMark/>
          </w:tcPr>
          <w:p w14:paraId="33CDFD71"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293</w:t>
            </w:r>
          </w:p>
        </w:tc>
        <w:tc>
          <w:tcPr>
            <w:tcW w:w="1066" w:type="dxa"/>
            <w:tcBorders>
              <w:top w:val="nil"/>
              <w:left w:val="nil"/>
              <w:bottom w:val="single" w:sz="4" w:space="0" w:color="auto"/>
              <w:right w:val="single" w:sz="4" w:space="0" w:color="auto"/>
            </w:tcBorders>
            <w:shd w:val="clear" w:color="auto" w:fill="auto"/>
            <w:noWrap/>
            <w:vAlign w:val="center"/>
            <w:hideMark/>
          </w:tcPr>
          <w:p w14:paraId="00809725" w14:textId="1AFE65AB"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-5 %</w:t>
            </w:r>
          </w:p>
        </w:tc>
        <w:tc>
          <w:tcPr>
            <w:tcW w:w="775" w:type="dxa"/>
            <w:tcBorders>
              <w:top w:val="single" w:sz="4" w:space="0" w:color="auto"/>
              <w:left w:val="nil"/>
              <w:bottom w:val="single" w:sz="4" w:space="0" w:color="auto"/>
              <w:right w:val="nil"/>
            </w:tcBorders>
            <w:shd w:val="clear" w:color="auto" w:fill="auto"/>
            <w:noWrap/>
            <w:vAlign w:val="bottom"/>
            <w:hideMark/>
          </w:tcPr>
          <w:p w14:paraId="603317AB" w14:textId="79752E79"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1</w:t>
            </w:r>
            <w:r w:rsidR="005500D6" w:rsidRPr="00730B1E">
              <w:rPr>
                <w:rFonts w:eastAsia="Times New Roman"/>
                <w:szCs w:val="24"/>
                <w:lang w:eastAsia="cs-CZ"/>
              </w:rPr>
              <w:t xml:space="preserve"> </w:t>
            </w:r>
            <w:r w:rsidRPr="00730B1E">
              <w:rPr>
                <w:rFonts w:eastAsia="Times New Roman"/>
                <w:szCs w:val="24"/>
                <w:lang w:eastAsia="cs-CZ"/>
              </w:rPr>
              <w:t>650</w:t>
            </w:r>
          </w:p>
        </w:tc>
        <w:tc>
          <w:tcPr>
            <w:tcW w:w="914" w:type="dxa"/>
            <w:tcBorders>
              <w:top w:val="single" w:sz="4" w:space="0" w:color="auto"/>
              <w:left w:val="nil"/>
              <w:bottom w:val="single" w:sz="4" w:space="0" w:color="auto"/>
              <w:right w:val="nil"/>
            </w:tcBorders>
            <w:shd w:val="clear" w:color="auto" w:fill="auto"/>
            <w:noWrap/>
            <w:vAlign w:val="center"/>
            <w:hideMark/>
          </w:tcPr>
          <w:p w14:paraId="231FE1ED" w14:textId="2C8F0ABE"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-40 %</w:t>
            </w:r>
          </w:p>
        </w:tc>
      </w:tr>
      <w:tr w:rsidR="00B64E96" w:rsidRPr="00730B1E" w14:paraId="2B3BE61C" w14:textId="77777777" w:rsidTr="00522968">
        <w:trPr>
          <w:trHeight w:val="315"/>
        </w:trPr>
        <w:tc>
          <w:tcPr>
            <w:tcW w:w="2480" w:type="dxa"/>
            <w:tcBorders>
              <w:top w:val="nil"/>
              <w:left w:val="nil"/>
              <w:bottom w:val="single" w:sz="4" w:space="0" w:color="auto"/>
              <w:right w:val="nil"/>
            </w:tcBorders>
            <w:shd w:val="clear" w:color="auto" w:fill="auto"/>
            <w:noWrap/>
            <w:vAlign w:val="bottom"/>
            <w:hideMark/>
          </w:tcPr>
          <w:p w14:paraId="22E3BB52" w14:textId="77777777" w:rsidR="00522968" w:rsidRPr="00730B1E" w:rsidRDefault="00522968" w:rsidP="00522968">
            <w:pPr>
              <w:spacing w:line="240" w:lineRule="auto"/>
              <w:jc w:val="left"/>
              <w:rPr>
                <w:rFonts w:eastAsia="Times New Roman"/>
                <w:szCs w:val="24"/>
                <w:lang w:eastAsia="cs-CZ"/>
              </w:rPr>
            </w:pPr>
            <w:r w:rsidRPr="00730B1E">
              <w:rPr>
                <w:rFonts w:eastAsia="Times New Roman"/>
                <w:szCs w:val="24"/>
                <w:lang w:eastAsia="cs-CZ"/>
              </w:rPr>
              <w:t>KS Praha</w:t>
            </w:r>
          </w:p>
        </w:tc>
        <w:tc>
          <w:tcPr>
            <w:tcW w:w="776" w:type="dxa"/>
            <w:tcBorders>
              <w:top w:val="nil"/>
              <w:left w:val="nil"/>
              <w:bottom w:val="single" w:sz="4" w:space="0" w:color="auto"/>
              <w:right w:val="nil"/>
            </w:tcBorders>
            <w:shd w:val="clear" w:color="auto" w:fill="auto"/>
            <w:noWrap/>
            <w:vAlign w:val="bottom"/>
            <w:hideMark/>
          </w:tcPr>
          <w:p w14:paraId="159610C2"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599</w:t>
            </w:r>
          </w:p>
        </w:tc>
        <w:tc>
          <w:tcPr>
            <w:tcW w:w="915" w:type="dxa"/>
            <w:tcBorders>
              <w:top w:val="nil"/>
              <w:left w:val="nil"/>
              <w:bottom w:val="single" w:sz="4" w:space="0" w:color="auto"/>
              <w:right w:val="nil"/>
            </w:tcBorders>
            <w:shd w:val="clear" w:color="auto" w:fill="auto"/>
            <w:noWrap/>
            <w:vAlign w:val="center"/>
            <w:hideMark/>
          </w:tcPr>
          <w:p w14:paraId="390D9F65" w14:textId="069BE8A7"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-40 %</w:t>
            </w:r>
          </w:p>
        </w:tc>
        <w:tc>
          <w:tcPr>
            <w:tcW w:w="594" w:type="dxa"/>
            <w:tcBorders>
              <w:top w:val="nil"/>
              <w:left w:val="single" w:sz="4" w:space="0" w:color="auto"/>
              <w:bottom w:val="single" w:sz="4" w:space="0" w:color="auto"/>
              <w:right w:val="nil"/>
            </w:tcBorders>
            <w:shd w:val="clear" w:color="auto" w:fill="auto"/>
            <w:noWrap/>
            <w:vAlign w:val="bottom"/>
            <w:hideMark/>
          </w:tcPr>
          <w:p w14:paraId="5AA8B304"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168</w:t>
            </w:r>
          </w:p>
        </w:tc>
        <w:tc>
          <w:tcPr>
            <w:tcW w:w="1066" w:type="dxa"/>
            <w:tcBorders>
              <w:top w:val="nil"/>
              <w:left w:val="nil"/>
              <w:bottom w:val="single" w:sz="4" w:space="0" w:color="auto"/>
              <w:right w:val="single" w:sz="4" w:space="0" w:color="auto"/>
            </w:tcBorders>
            <w:shd w:val="clear" w:color="auto" w:fill="auto"/>
            <w:noWrap/>
            <w:vAlign w:val="center"/>
            <w:hideMark/>
          </w:tcPr>
          <w:p w14:paraId="14E88BAE" w14:textId="2639090A"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-46 %</w:t>
            </w:r>
          </w:p>
        </w:tc>
        <w:tc>
          <w:tcPr>
            <w:tcW w:w="775" w:type="dxa"/>
            <w:tcBorders>
              <w:top w:val="nil"/>
              <w:left w:val="nil"/>
              <w:bottom w:val="single" w:sz="4" w:space="0" w:color="auto"/>
              <w:right w:val="nil"/>
            </w:tcBorders>
            <w:shd w:val="clear" w:color="auto" w:fill="auto"/>
            <w:noWrap/>
            <w:vAlign w:val="bottom"/>
            <w:hideMark/>
          </w:tcPr>
          <w:p w14:paraId="384342EA" w14:textId="5EA2D6DA"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1</w:t>
            </w:r>
            <w:r w:rsidR="005500D6" w:rsidRPr="00730B1E">
              <w:rPr>
                <w:rFonts w:eastAsia="Times New Roman"/>
                <w:szCs w:val="24"/>
                <w:lang w:eastAsia="cs-CZ"/>
              </w:rPr>
              <w:t xml:space="preserve"> </w:t>
            </w:r>
            <w:r w:rsidRPr="00730B1E">
              <w:rPr>
                <w:rFonts w:eastAsia="Times New Roman"/>
                <w:szCs w:val="24"/>
                <w:lang w:eastAsia="cs-CZ"/>
              </w:rPr>
              <w:t>747</w:t>
            </w:r>
          </w:p>
        </w:tc>
        <w:tc>
          <w:tcPr>
            <w:tcW w:w="914" w:type="dxa"/>
            <w:tcBorders>
              <w:top w:val="nil"/>
              <w:left w:val="nil"/>
              <w:bottom w:val="single" w:sz="4" w:space="0" w:color="auto"/>
              <w:right w:val="nil"/>
            </w:tcBorders>
            <w:shd w:val="clear" w:color="auto" w:fill="auto"/>
            <w:noWrap/>
            <w:vAlign w:val="center"/>
            <w:hideMark/>
          </w:tcPr>
          <w:p w14:paraId="076AE766" w14:textId="751C8B36"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-45 %</w:t>
            </w:r>
          </w:p>
        </w:tc>
      </w:tr>
      <w:tr w:rsidR="00B64E96" w:rsidRPr="00730B1E" w14:paraId="3FBB7CB0" w14:textId="77777777" w:rsidTr="00522968">
        <w:trPr>
          <w:trHeight w:val="315"/>
        </w:trPr>
        <w:tc>
          <w:tcPr>
            <w:tcW w:w="2480" w:type="dxa"/>
            <w:tcBorders>
              <w:top w:val="nil"/>
              <w:left w:val="nil"/>
              <w:bottom w:val="single" w:sz="4" w:space="0" w:color="auto"/>
              <w:right w:val="nil"/>
            </w:tcBorders>
            <w:shd w:val="clear" w:color="auto" w:fill="auto"/>
            <w:noWrap/>
            <w:vAlign w:val="bottom"/>
            <w:hideMark/>
          </w:tcPr>
          <w:p w14:paraId="33F78089" w14:textId="77777777" w:rsidR="00522968" w:rsidRPr="00730B1E" w:rsidRDefault="00522968" w:rsidP="00522968">
            <w:pPr>
              <w:spacing w:line="240" w:lineRule="auto"/>
              <w:jc w:val="left"/>
              <w:rPr>
                <w:rFonts w:eastAsia="Times New Roman"/>
                <w:szCs w:val="24"/>
                <w:lang w:eastAsia="cs-CZ"/>
              </w:rPr>
            </w:pPr>
            <w:r w:rsidRPr="00730B1E">
              <w:rPr>
                <w:rFonts w:eastAsia="Times New Roman"/>
                <w:szCs w:val="24"/>
                <w:lang w:eastAsia="cs-CZ"/>
              </w:rPr>
              <w:t>KS Č. Budějovice</w:t>
            </w:r>
          </w:p>
        </w:tc>
        <w:tc>
          <w:tcPr>
            <w:tcW w:w="776" w:type="dxa"/>
            <w:tcBorders>
              <w:top w:val="nil"/>
              <w:left w:val="nil"/>
              <w:bottom w:val="single" w:sz="4" w:space="0" w:color="auto"/>
              <w:right w:val="nil"/>
            </w:tcBorders>
            <w:shd w:val="clear" w:color="auto" w:fill="auto"/>
            <w:noWrap/>
            <w:vAlign w:val="bottom"/>
            <w:hideMark/>
          </w:tcPr>
          <w:p w14:paraId="390AE2BC" w14:textId="3FA223CE"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1</w:t>
            </w:r>
            <w:r w:rsidR="005500D6" w:rsidRPr="00730B1E">
              <w:rPr>
                <w:rFonts w:eastAsia="Times New Roman"/>
                <w:szCs w:val="24"/>
                <w:lang w:eastAsia="cs-CZ"/>
              </w:rPr>
              <w:t xml:space="preserve"> </w:t>
            </w:r>
            <w:r w:rsidRPr="00730B1E">
              <w:rPr>
                <w:rFonts w:eastAsia="Times New Roman"/>
                <w:szCs w:val="24"/>
                <w:lang w:eastAsia="cs-CZ"/>
              </w:rPr>
              <w:t>054</w:t>
            </w:r>
          </w:p>
        </w:tc>
        <w:tc>
          <w:tcPr>
            <w:tcW w:w="915" w:type="dxa"/>
            <w:tcBorders>
              <w:top w:val="nil"/>
              <w:left w:val="nil"/>
              <w:bottom w:val="single" w:sz="4" w:space="0" w:color="auto"/>
              <w:right w:val="nil"/>
            </w:tcBorders>
            <w:shd w:val="clear" w:color="auto" w:fill="auto"/>
            <w:noWrap/>
            <w:vAlign w:val="center"/>
            <w:hideMark/>
          </w:tcPr>
          <w:p w14:paraId="71A90D67" w14:textId="63159ADD"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+21 %</w:t>
            </w:r>
          </w:p>
        </w:tc>
        <w:tc>
          <w:tcPr>
            <w:tcW w:w="594" w:type="dxa"/>
            <w:tcBorders>
              <w:top w:val="nil"/>
              <w:left w:val="single" w:sz="4" w:space="0" w:color="auto"/>
              <w:bottom w:val="single" w:sz="4" w:space="0" w:color="auto"/>
              <w:right w:val="nil"/>
            </w:tcBorders>
            <w:shd w:val="clear" w:color="auto" w:fill="auto"/>
            <w:noWrap/>
            <w:vAlign w:val="bottom"/>
            <w:hideMark/>
          </w:tcPr>
          <w:p w14:paraId="7D7410B7"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316</w:t>
            </w:r>
          </w:p>
        </w:tc>
        <w:tc>
          <w:tcPr>
            <w:tcW w:w="1066" w:type="dxa"/>
            <w:tcBorders>
              <w:top w:val="nil"/>
              <w:left w:val="nil"/>
              <w:bottom w:val="single" w:sz="4" w:space="0" w:color="auto"/>
              <w:right w:val="single" w:sz="4" w:space="0" w:color="auto"/>
            </w:tcBorders>
            <w:shd w:val="clear" w:color="auto" w:fill="auto"/>
            <w:noWrap/>
            <w:vAlign w:val="center"/>
            <w:hideMark/>
          </w:tcPr>
          <w:p w14:paraId="68B236B0" w14:textId="4EE3010D"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+4 %</w:t>
            </w:r>
          </w:p>
        </w:tc>
        <w:tc>
          <w:tcPr>
            <w:tcW w:w="775" w:type="dxa"/>
            <w:tcBorders>
              <w:top w:val="nil"/>
              <w:left w:val="nil"/>
              <w:bottom w:val="single" w:sz="4" w:space="0" w:color="auto"/>
              <w:right w:val="nil"/>
            </w:tcBorders>
            <w:shd w:val="clear" w:color="auto" w:fill="auto"/>
            <w:noWrap/>
            <w:vAlign w:val="bottom"/>
            <w:hideMark/>
          </w:tcPr>
          <w:p w14:paraId="17E8E1AB" w14:textId="7076A552"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3</w:t>
            </w:r>
            <w:r w:rsidR="005500D6" w:rsidRPr="00730B1E">
              <w:rPr>
                <w:rFonts w:eastAsia="Times New Roman"/>
                <w:szCs w:val="24"/>
                <w:lang w:eastAsia="cs-CZ"/>
              </w:rPr>
              <w:t xml:space="preserve"> </w:t>
            </w:r>
            <w:r w:rsidRPr="00730B1E">
              <w:rPr>
                <w:rFonts w:eastAsia="Times New Roman"/>
                <w:szCs w:val="24"/>
                <w:lang w:eastAsia="cs-CZ"/>
              </w:rPr>
              <w:t>378</w:t>
            </w:r>
          </w:p>
        </w:tc>
        <w:tc>
          <w:tcPr>
            <w:tcW w:w="914" w:type="dxa"/>
            <w:tcBorders>
              <w:top w:val="nil"/>
              <w:left w:val="nil"/>
              <w:bottom w:val="single" w:sz="4" w:space="0" w:color="auto"/>
              <w:right w:val="nil"/>
            </w:tcBorders>
            <w:shd w:val="clear" w:color="auto" w:fill="auto"/>
            <w:noWrap/>
            <w:vAlign w:val="center"/>
            <w:hideMark/>
          </w:tcPr>
          <w:p w14:paraId="5C262DE4" w14:textId="75AC37B8"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+26 %</w:t>
            </w:r>
          </w:p>
        </w:tc>
      </w:tr>
      <w:tr w:rsidR="00B64E96" w:rsidRPr="00730B1E" w14:paraId="45979545" w14:textId="77777777" w:rsidTr="00522968">
        <w:trPr>
          <w:trHeight w:val="315"/>
        </w:trPr>
        <w:tc>
          <w:tcPr>
            <w:tcW w:w="2480" w:type="dxa"/>
            <w:tcBorders>
              <w:top w:val="nil"/>
              <w:left w:val="nil"/>
              <w:bottom w:val="single" w:sz="4" w:space="0" w:color="auto"/>
              <w:right w:val="nil"/>
            </w:tcBorders>
            <w:shd w:val="clear" w:color="auto" w:fill="auto"/>
            <w:noWrap/>
            <w:vAlign w:val="bottom"/>
            <w:hideMark/>
          </w:tcPr>
          <w:p w14:paraId="16AB4541" w14:textId="77777777" w:rsidR="00522968" w:rsidRPr="00730B1E" w:rsidRDefault="00522968" w:rsidP="00522968">
            <w:pPr>
              <w:spacing w:line="240" w:lineRule="auto"/>
              <w:jc w:val="left"/>
              <w:rPr>
                <w:rFonts w:eastAsia="Times New Roman"/>
                <w:szCs w:val="24"/>
                <w:lang w:eastAsia="cs-CZ"/>
              </w:rPr>
            </w:pPr>
            <w:r w:rsidRPr="00730B1E">
              <w:rPr>
                <w:rFonts w:eastAsia="Times New Roman"/>
                <w:szCs w:val="24"/>
                <w:lang w:eastAsia="cs-CZ"/>
              </w:rPr>
              <w:t>KS Plzeň</w:t>
            </w:r>
          </w:p>
        </w:tc>
        <w:tc>
          <w:tcPr>
            <w:tcW w:w="776" w:type="dxa"/>
            <w:tcBorders>
              <w:top w:val="nil"/>
              <w:left w:val="nil"/>
              <w:bottom w:val="single" w:sz="4" w:space="0" w:color="auto"/>
              <w:right w:val="nil"/>
            </w:tcBorders>
            <w:shd w:val="clear" w:color="auto" w:fill="auto"/>
            <w:noWrap/>
            <w:vAlign w:val="bottom"/>
            <w:hideMark/>
          </w:tcPr>
          <w:p w14:paraId="438C95DF"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887</w:t>
            </w:r>
          </w:p>
        </w:tc>
        <w:tc>
          <w:tcPr>
            <w:tcW w:w="915" w:type="dxa"/>
            <w:tcBorders>
              <w:top w:val="nil"/>
              <w:left w:val="nil"/>
              <w:bottom w:val="single" w:sz="4" w:space="0" w:color="auto"/>
              <w:right w:val="nil"/>
            </w:tcBorders>
            <w:shd w:val="clear" w:color="auto" w:fill="auto"/>
            <w:noWrap/>
            <w:vAlign w:val="center"/>
            <w:hideMark/>
          </w:tcPr>
          <w:p w14:paraId="035E5BE4" w14:textId="6AE2928A"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-4 %</w:t>
            </w:r>
          </w:p>
        </w:tc>
        <w:tc>
          <w:tcPr>
            <w:tcW w:w="594" w:type="dxa"/>
            <w:tcBorders>
              <w:top w:val="nil"/>
              <w:left w:val="single" w:sz="4" w:space="0" w:color="auto"/>
              <w:bottom w:val="single" w:sz="4" w:space="0" w:color="auto"/>
              <w:right w:val="nil"/>
            </w:tcBorders>
            <w:shd w:val="clear" w:color="auto" w:fill="auto"/>
            <w:noWrap/>
            <w:vAlign w:val="bottom"/>
            <w:hideMark/>
          </w:tcPr>
          <w:p w14:paraId="55F7DF11"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450</w:t>
            </w:r>
          </w:p>
        </w:tc>
        <w:tc>
          <w:tcPr>
            <w:tcW w:w="1066" w:type="dxa"/>
            <w:tcBorders>
              <w:top w:val="nil"/>
              <w:left w:val="nil"/>
              <w:bottom w:val="single" w:sz="4" w:space="0" w:color="auto"/>
              <w:right w:val="single" w:sz="4" w:space="0" w:color="auto"/>
            </w:tcBorders>
            <w:shd w:val="clear" w:color="auto" w:fill="auto"/>
            <w:noWrap/>
            <w:vAlign w:val="center"/>
            <w:hideMark/>
          </w:tcPr>
          <w:p w14:paraId="21357395" w14:textId="111CAC5A"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+105 %</w:t>
            </w:r>
          </w:p>
        </w:tc>
        <w:tc>
          <w:tcPr>
            <w:tcW w:w="775" w:type="dxa"/>
            <w:tcBorders>
              <w:top w:val="nil"/>
              <w:left w:val="nil"/>
              <w:bottom w:val="single" w:sz="4" w:space="0" w:color="auto"/>
              <w:right w:val="nil"/>
            </w:tcBorders>
            <w:shd w:val="clear" w:color="auto" w:fill="auto"/>
            <w:noWrap/>
            <w:vAlign w:val="bottom"/>
            <w:hideMark/>
          </w:tcPr>
          <w:p w14:paraId="1A9FDDE5" w14:textId="688A6462"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2</w:t>
            </w:r>
            <w:r w:rsidR="005500D6" w:rsidRPr="00730B1E">
              <w:rPr>
                <w:rFonts w:eastAsia="Times New Roman"/>
                <w:szCs w:val="24"/>
                <w:lang w:eastAsia="cs-CZ"/>
              </w:rPr>
              <w:t xml:space="preserve"> </w:t>
            </w:r>
            <w:r w:rsidRPr="00730B1E">
              <w:rPr>
                <w:rFonts w:eastAsia="Times New Roman"/>
                <w:szCs w:val="24"/>
                <w:lang w:eastAsia="cs-CZ"/>
              </w:rPr>
              <w:t>901</w:t>
            </w:r>
          </w:p>
        </w:tc>
        <w:tc>
          <w:tcPr>
            <w:tcW w:w="914" w:type="dxa"/>
            <w:tcBorders>
              <w:top w:val="nil"/>
              <w:left w:val="nil"/>
              <w:bottom w:val="single" w:sz="4" w:space="0" w:color="auto"/>
              <w:right w:val="nil"/>
            </w:tcBorders>
            <w:shd w:val="clear" w:color="auto" w:fill="auto"/>
            <w:noWrap/>
            <w:vAlign w:val="center"/>
            <w:hideMark/>
          </w:tcPr>
          <w:p w14:paraId="0210479A" w14:textId="140CA1AF"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-12 %</w:t>
            </w:r>
          </w:p>
        </w:tc>
      </w:tr>
      <w:tr w:rsidR="00B64E96" w:rsidRPr="00730B1E" w14:paraId="49218628" w14:textId="77777777" w:rsidTr="00522968">
        <w:trPr>
          <w:trHeight w:val="315"/>
        </w:trPr>
        <w:tc>
          <w:tcPr>
            <w:tcW w:w="2480" w:type="dxa"/>
            <w:tcBorders>
              <w:top w:val="nil"/>
              <w:left w:val="nil"/>
              <w:bottom w:val="single" w:sz="4" w:space="0" w:color="auto"/>
              <w:right w:val="nil"/>
            </w:tcBorders>
            <w:shd w:val="clear" w:color="auto" w:fill="auto"/>
            <w:noWrap/>
            <w:vAlign w:val="bottom"/>
            <w:hideMark/>
          </w:tcPr>
          <w:p w14:paraId="634645FE" w14:textId="77777777" w:rsidR="00522968" w:rsidRPr="00730B1E" w:rsidRDefault="00522968" w:rsidP="00522968">
            <w:pPr>
              <w:spacing w:line="240" w:lineRule="auto"/>
              <w:jc w:val="left"/>
              <w:rPr>
                <w:rFonts w:eastAsia="Times New Roman"/>
                <w:szCs w:val="24"/>
                <w:lang w:eastAsia="cs-CZ"/>
              </w:rPr>
            </w:pPr>
            <w:r w:rsidRPr="00730B1E">
              <w:rPr>
                <w:rFonts w:eastAsia="Times New Roman"/>
                <w:szCs w:val="24"/>
                <w:lang w:eastAsia="cs-CZ"/>
              </w:rPr>
              <w:t>KS Ústí n. Labem</w:t>
            </w:r>
          </w:p>
        </w:tc>
        <w:tc>
          <w:tcPr>
            <w:tcW w:w="776" w:type="dxa"/>
            <w:tcBorders>
              <w:top w:val="nil"/>
              <w:left w:val="nil"/>
              <w:bottom w:val="single" w:sz="4" w:space="0" w:color="auto"/>
              <w:right w:val="nil"/>
            </w:tcBorders>
            <w:shd w:val="clear" w:color="auto" w:fill="auto"/>
            <w:noWrap/>
            <w:vAlign w:val="bottom"/>
            <w:hideMark/>
          </w:tcPr>
          <w:p w14:paraId="19F80E86"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882</w:t>
            </w:r>
          </w:p>
        </w:tc>
        <w:tc>
          <w:tcPr>
            <w:tcW w:w="915" w:type="dxa"/>
            <w:tcBorders>
              <w:top w:val="nil"/>
              <w:left w:val="nil"/>
              <w:bottom w:val="single" w:sz="4" w:space="0" w:color="auto"/>
              <w:right w:val="nil"/>
            </w:tcBorders>
            <w:shd w:val="clear" w:color="auto" w:fill="auto"/>
            <w:noWrap/>
            <w:vAlign w:val="center"/>
            <w:hideMark/>
          </w:tcPr>
          <w:p w14:paraId="5C51D7B6" w14:textId="43A377C3"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-26 %</w:t>
            </w:r>
          </w:p>
        </w:tc>
        <w:tc>
          <w:tcPr>
            <w:tcW w:w="594" w:type="dxa"/>
            <w:tcBorders>
              <w:top w:val="nil"/>
              <w:left w:val="single" w:sz="4" w:space="0" w:color="auto"/>
              <w:bottom w:val="single" w:sz="4" w:space="0" w:color="auto"/>
              <w:right w:val="nil"/>
            </w:tcBorders>
            <w:shd w:val="clear" w:color="auto" w:fill="auto"/>
            <w:noWrap/>
            <w:vAlign w:val="bottom"/>
            <w:hideMark/>
          </w:tcPr>
          <w:p w14:paraId="4ACD4153"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456</w:t>
            </w:r>
          </w:p>
        </w:tc>
        <w:tc>
          <w:tcPr>
            <w:tcW w:w="1066" w:type="dxa"/>
            <w:tcBorders>
              <w:top w:val="nil"/>
              <w:left w:val="nil"/>
              <w:bottom w:val="single" w:sz="4" w:space="0" w:color="auto"/>
              <w:right w:val="single" w:sz="4" w:space="0" w:color="auto"/>
            </w:tcBorders>
            <w:shd w:val="clear" w:color="auto" w:fill="auto"/>
            <w:noWrap/>
            <w:vAlign w:val="center"/>
            <w:hideMark/>
          </w:tcPr>
          <w:p w14:paraId="3F4FEFAF" w14:textId="71364EBA"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-30 %</w:t>
            </w:r>
          </w:p>
        </w:tc>
        <w:tc>
          <w:tcPr>
            <w:tcW w:w="775" w:type="dxa"/>
            <w:tcBorders>
              <w:top w:val="nil"/>
              <w:left w:val="nil"/>
              <w:bottom w:val="single" w:sz="4" w:space="0" w:color="auto"/>
              <w:right w:val="nil"/>
            </w:tcBorders>
            <w:shd w:val="clear" w:color="auto" w:fill="auto"/>
            <w:noWrap/>
            <w:vAlign w:val="bottom"/>
            <w:hideMark/>
          </w:tcPr>
          <w:p w14:paraId="78AAE0F1" w14:textId="4D94142D"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2</w:t>
            </w:r>
            <w:r w:rsidR="005500D6" w:rsidRPr="00730B1E">
              <w:rPr>
                <w:rFonts w:eastAsia="Times New Roman"/>
                <w:szCs w:val="24"/>
                <w:lang w:eastAsia="cs-CZ"/>
              </w:rPr>
              <w:t xml:space="preserve"> </w:t>
            </w:r>
            <w:r w:rsidRPr="00730B1E">
              <w:rPr>
                <w:rFonts w:eastAsia="Times New Roman"/>
                <w:szCs w:val="24"/>
                <w:lang w:eastAsia="cs-CZ"/>
              </w:rPr>
              <w:t>271</w:t>
            </w:r>
          </w:p>
        </w:tc>
        <w:tc>
          <w:tcPr>
            <w:tcW w:w="914" w:type="dxa"/>
            <w:tcBorders>
              <w:top w:val="nil"/>
              <w:left w:val="nil"/>
              <w:bottom w:val="single" w:sz="4" w:space="0" w:color="auto"/>
              <w:right w:val="nil"/>
            </w:tcBorders>
            <w:shd w:val="clear" w:color="auto" w:fill="auto"/>
            <w:noWrap/>
            <w:vAlign w:val="center"/>
            <w:hideMark/>
          </w:tcPr>
          <w:p w14:paraId="4E846B9F" w14:textId="4B771C12"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-22 %</w:t>
            </w:r>
          </w:p>
        </w:tc>
      </w:tr>
      <w:tr w:rsidR="00B64E96" w:rsidRPr="00730B1E" w14:paraId="16673EF1" w14:textId="77777777" w:rsidTr="00522968">
        <w:trPr>
          <w:trHeight w:val="315"/>
        </w:trPr>
        <w:tc>
          <w:tcPr>
            <w:tcW w:w="2480" w:type="dxa"/>
            <w:tcBorders>
              <w:top w:val="nil"/>
              <w:left w:val="nil"/>
              <w:bottom w:val="single" w:sz="4" w:space="0" w:color="auto"/>
              <w:right w:val="nil"/>
            </w:tcBorders>
            <w:shd w:val="clear" w:color="auto" w:fill="auto"/>
            <w:noWrap/>
            <w:vAlign w:val="bottom"/>
            <w:hideMark/>
          </w:tcPr>
          <w:p w14:paraId="26248CBE" w14:textId="77777777" w:rsidR="00522968" w:rsidRPr="00730B1E" w:rsidRDefault="00522968" w:rsidP="00522968">
            <w:pPr>
              <w:spacing w:line="240" w:lineRule="auto"/>
              <w:jc w:val="left"/>
              <w:rPr>
                <w:rFonts w:eastAsia="Times New Roman"/>
                <w:szCs w:val="24"/>
                <w:lang w:eastAsia="cs-CZ"/>
              </w:rPr>
            </w:pPr>
            <w:r w:rsidRPr="00730B1E">
              <w:rPr>
                <w:rFonts w:eastAsia="Times New Roman"/>
                <w:szCs w:val="24"/>
                <w:lang w:eastAsia="cs-CZ"/>
              </w:rPr>
              <w:t>KS Hr. Králové</w:t>
            </w:r>
          </w:p>
        </w:tc>
        <w:tc>
          <w:tcPr>
            <w:tcW w:w="776" w:type="dxa"/>
            <w:tcBorders>
              <w:top w:val="nil"/>
              <w:left w:val="nil"/>
              <w:bottom w:val="single" w:sz="4" w:space="0" w:color="auto"/>
              <w:right w:val="nil"/>
            </w:tcBorders>
            <w:shd w:val="clear" w:color="auto" w:fill="auto"/>
            <w:noWrap/>
            <w:vAlign w:val="bottom"/>
            <w:hideMark/>
          </w:tcPr>
          <w:p w14:paraId="63381130"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690</w:t>
            </w:r>
          </w:p>
        </w:tc>
        <w:tc>
          <w:tcPr>
            <w:tcW w:w="915" w:type="dxa"/>
            <w:tcBorders>
              <w:top w:val="nil"/>
              <w:left w:val="nil"/>
              <w:bottom w:val="single" w:sz="4" w:space="0" w:color="auto"/>
              <w:right w:val="nil"/>
            </w:tcBorders>
            <w:shd w:val="clear" w:color="auto" w:fill="auto"/>
            <w:noWrap/>
            <w:vAlign w:val="center"/>
            <w:hideMark/>
          </w:tcPr>
          <w:p w14:paraId="78F8592B" w14:textId="337CCAF6"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+1 %</w:t>
            </w:r>
          </w:p>
        </w:tc>
        <w:tc>
          <w:tcPr>
            <w:tcW w:w="594" w:type="dxa"/>
            <w:tcBorders>
              <w:top w:val="nil"/>
              <w:left w:val="single" w:sz="4" w:space="0" w:color="auto"/>
              <w:bottom w:val="single" w:sz="4" w:space="0" w:color="auto"/>
              <w:right w:val="nil"/>
            </w:tcBorders>
            <w:shd w:val="clear" w:color="auto" w:fill="auto"/>
            <w:noWrap/>
            <w:vAlign w:val="bottom"/>
            <w:hideMark/>
          </w:tcPr>
          <w:p w14:paraId="6A81B4B0"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216</w:t>
            </w:r>
          </w:p>
        </w:tc>
        <w:tc>
          <w:tcPr>
            <w:tcW w:w="1066" w:type="dxa"/>
            <w:tcBorders>
              <w:top w:val="nil"/>
              <w:left w:val="nil"/>
              <w:bottom w:val="single" w:sz="4" w:space="0" w:color="auto"/>
              <w:right w:val="single" w:sz="4" w:space="0" w:color="auto"/>
            </w:tcBorders>
            <w:shd w:val="clear" w:color="auto" w:fill="auto"/>
            <w:noWrap/>
            <w:vAlign w:val="center"/>
            <w:hideMark/>
          </w:tcPr>
          <w:p w14:paraId="0CFDBDB3" w14:textId="558312D6"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+19 %</w:t>
            </w:r>
          </w:p>
        </w:tc>
        <w:tc>
          <w:tcPr>
            <w:tcW w:w="775" w:type="dxa"/>
            <w:tcBorders>
              <w:top w:val="nil"/>
              <w:left w:val="nil"/>
              <w:bottom w:val="single" w:sz="4" w:space="0" w:color="auto"/>
              <w:right w:val="nil"/>
            </w:tcBorders>
            <w:shd w:val="clear" w:color="auto" w:fill="auto"/>
            <w:noWrap/>
            <w:vAlign w:val="bottom"/>
            <w:hideMark/>
          </w:tcPr>
          <w:p w14:paraId="7D6335DE" w14:textId="4D34BCD4"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1</w:t>
            </w:r>
            <w:r w:rsidR="005500D6" w:rsidRPr="00730B1E">
              <w:rPr>
                <w:rFonts w:eastAsia="Times New Roman"/>
                <w:szCs w:val="24"/>
                <w:lang w:eastAsia="cs-CZ"/>
              </w:rPr>
              <w:t xml:space="preserve"> </w:t>
            </w:r>
            <w:r w:rsidRPr="00730B1E">
              <w:rPr>
                <w:rFonts w:eastAsia="Times New Roman"/>
                <w:szCs w:val="24"/>
                <w:lang w:eastAsia="cs-CZ"/>
              </w:rPr>
              <w:t>333</w:t>
            </w:r>
          </w:p>
        </w:tc>
        <w:tc>
          <w:tcPr>
            <w:tcW w:w="914" w:type="dxa"/>
            <w:tcBorders>
              <w:top w:val="nil"/>
              <w:left w:val="nil"/>
              <w:bottom w:val="single" w:sz="4" w:space="0" w:color="auto"/>
              <w:right w:val="nil"/>
            </w:tcBorders>
            <w:shd w:val="clear" w:color="auto" w:fill="auto"/>
            <w:noWrap/>
            <w:vAlign w:val="center"/>
            <w:hideMark/>
          </w:tcPr>
          <w:p w14:paraId="62168E8A" w14:textId="207682EC"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-41 %</w:t>
            </w:r>
          </w:p>
        </w:tc>
      </w:tr>
      <w:tr w:rsidR="00B64E96" w:rsidRPr="00730B1E" w14:paraId="786AAD10" w14:textId="77777777" w:rsidTr="00522968">
        <w:trPr>
          <w:trHeight w:val="315"/>
        </w:trPr>
        <w:tc>
          <w:tcPr>
            <w:tcW w:w="2480" w:type="dxa"/>
            <w:tcBorders>
              <w:top w:val="nil"/>
              <w:left w:val="nil"/>
              <w:bottom w:val="single" w:sz="4" w:space="0" w:color="auto"/>
              <w:right w:val="nil"/>
            </w:tcBorders>
            <w:shd w:val="clear" w:color="auto" w:fill="auto"/>
            <w:noWrap/>
            <w:vAlign w:val="bottom"/>
            <w:hideMark/>
          </w:tcPr>
          <w:p w14:paraId="11E6723B" w14:textId="77777777" w:rsidR="00522968" w:rsidRPr="00730B1E" w:rsidRDefault="00522968" w:rsidP="00522968">
            <w:pPr>
              <w:spacing w:line="240" w:lineRule="auto"/>
              <w:jc w:val="left"/>
              <w:rPr>
                <w:rFonts w:eastAsia="Times New Roman"/>
                <w:szCs w:val="24"/>
                <w:lang w:eastAsia="cs-CZ"/>
              </w:rPr>
            </w:pPr>
            <w:r w:rsidRPr="00730B1E">
              <w:rPr>
                <w:rFonts w:eastAsia="Times New Roman"/>
                <w:szCs w:val="24"/>
                <w:lang w:eastAsia="cs-CZ"/>
              </w:rPr>
              <w:t>KS Brno</w:t>
            </w:r>
          </w:p>
        </w:tc>
        <w:tc>
          <w:tcPr>
            <w:tcW w:w="776" w:type="dxa"/>
            <w:tcBorders>
              <w:top w:val="nil"/>
              <w:left w:val="nil"/>
              <w:bottom w:val="single" w:sz="4" w:space="0" w:color="auto"/>
              <w:right w:val="nil"/>
            </w:tcBorders>
            <w:shd w:val="clear" w:color="auto" w:fill="auto"/>
            <w:noWrap/>
            <w:vAlign w:val="bottom"/>
            <w:hideMark/>
          </w:tcPr>
          <w:p w14:paraId="50B8EA45" w14:textId="21D5401C"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1</w:t>
            </w:r>
            <w:r w:rsidR="005500D6" w:rsidRPr="00730B1E">
              <w:rPr>
                <w:rFonts w:eastAsia="Times New Roman"/>
                <w:szCs w:val="24"/>
                <w:lang w:eastAsia="cs-CZ"/>
              </w:rPr>
              <w:t xml:space="preserve"> </w:t>
            </w:r>
            <w:r w:rsidRPr="00730B1E">
              <w:rPr>
                <w:rFonts w:eastAsia="Times New Roman"/>
                <w:szCs w:val="24"/>
                <w:lang w:eastAsia="cs-CZ"/>
              </w:rPr>
              <w:t>255</w:t>
            </w:r>
          </w:p>
        </w:tc>
        <w:tc>
          <w:tcPr>
            <w:tcW w:w="915" w:type="dxa"/>
            <w:tcBorders>
              <w:top w:val="nil"/>
              <w:left w:val="nil"/>
              <w:bottom w:val="single" w:sz="4" w:space="0" w:color="auto"/>
              <w:right w:val="nil"/>
            </w:tcBorders>
            <w:shd w:val="clear" w:color="auto" w:fill="auto"/>
            <w:noWrap/>
            <w:vAlign w:val="center"/>
            <w:hideMark/>
          </w:tcPr>
          <w:p w14:paraId="610032AE" w14:textId="7D894FC7"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+4 %</w:t>
            </w:r>
          </w:p>
        </w:tc>
        <w:tc>
          <w:tcPr>
            <w:tcW w:w="594" w:type="dxa"/>
            <w:tcBorders>
              <w:top w:val="nil"/>
              <w:left w:val="single" w:sz="4" w:space="0" w:color="auto"/>
              <w:bottom w:val="single" w:sz="4" w:space="0" w:color="auto"/>
              <w:right w:val="nil"/>
            </w:tcBorders>
            <w:shd w:val="clear" w:color="auto" w:fill="auto"/>
            <w:noWrap/>
            <w:vAlign w:val="bottom"/>
            <w:hideMark/>
          </w:tcPr>
          <w:p w14:paraId="5FA52057"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475</w:t>
            </w:r>
          </w:p>
        </w:tc>
        <w:tc>
          <w:tcPr>
            <w:tcW w:w="1066" w:type="dxa"/>
            <w:tcBorders>
              <w:top w:val="nil"/>
              <w:left w:val="nil"/>
              <w:bottom w:val="single" w:sz="4" w:space="0" w:color="auto"/>
              <w:right w:val="single" w:sz="4" w:space="0" w:color="auto"/>
            </w:tcBorders>
            <w:shd w:val="clear" w:color="auto" w:fill="auto"/>
            <w:noWrap/>
            <w:vAlign w:val="center"/>
            <w:hideMark/>
          </w:tcPr>
          <w:p w14:paraId="5CD68F5B" w14:textId="17C68067"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+4 %</w:t>
            </w:r>
          </w:p>
        </w:tc>
        <w:tc>
          <w:tcPr>
            <w:tcW w:w="775" w:type="dxa"/>
            <w:tcBorders>
              <w:top w:val="nil"/>
              <w:left w:val="nil"/>
              <w:bottom w:val="single" w:sz="4" w:space="0" w:color="auto"/>
              <w:right w:val="nil"/>
            </w:tcBorders>
            <w:shd w:val="clear" w:color="auto" w:fill="auto"/>
            <w:noWrap/>
            <w:vAlign w:val="bottom"/>
            <w:hideMark/>
          </w:tcPr>
          <w:p w14:paraId="2E468986" w14:textId="710EF9FC"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3</w:t>
            </w:r>
            <w:r w:rsidR="005500D6" w:rsidRPr="00730B1E">
              <w:rPr>
                <w:rFonts w:eastAsia="Times New Roman"/>
                <w:szCs w:val="24"/>
                <w:lang w:eastAsia="cs-CZ"/>
              </w:rPr>
              <w:t xml:space="preserve"> </w:t>
            </w:r>
            <w:r w:rsidRPr="00730B1E">
              <w:rPr>
                <w:rFonts w:eastAsia="Times New Roman"/>
                <w:szCs w:val="24"/>
                <w:lang w:eastAsia="cs-CZ"/>
              </w:rPr>
              <w:t>568</w:t>
            </w:r>
          </w:p>
        </w:tc>
        <w:tc>
          <w:tcPr>
            <w:tcW w:w="914" w:type="dxa"/>
            <w:tcBorders>
              <w:top w:val="nil"/>
              <w:left w:val="nil"/>
              <w:bottom w:val="single" w:sz="4" w:space="0" w:color="auto"/>
              <w:right w:val="nil"/>
            </w:tcBorders>
            <w:shd w:val="clear" w:color="auto" w:fill="auto"/>
            <w:noWrap/>
            <w:vAlign w:val="center"/>
            <w:hideMark/>
          </w:tcPr>
          <w:p w14:paraId="6316AFFF" w14:textId="3538B3AE"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+7 %</w:t>
            </w:r>
          </w:p>
        </w:tc>
      </w:tr>
      <w:tr w:rsidR="00B64E96" w:rsidRPr="00730B1E" w14:paraId="6313CA73" w14:textId="77777777" w:rsidTr="00522968">
        <w:trPr>
          <w:trHeight w:val="330"/>
        </w:trPr>
        <w:tc>
          <w:tcPr>
            <w:tcW w:w="2480" w:type="dxa"/>
            <w:tcBorders>
              <w:top w:val="nil"/>
              <w:left w:val="nil"/>
              <w:bottom w:val="double" w:sz="6" w:space="0" w:color="auto"/>
              <w:right w:val="nil"/>
            </w:tcBorders>
            <w:shd w:val="clear" w:color="auto" w:fill="auto"/>
            <w:noWrap/>
            <w:vAlign w:val="bottom"/>
            <w:hideMark/>
          </w:tcPr>
          <w:p w14:paraId="2F7E4071" w14:textId="77777777" w:rsidR="00522968" w:rsidRPr="00730B1E" w:rsidRDefault="00522968" w:rsidP="00522968">
            <w:pPr>
              <w:spacing w:line="240" w:lineRule="auto"/>
              <w:jc w:val="left"/>
              <w:rPr>
                <w:rFonts w:eastAsia="Times New Roman"/>
                <w:szCs w:val="24"/>
                <w:lang w:eastAsia="cs-CZ"/>
              </w:rPr>
            </w:pPr>
            <w:r w:rsidRPr="00730B1E">
              <w:rPr>
                <w:rFonts w:eastAsia="Times New Roman"/>
                <w:szCs w:val="24"/>
                <w:lang w:eastAsia="cs-CZ"/>
              </w:rPr>
              <w:t>KS Ostrava</w:t>
            </w:r>
          </w:p>
        </w:tc>
        <w:tc>
          <w:tcPr>
            <w:tcW w:w="776" w:type="dxa"/>
            <w:tcBorders>
              <w:top w:val="nil"/>
              <w:left w:val="nil"/>
              <w:bottom w:val="double" w:sz="6" w:space="0" w:color="auto"/>
              <w:right w:val="nil"/>
            </w:tcBorders>
            <w:shd w:val="clear" w:color="auto" w:fill="auto"/>
            <w:noWrap/>
            <w:vAlign w:val="bottom"/>
            <w:hideMark/>
          </w:tcPr>
          <w:p w14:paraId="197AEBD2"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680</w:t>
            </w:r>
          </w:p>
        </w:tc>
        <w:tc>
          <w:tcPr>
            <w:tcW w:w="915" w:type="dxa"/>
            <w:tcBorders>
              <w:top w:val="nil"/>
              <w:left w:val="nil"/>
              <w:bottom w:val="double" w:sz="6" w:space="0" w:color="auto"/>
              <w:right w:val="nil"/>
            </w:tcBorders>
            <w:shd w:val="clear" w:color="auto" w:fill="auto"/>
            <w:noWrap/>
            <w:vAlign w:val="center"/>
            <w:hideMark/>
          </w:tcPr>
          <w:p w14:paraId="1BB596AE" w14:textId="5B51DFE5"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-23 %</w:t>
            </w:r>
          </w:p>
        </w:tc>
        <w:tc>
          <w:tcPr>
            <w:tcW w:w="594" w:type="dxa"/>
            <w:tcBorders>
              <w:top w:val="nil"/>
              <w:left w:val="single" w:sz="4" w:space="0" w:color="auto"/>
              <w:bottom w:val="double" w:sz="6" w:space="0" w:color="auto"/>
              <w:right w:val="nil"/>
            </w:tcBorders>
            <w:shd w:val="clear" w:color="auto" w:fill="auto"/>
            <w:noWrap/>
            <w:vAlign w:val="bottom"/>
            <w:hideMark/>
          </w:tcPr>
          <w:p w14:paraId="20625E50" w14:textId="77777777"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185</w:t>
            </w:r>
          </w:p>
        </w:tc>
        <w:tc>
          <w:tcPr>
            <w:tcW w:w="1066" w:type="dxa"/>
            <w:tcBorders>
              <w:top w:val="nil"/>
              <w:left w:val="nil"/>
              <w:bottom w:val="double" w:sz="6" w:space="0" w:color="auto"/>
              <w:right w:val="single" w:sz="4" w:space="0" w:color="auto"/>
            </w:tcBorders>
            <w:shd w:val="clear" w:color="auto" w:fill="auto"/>
            <w:noWrap/>
            <w:vAlign w:val="center"/>
            <w:hideMark/>
          </w:tcPr>
          <w:p w14:paraId="78C8F960" w14:textId="6F072B2E"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+2 %</w:t>
            </w:r>
          </w:p>
        </w:tc>
        <w:tc>
          <w:tcPr>
            <w:tcW w:w="775" w:type="dxa"/>
            <w:tcBorders>
              <w:top w:val="nil"/>
              <w:left w:val="nil"/>
              <w:bottom w:val="double" w:sz="6" w:space="0" w:color="auto"/>
              <w:right w:val="nil"/>
            </w:tcBorders>
            <w:shd w:val="clear" w:color="auto" w:fill="auto"/>
            <w:noWrap/>
            <w:vAlign w:val="bottom"/>
            <w:hideMark/>
          </w:tcPr>
          <w:p w14:paraId="5113E1AB" w14:textId="773C5F7F" w:rsidR="00522968" w:rsidRPr="00730B1E" w:rsidRDefault="00522968" w:rsidP="00522968">
            <w:pPr>
              <w:spacing w:line="240" w:lineRule="auto"/>
              <w:jc w:val="center"/>
              <w:rPr>
                <w:rFonts w:eastAsia="Times New Roman"/>
                <w:szCs w:val="24"/>
                <w:lang w:eastAsia="cs-CZ"/>
              </w:rPr>
            </w:pPr>
            <w:r w:rsidRPr="00730B1E">
              <w:rPr>
                <w:rFonts w:eastAsia="Times New Roman"/>
                <w:szCs w:val="24"/>
                <w:lang w:eastAsia="cs-CZ"/>
              </w:rPr>
              <w:t>1</w:t>
            </w:r>
            <w:r w:rsidR="005500D6" w:rsidRPr="00730B1E">
              <w:rPr>
                <w:rFonts w:eastAsia="Times New Roman"/>
                <w:szCs w:val="24"/>
                <w:lang w:eastAsia="cs-CZ"/>
              </w:rPr>
              <w:t xml:space="preserve"> </w:t>
            </w:r>
            <w:r w:rsidRPr="00730B1E">
              <w:rPr>
                <w:rFonts w:eastAsia="Times New Roman"/>
                <w:szCs w:val="24"/>
                <w:lang w:eastAsia="cs-CZ"/>
              </w:rPr>
              <w:t>404</w:t>
            </w:r>
          </w:p>
        </w:tc>
        <w:tc>
          <w:tcPr>
            <w:tcW w:w="914" w:type="dxa"/>
            <w:tcBorders>
              <w:top w:val="nil"/>
              <w:left w:val="nil"/>
              <w:bottom w:val="double" w:sz="6" w:space="0" w:color="auto"/>
              <w:right w:val="nil"/>
            </w:tcBorders>
            <w:shd w:val="clear" w:color="auto" w:fill="auto"/>
            <w:noWrap/>
            <w:vAlign w:val="center"/>
            <w:hideMark/>
          </w:tcPr>
          <w:p w14:paraId="02C53876" w14:textId="01107F7F" w:rsidR="00522968" w:rsidRPr="00730B1E" w:rsidRDefault="00522968" w:rsidP="00522968">
            <w:pPr>
              <w:spacing w:line="240" w:lineRule="auto"/>
              <w:jc w:val="center"/>
              <w:rPr>
                <w:rFonts w:eastAsia="Times New Roman"/>
                <w:sz w:val="20"/>
                <w:szCs w:val="20"/>
                <w:lang w:eastAsia="cs-CZ"/>
              </w:rPr>
            </w:pPr>
            <w:r w:rsidRPr="00730B1E">
              <w:rPr>
                <w:rFonts w:eastAsia="Times New Roman"/>
                <w:sz w:val="20"/>
                <w:szCs w:val="20"/>
                <w:lang w:eastAsia="cs-CZ"/>
              </w:rPr>
              <w:t>-41 %</w:t>
            </w:r>
          </w:p>
        </w:tc>
      </w:tr>
      <w:tr w:rsidR="00B64E96" w:rsidRPr="00730B1E" w14:paraId="632CA3B8" w14:textId="77777777" w:rsidTr="00522968">
        <w:trPr>
          <w:trHeight w:val="345"/>
        </w:trPr>
        <w:tc>
          <w:tcPr>
            <w:tcW w:w="2480" w:type="dxa"/>
            <w:tcBorders>
              <w:top w:val="nil"/>
              <w:left w:val="nil"/>
              <w:bottom w:val="double" w:sz="6" w:space="0" w:color="auto"/>
              <w:right w:val="nil"/>
            </w:tcBorders>
            <w:shd w:val="clear" w:color="auto" w:fill="auto"/>
            <w:noWrap/>
            <w:vAlign w:val="bottom"/>
            <w:hideMark/>
          </w:tcPr>
          <w:p w14:paraId="094A97D7" w14:textId="77777777" w:rsidR="00522968" w:rsidRPr="00730B1E" w:rsidRDefault="00522968" w:rsidP="00522968">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776" w:type="dxa"/>
            <w:tcBorders>
              <w:top w:val="nil"/>
              <w:left w:val="nil"/>
              <w:bottom w:val="double" w:sz="6" w:space="0" w:color="auto"/>
              <w:right w:val="nil"/>
            </w:tcBorders>
            <w:shd w:val="clear" w:color="auto" w:fill="auto"/>
            <w:noWrap/>
            <w:vAlign w:val="bottom"/>
            <w:hideMark/>
          </w:tcPr>
          <w:p w14:paraId="0DAFD977" w14:textId="77777777" w:rsidR="00522968" w:rsidRPr="00730B1E" w:rsidRDefault="00522968" w:rsidP="00522968">
            <w:pPr>
              <w:spacing w:line="240" w:lineRule="auto"/>
              <w:jc w:val="center"/>
              <w:rPr>
                <w:rFonts w:eastAsia="Times New Roman"/>
                <w:b/>
                <w:bCs/>
                <w:szCs w:val="24"/>
                <w:lang w:eastAsia="cs-CZ"/>
              </w:rPr>
            </w:pPr>
            <w:r w:rsidRPr="00730B1E">
              <w:rPr>
                <w:rFonts w:eastAsia="Times New Roman"/>
                <w:b/>
                <w:bCs/>
                <w:szCs w:val="24"/>
                <w:lang w:eastAsia="cs-CZ"/>
              </w:rPr>
              <w:t>815</w:t>
            </w:r>
          </w:p>
        </w:tc>
        <w:tc>
          <w:tcPr>
            <w:tcW w:w="915" w:type="dxa"/>
            <w:tcBorders>
              <w:top w:val="nil"/>
              <w:left w:val="nil"/>
              <w:bottom w:val="double" w:sz="6" w:space="0" w:color="auto"/>
              <w:right w:val="nil"/>
            </w:tcBorders>
            <w:shd w:val="clear" w:color="auto" w:fill="auto"/>
            <w:noWrap/>
            <w:vAlign w:val="center"/>
            <w:hideMark/>
          </w:tcPr>
          <w:p w14:paraId="2E367336" w14:textId="70F7E14F" w:rsidR="00522968" w:rsidRPr="00730B1E" w:rsidRDefault="00522968" w:rsidP="00522968">
            <w:pPr>
              <w:spacing w:line="240" w:lineRule="auto"/>
              <w:jc w:val="center"/>
              <w:rPr>
                <w:rFonts w:eastAsia="Times New Roman"/>
                <w:b/>
                <w:bCs/>
                <w:sz w:val="20"/>
                <w:szCs w:val="20"/>
                <w:lang w:eastAsia="cs-CZ"/>
              </w:rPr>
            </w:pPr>
            <w:r w:rsidRPr="00730B1E">
              <w:rPr>
                <w:rFonts w:eastAsia="Times New Roman"/>
                <w:b/>
                <w:bCs/>
                <w:sz w:val="20"/>
                <w:szCs w:val="20"/>
                <w:lang w:eastAsia="cs-CZ"/>
              </w:rPr>
              <w:t>-17 %</w:t>
            </w:r>
          </w:p>
        </w:tc>
        <w:tc>
          <w:tcPr>
            <w:tcW w:w="594" w:type="dxa"/>
            <w:tcBorders>
              <w:top w:val="nil"/>
              <w:left w:val="single" w:sz="4" w:space="0" w:color="auto"/>
              <w:bottom w:val="double" w:sz="6" w:space="0" w:color="auto"/>
              <w:right w:val="nil"/>
            </w:tcBorders>
            <w:shd w:val="clear" w:color="auto" w:fill="auto"/>
            <w:noWrap/>
            <w:vAlign w:val="bottom"/>
            <w:hideMark/>
          </w:tcPr>
          <w:p w14:paraId="79EEB54E" w14:textId="77777777" w:rsidR="00522968" w:rsidRPr="00730B1E" w:rsidRDefault="00522968" w:rsidP="00522968">
            <w:pPr>
              <w:spacing w:line="240" w:lineRule="auto"/>
              <w:jc w:val="center"/>
              <w:rPr>
                <w:rFonts w:eastAsia="Times New Roman"/>
                <w:b/>
                <w:bCs/>
                <w:szCs w:val="24"/>
                <w:lang w:eastAsia="cs-CZ"/>
              </w:rPr>
            </w:pPr>
            <w:r w:rsidRPr="00730B1E">
              <w:rPr>
                <w:rFonts w:eastAsia="Times New Roman"/>
                <w:b/>
                <w:bCs/>
                <w:szCs w:val="24"/>
                <w:lang w:eastAsia="cs-CZ"/>
              </w:rPr>
              <w:t>314</w:t>
            </w:r>
          </w:p>
        </w:tc>
        <w:tc>
          <w:tcPr>
            <w:tcW w:w="1066" w:type="dxa"/>
            <w:tcBorders>
              <w:top w:val="nil"/>
              <w:left w:val="nil"/>
              <w:bottom w:val="double" w:sz="6" w:space="0" w:color="auto"/>
              <w:right w:val="single" w:sz="4" w:space="0" w:color="auto"/>
            </w:tcBorders>
            <w:shd w:val="clear" w:color="auto" w:fill="auto"/>
            <w:noWrap/>
            <w:vAlign w:val="center"/>
            <w:hideMark/>
          </w:tcPr>
          <w:p w14:paraId="55AE779B" w14:textId="708B7A0D" w:rsidR="00522968" w:rsidRPr="00730B1E" w:rsidRDefault="00522968" w:rsidP="00522968">
            <w:pPr>
              <w:spacing w:line="240" w:lineRule="auto"/>
              <w:jc w:val="center"/>
              <w:rPr>
                <w:rFonts w:eastAsia="Times New Roman"/>
                <w:b/>
                <w:bCs/>
                <w:sz w:val="20"/>
                <w:szCs w:val="20"/>
                <w:lang w:eastAsia="cs-CZ"/>
              </w:rPr>
            </w:pPr>
            <w:r w:rsidRPr="00730B1E">
              <w:rPr>
                <w:rFonts w:eastAsia="Times New Roman"/>
                <w:b/>
                <w:bCs/>
                <w:sz w:val="20"/>
                <w:szCs w:val="20"/>
                <w:lang w:eastAsia="cs-CZ"/>
              </w:rPr>
              <w:t>+2 %</w:t>
            </w:r>
          </w:p>
        </w:tc>
        <w:tc>
          <w:tcPr>
            <w:tcW w:w="775" w:type="dxa"/>
            <w:tcBorders>
              <w:top w:val="nil"/>
              <w:left w:val="nil"/>
              <w:bottom w:val="double" w:sz="6" w:space="0" w:color="auto"/>
              <w:right w:val="nil"/>
            </w:tcBorders>
            <w:shd w:val="clear" w:color="auto" w:fill="auto"/>
            <w:noWrap/>
            <w:vAlign w:val="bottom"/>
            <w:hideMark/>
          </w:tcPr>
          <w:p w14:paraId="212F6255" w14:textId="7876F0C2" w:rsidR="00522968" w:rsidRPr="00730B1E" w:rsidRDefault="00522968" w:rsidP="00522968">
            <w:pPr>
              <w:spacing w:line="240" w:lineRule="auto"/>
              <w:jc w:val="center"/>
              <w:rPr>
                <w:rFonts w:eastAsia="Times New Roman"/>
                <w:b/>
                <w:bCs/>
                <w:szCs w:val="24"/>
                <w:lang w:eastAsia="cs-CZ"/>
              </w:rPr>
            </w:pPr>
            <w:r w:rsidRPr="00730B1E">
              <w:rPr>
                <w:rFonts w:eastAsia="Times New Roman"/>
                <w:b/>
                <w:bCs/>
                <w:szCs w:val="24"/>
                <w:lang w:eastAsia="cs-CZ"/>
              </w:rPr>
              <w:t>2</w:t>
            </w:r>
            <w:r w:rsidR="005500D6" w:rsidRPr="00730B1E">
              <w:rPr>
                <w:rFonts w:eastAsia="Times New Roman"/>
                <w:b/>
                <w:bCs/>
                <w:szCs w:val="24"/>
                <w:lang w:eastAsia="cs-CZ"/>
              </w:rPr>
              <w:t xml:space="preserve"> </w:t>
            </w:r>
            <w:r w:rsidRPr="00730B1E">
              <w:rPr>
                <w:rFonts w:eastAsia="Times New Roman"/>
                <w:b/>
                <w:bCs/>
                <w:szCs w:val="24"/>
                <w:lang w:eastAsia="cs-CZ"/>
              </w:rPr>
              <w:t>124</w:t>
            </w:r>
          </w:p>
        </w:tc>
        <w:tc>
          <w:tcPr>
            <w:tcW w:w="914" w:type="dxa"/>
            <w:tcBorders>
              <w:top w:val="nil"/>
              <w:left w:val="nil"/>
              <w:bottom w:val="double" w:sz="6" w:space="0" w:color="auto"/>
              <w:right w:val="nil"/>
            </w:tcBorders>
            <w:shd w:val="clear" w:color="auto" w:fill="auto"/>
            <w:noWrap/>
            <w:vAlign w:val="center"/>
            <w:hideMark/>
          </w:tcPr>
          <w:p w14:paraId="31DC155F" w14:textId="31D62EBF" w:rsidR="00522968" w:rsidRPr="00730B1E" w:rsidRDefault="00522968" w:rsidP="00522968">
            <w:pPr>
              <w:spacing w:line="240" w:lineRule="auto"/>
              <w:jc w:val="center"/>
              <w:rPr>
                <w:rFonts w:eastAsia="Times New Roman"/>
                <w:b/>
                <w:bCs/>
                <w:sz w:val="20"/>
                <w:szCs w:val="20"/>
                <w:lang w:eastAsia="cs-CZ"/>
              </w:rPr>
            </w:pPr>
            <w:r w:rsidRPr="00730B1E">
              <w:rPr>
                <w:rFonts w:eastAsia="Times New Roman"/>
                <w:b/>
                <w:bCs/>
                <w:sz w:val="20"/>
                <w:szCs w:val="20"/>
                <w:lang w:eastAsia="cs-CZ"/>
              </w:rPr>
              <w:t>-27 %</w:t>
            </w:r>
          </w:p>
        </w:tc>
      </w:tr>
      <w:tr w:rsidR="00B64E96" w:rsidRPr="00730B1E" w14:paraId="3D14D4FF" w14:textId="77777777" w:rsidTr="00522968">
        <w:trPr>
          <w:trHeight w:val="330"/>
        </w:trPr>
        <w:tc>
          <w:tcPr>
            <w:tcW w:w="2480" w:type="dxa"/>
            <w:tcBorders>
              <w:top w:val="nil"/>
              <w:left w:val="nil"/>
              <w:bottom w:val="nil"/>
              <w:right w:val="nil"/>
            </w:tcBorders>
            <w:shd w:val="clear" w:color="auto" w:fill="auto"/>
            <w:noWrap/>
            <w:vAlign w:val="bottom"/>
            <w:hideMark/>
          </w:tcPr>
          <w:p w14:paraId="4291AB40" w14:textId="77777777" w:rsidR="00522968" w:rsidRPr="00730B1E" w:rsidRDefault="00522968" w:rsidP="00522968">
            <w:pPr>
              <w:spacing w:line="240" w:lineRule="auto"/>
              <w:jc w:val="right"/>
              <w:rPr>
                <w:rFonts w:eastAsia="Times New Roman"/>
                <w:b/>
                <w:bCs/>
                <w:sz w:val="20"/>
                <w:szCs w:val="20"/>
                <w:lang w:eastAsia="cs-CZ"/>
              </w:rPr>
            </w:pPr>
          </w:p>
        </w:tc>
        <w:tc>
          <w:tcPr>
            <w:tcW w:w="776" w:type="dxa"/>
            <w:tcBorders>
              <w:top w:val="nil"/>
              <w:left w:val="nil"/>
              <w:bottom w:val="nil"/>
              <w:right w:val="nil"/>
            </w:tcBorders>
            <w:shd w:val="clear" w:color="auto" w:fill="auto"/>
            <w:noWrap/>
            <w:vAlign w:val="bottom"/>
            <w:hideMark/>
          </w:tcPr>
          <w:p w14:paraId="6963952F" w14:textId="77777777" w:rsidR="00522968" w:rsidRPr="00DF07F3" w:rsidRDefault="00522968" w:rsidP="00522968">
            <w:pPr>
              <w:spacing w:line="240" w:lineRule="auto"/>
              <w:jc w:val="left"/>
              <w:rPr>
                <w:sz w:val="20"/>
              </w:rPr>
            </w:pPr>
          </w:p>
        </w:tc>
        <w:tc>
          <w:tcPr>
            <w:tcW w:w="915" w:type="dxa"/>
            <w:tcBorders>
              <w:top w:val="nil"/>
              <w:left w:val="nil"/>
              <w:bottom w:val="nil"/>
              <w:right w:val="nil"/>
            </w:tcBorders>
            <w:shd w:val="clear" w:color="auto" w:fill="auto"/>
            <w:noWrap/>
            <w:vAlign w:val="bottom"/>
            <w:hideMark/>
          </w:tcPr>
          <w:p w14:paraId="2C5F0B3C" w14:textId="77777777" w:rsidR="00522968" w:rsidRPr="00DF07F3" w:rsidRDefault="00522968" w:rsidP="00522968">
            <w:pPr>
              <w:spacing w:line="240" w:lineRule="auto"/>
              <w:jc w:val="left"/>
              <w:rPr>
                <w:sz w:val="20"/>
              </w:rPr>
            </w:pPr>
          </w:p>
        </w:tc>
        <w:tc>
          <w:tcPr>
            <w:tcW w:w="594" w:type="dxa"/>
            <w:tcBorders>
              <w:top w:val="nil"/>
              <w:left w:val="nil"/>
              <w:bottom w:val="nil"/>
              <w:right w:val="nil"/>
            </w:tcBorders>
            <w:shd w:val="clear" w:color="auto" w:fill="auto"/>
            <w:noWrap/>
            <w:vAlign w:val="bottom"/>
            <w:hideMark/>
          </w:tcPr>
          <w:p w14:paraId="553ECA7F" w14:textId="77777777" w:rsidR="00522968" w:rsidRPr="00DF07F3" w:rsidRDefault="00522968" w:rsidP="00522968">
            <w:pPr>
              <w:spacing w:line="240" w:lineRule="auto"/>
              <w:jc w:val="left"/>
              <w:rPr>
                <w:sz w:val="20"/>
              </w:rPr>
            </w:pPr>
          </w:p>
        </w:tc>
        <w:tc>
          <w:tcPr>
            <w:tcW w:w="1066" w:type="dxa"/>
            <w:tcBorders>
              <w:top w:val="nil"/>
              <w:left w:val="nil"/>
              <w:bottom w:val="nil"/>
              <w:right w:val="nil"/>
            </w:tcBorders>
            <w:shd w:val="clear" w:color="auto" w:fill="auto"/>
            <w:noWrap/>
            <w:vAlign w:val="bottom"/>
            <w:hideMark/>
          </w:tcPr>
          <w:p w14:paraId="64EB51D6" w14:textId="77777777" w:rsidR="00522968" w:rsidRPr="00DF07F3" w:rsidRDefault="00522968" w:rsidP="00522968">
            <w:pPr>
              <w:spacing w:line="240" w:lineRule="auto"/>
              <w:jc w:val="left"/>
              <w:rPr>
                <w:sz w:val="20"/>
              </w:rPr>
            </w:pPr>
          </w:p>
        </w:tc>
        <w:tc>
          <w:tcPr>
            <w:tcW w:w="775" w:type="dxa"/>
            <w:tcBorders>
              <w:top w:val="nil"/>
              <w:left w:val="nil"/>
              <w:bottom w:val="nil"/>
              <w:right w:val="nil"/>
            </w:tcBorders>
            <w:shd w:val="clear" w:color="auto" w:fill="auto"/>
            <w:noWrap/>
            <w:vAlign w:val="bottom"/>
            <w:hideMark/>
          </w:tcPr>
          <w:p w14:paraId="32AF6791" w14:textId="77777777" w:rsidR="00522968" w:rsidRPr="00DF07F3" w:rsidRDefault="00522968" w:rsidP="00522968">
            <w:pPr>
              <w:spacing w:line="240" w:lineRule="auto"/>
              <w:jc w:val="left"/>
              <w:rPr>
                <w:sz w:val="20"/>
              </w:rPr>
            </w:pPr>
          </w:p>
        </w:tc>
        <w:tc>
          <w:tcPr>
            <w:tcW w:w="914" w:type="dxa"/>
            <w:tcBorders>
              <w:top w:val="nil"/>
              <w:left w:val="nil"/>
              <w:bottom w:val="nil"/>
              <w:right w:val="nil"/>
            </w:tcBorders>
            <w:shd w:val="clear" w:color="auto" w:fill="auto"/>
            <w:noWrap/>
            <w:vAlign w:val="bottom"/>
            <w:hideMark/>
          </w:tcPr>
          <w:p w14:paraId="0E2503F0" w14:textId="77777777" w:rsidR="00522968" w:rsidRPr="00DF07F3" w:rsidRDefault="00522968" w:rsidP="00522968">
            <w:pPr>
              <w:spacing w:line="240" w:lineRule="auto"/>
              <w:jc w:val="left"/>
              <w:rPr>
                <w:sz w:val="20"/>
              </w:rPr>
            </w:pPr>
          </w:p>
        </w:tc>
      </w:tr>
    </w:tbl>
    <w:p w14:paraId="0157A7E9" w14:textId="497CD9D0" w:rsidR="00542B00" w:rsidRPr="00730B1E" w:rsidRDefault="00542B00">
      <w:pPr>
        <w:spacing w:after="160" w:line="259" w:lineRule="auto"/>
        <w:jc w:val="left"/>
      </w:pPr>
      <w:r w:rsidRPr="00730B1E">
        <w:br w:type="page"/>
      </w:r>
    </w:p>
    <w:p w14:paraId="6B78AA01" w14:textId="2165465D" w:rsidR="00522968" w:rsidRPr="00730B1E" w:rsidRDefault="00542B00" w:rsidP="00522968">
      <w:pPr>
        <w:pStyle w:val="OdstavecASR"/>
      </w:pPr>
      <w:r w:rsidRPr="00730B1E">
        <w:lastRenderedPageBreak/>
        <w:t xml:space="preserve">Absolutní hodnoty průměru i percentilu 90 jsou u očištěných dat </w:t>
      </w:r>
      <w:r w:rsidR="0080361C" w:rsidRPr="00730B1E">
        <w:t xml:space="preserve">stále </w:t>
      </w:r>
      <w:r w:rsidRPr="00730B1E">
        <w:t>velmi vysoké – celorepublikový</w:t>
      </w:r>
      <w:r w:rsidR="00522968" w:rsidRPr="00730B1E">
        <w:t xml:space="preserve"> percentil 90 byl v roce 2023</w:t>
      </w:r>
      <w:r w:rsidRPr="00730B1E">
        <w:t xml:space="preserve"> </w:t>
      </w:r>
      <w:r w:rsidR="00522968" w:rsidRPr="00730B1E">
        <w:t>téměř 6</w:t>
      </w:r>
      <w:r w:rsidRPr="00730B1E">
        <w:t xml:space="preserve"> let a celorepublikový průměr asi </w:t>
      </w:r>
      <w:r w:rsidR="00522968" w:rsidRPr="00730B1E">
        <w:t>2</w:t>
      </w:r>
      <w:r w:rsidRPr="00730B1E">
        <w:t>,</w:t>
      </w:r>
      <w:r w:rsidR="00522968" w:rsidRPr="00730B1E">
        <w:t>2</w:t>
      </w:r>
      <w:r w:rsidRPr="00730B1E">
        <w:t xml:space="preserve"> roku. </w:t>
      </w:r>
      <w:r w:rsidR="00522968" w:rsidRPr="00730B1E">
        <w:t>Tento rok téměř 5 % řízení trvalo déle než 4 000 dnů (11 let) a téměř 20 % řízení trvalo 1000 dnů a déle.</w:t>
      </w:r>
    </w:p>
    <w:p w14:paraId="0977E101" w14:textId="76706A69" w:rsidR="004F6C95" w:rsidRPr="00730B1E" w:rsidRDefault="004F6C95" w:rsidP="004F6C95">
      <w:pPr>
        <w:pStyle w:val="Podnadpis"/>
        <w:rPr>
          <w:color w:val="auto"/>
        </w:rPr>
      </w:pPr>
      <w:bookmarkStart w:id="761" w:name="_Toc169250977"/>
      <w:bookmarkStart w:id="762" w:name="_Toc174080663"/>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58</w:t>
      </w:r>
      <w:r w:rsidRPr="00730B1E">
        <w:rPr>
          <w:color w:val="auto"/>
        </w:rPr>
        <w:fldChar w:fldCharType="end"/>
      </w:r>
      <w:r w:rsidRPr="00730B1E">
        <w:rPr>
          <w:color w:val="auto"/>
        </w:rPr>
        <w:t>: KS – distribuce délek civilního řízení, 2023</w:t>
      </w:r>
      <w:bookmarkEnd w:id="761"/>
      <w:bookmarkEnd w:id="762"/>
    </w:p>
    <w:p w14:paraId="7E180F4D" w14:textId="68C10E00" w:rsidR="004F6C95" w:rsidRPr="00730B1E" w:rsidRDefault="002C014C" w:rsidP="004F6C95">
      <w:r w:rsidRPr="00730B1E">
        <w:rPr>
          <w:noProof/>
          <w:lang w:eastAsia="cs-CZ"/>
        </w:rPr>
        <w:drawing>
          <wp:inline distT="0" distB="0" distL="0" distR="0" wp14:anchorId="35A6011D" wp14:editId="1283E3A6">
            <wp:extent cx="5029200" cy="3657600"/>
            <wp:effectExtent l="0" t="0" r="0" b="0"/>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58D6420" w14:textId="77777777" w:rsidR="004F6C95" w:rsidRPr="00730B1E" w:rsidRDefault="004F6C95" w:rsidP="00522968">
      <w:pPr>
        <w:pStyle w:val="OdstavecASR"/>
      </w:pPr>
    </w:p>
    <w:p w14:paraId="35EA274A" w14:textId="77777777" w:rsidR="00522968" w:rsidRPr="00730B1E" w:rsidRDefault="00522968" w:rsidP="00522968">
      <w:pPr>
        <w:pStyle w:val="OdstavecASR"/>
      </w:pPr>
      <w:r w:rsidRPr="00730B1E">
        <w:t>Situace je nicméně lepší, než by se z výše uvedeného mohlo zdát, a to z následujících důvodů:</w:t>
      </w:r>
    </w:p>
    <w:p w14:paraId="72F2187F" w14:textId="3152C1F4" w:rsidR="00522968" w:rsidRPr="00730B1E" w:rsidRDefault="00522968" w:rsidP="00A94F8F">
      <w:pPr>
        <w:pStyle w:val="OdstavecASR"/>
        <w:numPr>
          <w:ilvl w:val="0"/>
          <w:numId w:val="11"/>
        </w:numPr>
      </w:pPr>
      <w:r w:rsidRPr="00730B1E">
        <w:t>Jak je vidět v další podkapitole, počet nevyřízených věcí trvale klesal až do roku 2022. Od roku 2011 klesl počet nevyřízených věcí téměř na třetinu (</w:t>
      </w:r>
      <w:r w:rsidR="00C15C6C" w:rsidRPr="00730B1E">
        <w:t>z</w:t>
      </w:r>
      <w:r w:rsidR="00FC6A26" w:rsidRPr="00730B1E">
        <w:t>e</w:t>
      </w:r>
      <w:r w:rsidR="00C15C6C" w:rsidRPr="00730B1E">
        <w:t xml:space="preserve"> </w:t>
      </w:r>
      <w:r w:rsidRPr="00730B1E">
        <w:t xml:space="preserve">44 618 na 13 210, tedy asi o 70 %). V tom samozřejmě hraje velkou roli i převod vybrané agendy na OS. </w:t>
      </w:r>
    </w:p>
    <w:p w14:paraId="4CA2BF70" w14:textId="292FA8AD" w:rsidR="00522968" w:rsidRPr="00730B1E" w:rsidRDefault="00522968" w:rsidP="00A94F8F">
      <w:pPr>
        <w:pStyle w:val="OdstavecASR"/>
        <w:numPr>
          <w:ilvl w:val="0"/>
          <w:numId w:val="11"/>
        </w:numPr>
      </w:pPr>
      <w:r w:rsidRPr="00730B1E">
        <w:t>Počty déle nevyřízených věcí (přes 3 roky, přes 5 let či přes 7 let) v posledních letech také klesal. To také samozřejmě může ovlivnit vykázanou délku řízení.</w:t>
      </w:r>
    </w:p>
    <w:p w14:paraId="1A971CE8" w14:textId="1253BF46" w:rsidR="00522968" w:rsidRPr="00730B1E" w:rsidRDefault="00522968" w:rsidP="00A94F8F">
      <w:pPr>
        <w:pStyle w:val="OdstavecASR"/>
        <w:numPr>
          <w:ilvl w:val="0"/>
          <w:numId w:val="11"/>
        </w:numPr>
      </w:pPr>
      <w:r w:rsidRPr="00730B1E">
        <w:t>Především je však velká část věcí přerušena z důvodu rozhodnutí o úpadku či konkursu s tím, že do vykazované délky řízení se tato doba promítne. Data ze statistických listů bohužel neumožňují očištění o tuto dobu nebo o řízení, která byla takto přerušena, přestože by takovéto očištění bylo korektní. Můžeme alespoň odhadnout, jak velký vliv tato kategorie věcí má. Například data z výkazů ukazují, že k 31. 12. 20</w:t>
      </w:r>
      <w:r w:rsidR="002C014C" w:rsidRPr="00730B1E">
        <w:t>23</w:t>
      </w:r>
      <w:r w:rsidRPr="00730B1E">
        <w:t xml:space="preserve"> bylo v rejstříku Cm nevyřízeno déle než 5 let </w:t>
      </w:r>
      <w:r w:rsidR="004F6C95" w:rsidRPr="00730B1E">
        <w:t>1</w:t>
      </w:r>
      <w:r w:rsidRPr="00730B1E">
        <w:t> </w:t>
      </w:r>
      <w:r w:rsidR="004F6C95" w:rsidRPr="00730B1E">
        <w:t>745</w:t>
      </w:r>
      <w:r w:rsidRPr="00730B1E">
        <w:t xml:space="preserve"> věcí</w:t>
      </w:r>
      <w:r w:rsidR="00C15C6C" w:rsidRPr="00730B1E">
        <w:t xml:space="preserve">, </w:t>
      </w:r>
      <w:r w:rsidRPr="00730B1E">
        <w:t xml:space="preserve">z důvodu rozhodnutí o úpadku/prohlášení konkursu </w:t>
      </w:r>
      <w:r w:rsidR="004F6C95" w:rsidRPr="00730B1E">
        <w:t>1</w:t>
      </w:r>
      <w:r w:rsidRPr="00730B1E">
        <w:t> </w:t>
      </w:r>
      <w:r w:rsidR="004F6C95" w:rsidRPr="00730B1E">
        <w:t>026</w:t>
      </w:r>
      <w:r w:rsidRPr="00730B1E">
        <w:t xml:space="preserve"> věcí, tedy asi </w:t>
      </w:r>
      <w:r w:rsidR="002C014C" w:rsidRPr="00730B1E">
        <w:t>5</w:t>
      </w:r>
      <w:r w:rsidRPr="00730B1E">
        <w:t>9 %. Tyto věci se samozřejmě nakonec objeví ve statistických listech a výrazně ovlivní délku řízení. Velká část z nich ale nevypovídá o fungování soudu.</w:t>
      </w:r>
    </w:p>
    <w:p w14:paraId="323CB55E" w14:textId="5F2745F9" w:rsidR="00522968" w:rsidRPr="00730B1E" w:rsidRDefault="00522968" w:rsidP="00A94F8F">
      <w:pPr>
        <w:pStyle w:val="OdstavecASR"/>
        <w:numPr>
          <w:ilvl w:val="0"/>
          <w:numId w:val="11"/>
        </w:numPr>
      </w:pPr>
      <w:r w:rsidRPr="00730B1E">
        <w:t>Z výše uvedeného důvodu doporučujeme sledovat u této agendy v zásadě jen medián (který činí dlouhodobě</w:t>
      </w:r>
      <w:r w:rsidR="004F6C95" w:rsidRPr="00730B1E">
        <w:t xml:space="preserve"> asi 10 měsíců</w:t>
      </w:r>
      <w:r w:rsidRPr="00730B1E">
        <w:t xml:space="preserve"> a</w:t>
      </w:r>
      <w:r w:rsidR="004F6C95" w:rsidRPr="00730B1E">
        <w:t>ž</w:t>
      </w:r>
      <w:r w:rsidRPr="00730B1E">
        <w:t xml:space="preserve"> rok). Průměr a percentil 90 jsou příliš ovlivněny malým počtem věcí, které vykazují obrovskou délku řízení právě kvůli přerušení z důvodu </w:t>
      </w:r>
      <w:r w:rsidRPr="00730B1E">
        <w:lastRenderedPageBreak/>
        <w:t>rozhodnutí o úpadku či konkursu. Průměr a percentil 90 jsou tak uvedeny spíše kvůli zachování stejného formátu v rámci této zprávy.</w:t>
      </w:r>
    </w:p>
    <w:p w14:paraId="45999154" w14:textId="6E2164DE" w:rsidR="008430BD" w:rsidRPr="00730B1E" w:rsidRDefault="008430BD" w:rsidP="008430BD">
      <w:pPr>
        <w:pStyle w:val="Nadpis3"/>
        <w:numPr>
          <w:ilvl w:val="2"/>
          <w:numId w:val="1"/>
        </w:numPr>
        <w:rPr>
          <w:color w:val="auto"/>
        </w:rPr>
      </w:pPr>
      <w:bookmarkStart w:id="763" w:name="_Toc515871250"/>
      <w:bookmarkStart w:id="764" w:name="_Toc106092754"/>
      <w:bookmarkStart w:id="765" w:name="_Toc169250830"/>
      <w:bookmarkStart w:id="766" w:name="_Toc174080866"/>
      <w:r w:rsidRPr="00730B1E">
        <w:rPr>
          <w:color w:val="auto"/>
        </w:rPr>
        <w:t>Vyřizování věcí</w:t>
      </w:r>
      <w:bookmarkEnd w:id="763"/>
      <w:bookmarkEnd w:id="764"/>
      <w:bookmarkEnd w:id="765"/>
      <w:bookmarkEnd w:id="766"/>
    </w:p>
    <w:p w14:paraId="448A0C2F" w14:textId="643E0C43" w:rsidR="00522968" w:rsidRPr="00730B1E" w:rsidRDefault="00522968" w:rsidP="00522968">
      <w:pPr>
        <w:pStyle w:val="OdstavecASR"/>
      </w:pPr>
      <w:r w:rsidRPr="00730B1E">
        <w:t>Do časových řad se opět promítá zavedení elektronického platebního rozkazu, ale i změny ve vedení statistik a převod části agendy z krajských soudů na okresní. I přes tyto vlivy však můžeme bezpečně dojít k závěru, že počet napadlých civilních a obchodních věcí má v posledních letech zjevnou klesající tendenci, která se zastavila až v roce 2017, kdy se počet příchozích věcí oproti roku 2016 zvýšil. V letech 2018 až 2020 opět došlo k poklesu, přičemž v roce 2021 se počet příchozích věcí opět nepatrně zvýšil a v roce 2022 opět nepatrně klesl.</w:t>
      </w:r>
      <w:r w:rsidR="00FC0ECD" w:rsidRPr="00730B1E">
        <w:t xml:space="preserve"> V roce 2023 náhle došlo </w:t>
      </w:r>
      <w:r w:rsidR="00AC388F" w:rsidRPr="00730B1E">
        <w:t xml:space="preserve">k </w:t>
      </w:r>
      <w:r w:rsidR="00FC0ECD" w:rsidRPr="00730B1E">
        <w:t xml:space="preserve">nemalému nárůstu v počtu příchozích věcí z 23 156 na 27 133, tedy o 17,1 %. Soudy na to nedokázaly reagovat a počet nevyřízených věcí poprvé ve sledovaném období významně narostl. </w:t>
      </w:r>
    </w:p>
    <w:p w14:paraId="7F024F5F" w14:textId="67881859" w:rsidR="00522968" w:rsidRPr="00730B1E" w:rsidRDefault="00522968" w:rsidP="00B7127F">
      <w:pPr>
        <w:pStyle w:val="OdstavecASR"/>
      </w:pPr>
      <w:r w:rsidRPr="00730B1E">
        <w:t>Hlubší analýza zmíněného klesajícího trendu přesahuje rozsah této zprávy. V krátkosti však můžeme uvést, že za pokles v nápadu je do velké míry zodpovědný již dříve zmíněný převod velkého množství obchodních řízení z krajských soudů na okresní v roce 2014 (</w:t>
      </w:r>
      <w:r w:rsidR="00B7127F" w:rsidRPr="00730B1E">
        <w:t>v návaznosti na o. z. se změnila věcná příslušnost soudů k vedení těchto řízení</w:t>
      </w:r>
      <w:r w:rsidRPr="00730B1E">
        <w:t>). Graf níže zobrazuje vývoj v počtu příchozích, vyřízených a nevyřízených věcí a za ním následující graf se zaměřuje pouze na rejstřík Cm. Z obou grafů vyplýv</w:t>
      </w:r>
      <w:r w:rsidR="00FC6A26" w:rsidRPr="00730B1E">
        <w:t>á</w:t>
      </w:r>
      <w:r w:rsidR="00D55D01" w:rsidRPr="00730B1E">
        <w:t>, že většinu prvostupňové občanskoprávní a obchodněprávní agendy tvoří rejstřík Cm, tedy obchodněprávní spory.</w:t>
      </w:r>
    </w:p>
    <w:p w14:paraId="0C196024" w14:textId="77777777" w:rsidR="00522968" w:rsidRPr="00730B1E" w:rsidRDefault="00522968" w:rsidP="00522968"/>
    <w:p w14:paraId="7657373C" w14:textId="394D73CB" w:rsidR="00EF7600" w:rsidRPr="00730B1E" w:rsidRDefault="00EF7600" w:rsidP="00EF7600">
      <w:pPr>
        <w:pStyle w:val="Podnadpis"/>
        <w:numPr>
          <w:ilvl w:val="0"/>
          <w:numId w:val="0"/>
        </w:numPr>
        <w:rPr>
          <w:color w:val="auto"/>
        </w:rPr>
      </w:pPr>
      <w:bookmarkStart w:id="767" w:name="_Toc515871382"/>
      <w:bookmarkStart w:id="768" w:name="_Toc11135113"/>
      <w:bookmarkStart w:id="769" w:name="_Toc43841432"/>
      <w:bookmarkStart w:id="770" w:name="_Toc75952235"/>
      <w:bookmarkStart w:id="771" w:name="_Toc106106692"/>
      <w:bookmarkStart w:id="772" w:name="_Toc144104166"/>
      <w:bookmarkStart w:id="773" w:name="_Toc169250978"/>
      <w:bookmarkStart w:id="774" w:name="_Toc17408066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59</w:t>
      </w:r>
      <w:r w:rsidRPr="00730B1E">
        <w:rPr>
          <w:color w:val="auto"/>
        </w:rPr>
        <w:fldChar w:fldCharType="end"/>
      </w:r>
      <w:r w:rsidRPr="00730B1E">
        <w:rPr>
          <w:color w:val="auto"/>
        </w:rPr>
        <w:t>: KS – vyřizování prvostupňových civilních věcí v letech 20</w:t>
      </w:r>
      <w:bookmarkEnd w:id="767"/>
      <w:bookmarkEnd w:id="768"/>
      <w:bookmarkEnd w:id="769"/>
      <w:bookmarkEnd w:id="770"/>
      <w:bookmarkEnd w:id="771"/>
      <w:bookmarkEnd w:id="772"/>
      <w:r w:rsidRPr="00730B1E">
        <w:rPr>
          <w:color w:val="auto"/>
        </w:rPr>
        <w:t>14–2023</w:t>
      </w:r>
      <w:bookmarkEnd w:id="773"/>
      <w:bookmarkEnd w:id="774"/>
    </w:p>
    <w:p w14:paraId="45278A6F" w14:textId="4180CDFD" w:rsidR="00EF7600" w:rsidRPr="00730B1E" w:rsidRDefault="00EF7600" w:rsidP="00EF7600">
      <w:r w:rsidRPr="00730B1E">
        <w:rPr>
          <w:noProof/>
          <w:lang w:eastAsia="cs-CZ"/>
        </w:rPr>
        <w:drawing>
          <wp:inline distT="0" distB="0" distL="0" distR="0" wp14:anchorId="7D4F269F" wp14:editId="20F065DF">
            <wp:extent cx="5029200" cy="3657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CFC74C1" w14:textId="77777777" w:rsidR="00FC0ECD" w:rsidRPr="00730B1E" w:rsidRDefault="00FC0ECD" w:rsidP="00EF7600"/>
    <w:p w14:paraId="61D2BBCE" w14:textId="52E14A58" w:rsidR="00FC0ECD" w:rsidRPr="00730B1E" w:rsidRDefault="00FC0ECD" w:rsidP="00FC0ECD">
      <w:pPr>
        <w:pStyle w:val="Podnadpis"/>
        <w:rPr>
          <w:color w:val="auto"/>
        </w:rPr>
      </w:pPr>
      <w:bookmarkStart w:id="775" w:name="_Toc75952236"/>
      <w:bookmarkStart w:id="776" w:name="_Toc106106693"/>
      <w:bookmarkStart w:id="777" w:name="_Toc109802017"/>
      <w:bookmarkStart w:id="778" w:name="_Toc144104167"/>
      <w:bookmarkStart w:id="779" w:name="_Toc169250979"/>
      <w:bookmarkStart w:id="780" w:name="_Toc174080665"/>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60</w:t>
      </w:r>
      <w:r w:rsidRPr="00730B1E">
        <w:rPr>
          <w:color w:val="auto"/>
        </w:rPr>
        <w:fldChar w:fldCharType="end"/>
      </w:r>
      <w:r w:rsidRPr="00730B1E">
        <w:rPr>
          <w:color w:val="auto"/>
        </w:rPr>
        <w:t>: KS – vyřizování věcí v letech 20</w:t>
      </w:r>
      <w:r w:rsidR="002C014C" w:rsidRPr="00730B1E">
        <w:rPr>
          <w:color w:val="auto"/>
        </w:rPr>
        <w:t>14</w:t>
      </w:r>
      <w:r w:rsidRPr="00730B1E">
        <w:rPr>
          <w:color w:val="auto"/>
        </w:rPr>
        <w:t>–202</w:t>
      </w:r>
      <w:r w:rsidR="002C014C" w:rsidRPr="00730B1E">
        <w:rPr>
          <w:color w:val="auto"/>
        </w:rPr>
        <w:t>3</w:t>
      </w:r>
      <w:r w:rsidRPr="00730B1E">
        <w:rPr>
          <w:color w:val="auto"/>
        </w:rPr>
        <w:t>, pouze rejstřík Cm</w:t>
      </w:r>
      <w:bookmarkEnd w:id="775"/>
      <w:bookmarkEnd w:id="776"/>
      <w:bookmarkEnd w:id="777"/>
      <w:bookmarkEnd w:id="778"/>
      <w:bookmarkEnd w:id="779"/>
      <w:bookmarkEnd w:id="780"/>
    </w:p>
    <w:p w14:paraId="30F7B374" w14:textId="52FE42AA" w:rsidR="00FC0ECD" w:rsidRPr="00730B1E" w:rsidRDefault="00FC0ECD" w:rsidP="00EF7600">
      <w:r w:rsidRPr="00730B1E">
        <w:rPr>
          <w:noProof/>
          <w:lang w:eastAsia="cs-CZ"/>
        </w:rPr>
        <w:drawing>
          <wp:inline distT="0" distB="0" distL="0" distR="0" wp14:anchorId="39F9744D" wp14:editId="1DB20F36">
            <wp:extent cx="5029200" cy="3657600"/>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18FD64C" w14:textId="6896ABEA" w:rsidR="00FC0ECD" w:rsidRPr="00730B1E" w:rsidRDefault="00FC0ECD" w:rsidP="00FC0ECD">
      <w:pPr>
        <w:pStyle w:val="Podnadpis"/>
        <w:rPr>
          <w:color w:val="auto"/>
        </w:rPr>
      </w:pPr>
      <w:bookmarkStart w:id="781" w:name="_Toc106106804"/>
      <w:bookmarkStart w:id="782" w:name="_Toc109802127"/>
      <w:bookmarkStart w:id="783" w:name="_Toc144104285"/>
      <w:bookmarkStart w:id="784" w:name="_Toc169251097"/>
      <w:bookmarkStart w:id="785" w:name="_Toc174080783"/>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40</w:t>
      </w:r>
      <w:r w:rsidRPr="00730B1E">
        <w:rPr>
          <w:color w:val="auto"/>
        </w:rPr>
        <w:fldChar w:fldCharType="end"/>
      </w:r>
      <w:r w:rsidRPr="00730B1E">
        <w:rPr>
          <w:color w:val="auto"/>
        </w:rPr>
        <w:t>: KS – vyřizování prvostupňových civilních věcí dle soudů</w:t>
      </w:r>
      <w:bookmarkEnd w:id="781"/>
      <w:bookmarkEnd w:id="782"/>
      <w:bookmarkEnd w:id="783"/>
      <w:r w:rsidR="002C014C" w:rsidRPr="00730B1E">
        <w:rPr>
          <w:color w:val="auto"/>
        </w:rPr>
        <w:t>, 2023</w:t>
      </w:r>
      <w:bookmarkEnd w:id="784"/>
      <w:bookmarkEnd w:id="785"/>
    </w:p>
    <w:tbl>
      <w:tblPr>
        <w:tblW w:w="9140" w:type="dxa"/>
        <w:tblCellMar>
          <w:left w:w="70" w:type="dxa"/>
          <w:right w:w="70" w:type="dxa"/>
        </w:tblCellMar>
        <w:tblLook w:val="04A0" w:firstRow="1" w:lastRow="0" w:firstColumn="1" w:lastColumn="0" w:noHBand="0" w:noVBand="1"/>
      </w:tblPr>
      <w:tblGrid>
        <w:gridCol w:w="2020"/>
        <w:gridCol w:w="1006"/>
        <w:gridCol w:w="871"/>
        <w:gridCol w:w="1005"/>
        <w:gridCol w:w="871"/>
        <w:gridCol w:w="952"/>
        <w:gridCol w:w="875"/>
        <w:gridCol w:w="1540"/>
      </w:tblGrid>
      <w:tr w:rsidR="00B64E96" w:rsidRPr="00730B1E" w14:paraId="03952B0C" w14:textId="77777777" w:rsidTr="00FC0ECD">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1A8FE8CD" w14:textId="7F826272" w:rsidR="00FC0ECD" w:rsidRPr="00730B1E" w:rsidRDefault="00A26E6C" w:rsidP="00FC0ECD">
            <w:pPr>
              <w:spacing w:line="240" w:lineRule="auto"/>
              <w:jc w:val="center"/>
              <w:rPr>
                <w:rFonts w:eastAsia="Times New Roman"/>
                <w:b/>
                <w:bCs/>
                <w:szCs w:val="24"/>
                <w:lang w:eastAsia="cs-CZ"/>
              </w:rPr>
            </w:pPr>
            <w:r w:rsidRPr="00730B1E">
              <w:rPr>
                <w:rFonts w:eastAsia="Times New Roman"/>
                <w:b/>
                <w:bCs/>
                <w:szCs w:val="24"/>
                <w:lang w:eastAsia="cs-CZ"/>
              </w:rPr>
              <w:t>S</w:t>
            </w:r>
            <w:r w:rsidR="00FC0ECD" w:rsidRPr="00730B1E">
              <w:rPr>
                <w:rFonts w:eastAsia="Times New Roman"/>
                <w:b/>
                <w:bCs/>
                <w:szCs w:val="24"/>
                <w:lang w:eastAsia="cs-CZ"/>
              </w:rPr>
              <w:t>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1DE2B5C0" w14:textId="77777777"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1D633FD9" w14:textId="77777777"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46A38365" w14:textId="77777777" w:rsidTr="00FC0ECD">
        <w:trPr>
          <w:trHeight w:val="330"/>
        </w:trPr>
        <w:tc>
          <w:tcPr>
            <w:tcW w:w="2020" w:type="dxa"/>
            <w:vMerge/>
            <w:tcBorders>
              <w:top w:val="double" w:sz="6" w:space="0" w:color="auto"/>
              <w:left w:val="nil"/>
              <w:bottom w:val="double" w:sz="6" w:space="0" w:color="000000"/>
              <w:right w:val="nil"/>
            </w:tcBorders>
            <w:vAlign w:val="center"/>
            <w:hideMark/>
          </w:tcPr>
          <w:p w14:paraId="0CA11C37" w14:textId="77777777" w:rsidR="00FC0ECD" w:rsidRPr="00730B1E" w:rsidRDefault="00FC0ECD" w:rsidP="00FC0ECD">
            <w:pPr>
              <w:spacing w:line="240" w:lineRule="auto"/>
              <w:jc w:val="left"/>
              <w:rPr>
                <w:rFonts w:eastAsia="Times New Roman"/>
                <w:b/>
                <w:bCs/>
                <w:szCs w:val="24"/>
                <w:lang w:eastAsia="cs-CZ"/>
              </w:rPr>
            </w:pPr>
          </w:p>
        </w:tc>
        <w:tc>
          <w:tcPr>
            <w:tcW w:w="1877" w:type="dxa"/>
            <w:gridSpan w:val="2"/>
            <w:tcBorders>
              <w:top w:val="nil"/>
              <w:left w:val="nil"/>
              <w:bottom w:val="double" w:sz="6" w:space="0" w:color="auto"/>
              <w:right w:val="nil"/>
            </w:tcBorders>
            <w:shd w:val="clear" w:color="auto" w:fill="auto"/>
            <w:noWrap/>
            <w:vAlign w:val="center"/>
            <w:hideMark/>
          </w:tcPr>
          <w:p w14:paraId="1BC42DF1" w14:textId="01587EE7"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87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02346B9" w14:textId="77777777"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827" w:type="dxa"/>
            <w:gridSpan w:val="2"/>
            <w:tcBorders>
              <w:top w:val="nil"/>
              <w:left w:val="nil"/>
              <w:bottom w:val="double" w:sz="6" w:space="0" w:color="auto"/>
              <w:right w:val="single" w:sz="4" w:space="0" w:color="000000"/>
            </w:tcBorders>
            <w:shd w:val="clear" w:color="auto" w:fill="auto"/>
            <w:noWrap/>
            <w:vAlign w:val="center"/>
            <w:hideMark/>
          </w:tcPr>
          <w:p w14:paraId="745D0EAE" w14:textId="77777777"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3109237F" w14:textId="77777777" w:rsidR="00FC0ECD" w:rsidRPr="00730B1E" w:rsidRDefault="00FC0ECD" w:rsidP="00FC0ECD">
            <w:pPr>
              <w:spacing w:line="240" w:lineRule="auto"/>
              <w:jc w:val="left"/>
              <w:rPr>
                <w:rFonts w:eastAsia="Times New Roman"/>
                <w:b/>
                <w:bCs/>
                <w:szCs w:val="24"/>
                <w:lang w:eastAsia="cs-CZ"/>
              </w:rPr>
            </w:pPr>
          </w:p>
        </w:tc>
      </w:tr>
      <w:tr w:rsidR="00B64E96" w:rsidRPr="00730B1E" w14:paraId="6FCC6DD3" w14:textId="77777777" w:rsidTr="00FC0ECD">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9F4A5BE" w14:textId="77777777" w:rsidR="00FC0ECD" w:rsidRPr="00730B1E" w:rsidRDefault="00FC0ECD" w:rsidP="00FC0ECD">
            <w:pPr>
              <w:spacing w:line="240" w:lineRule="auto"/>
              <w:jc w:val="left"/>
              <w:rPr>
                <w:rFonts w:eastAsia="Times New Roman"/>
                <w:szCs w:val="24"/>
                <w:lang w:eastAsia="cs-CZ"/>
              </w:rPr>
            </w:pPr>
            <w:r w:rsidRPr="00730B1E">
              <w:rPr>
                <w:rFonts w:eastAsia="Times New Roman"/>
                <w:szCs w:val="24"/>
                <w:lang w:eastAsia="cs-CZ"/>
              </w:rPr>
              <w:t>MS Praha</w:t>
            </w:r>
          </w:p>
        </w:tc>
        <w:tc>
          <w:tcPr>
            <w:tcW w:w="1006" w:type="dxa"/>
            <w:tcBorders>
              <w:top w:val="single" w:sz="4" w:space="0" w:color="auto"/>
              <w:left w:val="nil"/>
              <w:bottom w:val="single" w:sz="4" w:space="0" w:color="auto"/>
              <w:right w:val="nil"/>
            </w:tcBorders>
            <w:shd w:val="clear" w:color="auto" w:fill="auto"/>
            <w:noWrap/>
            <w:vAlign w:val="bottom"/>
            <w:hideMark/>
          </w:tcPr>
          <w:p w14:paraId="09871AA8"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14 286</w:t>
            </w:r>
          </w:p>
        </w:tc>
        <w:tc>
          <w:tcPr>
            <w:tcW w:w="871" w:type="dxa"/>
            <w:tcBorders>
              <w:top w:val="single" w:sz="4" w:space="0" w:color="auto"/>
              <w:left w:val="nil"/>
              <w:bottom w:val="single" w:sz="4" w:space="0" w:color="auto"/>
              <w:right w:val="nil"/>
            </w:tcBorders>
            <w:shd w:val="clear" w:color="auto" w:fill="auto"/>
            <w:noWrap/>
            <w:vAlign w:val="center"/>
            <w:hideMark/>
          </w:tcPr>
          <w:p w14:paraId="1F164E17"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+21 %  </w:t>
            </w:r>
          </w:p>
        </w:tc>
        <w:tc>
          <w:tcPr>
            <w:tcW w:w="1005" w:type="dxa"/>
            <w:tcBorders>
              <w:top w:val="single" w:sz="4" w:space="0" w:color="auto"/>
              <w:left w:val="single" w:sz="4" w:space="0" w:color="auto"/>
              <w:bottom w:val="single" w:sz="4" w:space="0" w:color="auto"/>
              <w:right w:val="nil"/>
            </w:tcBorders>
            <w:shd w:val="clear" w:color="auto" w:fill="auto"/>
            <w:noWrap/>
            <w:vAlign w:val="bottom"/>
            <w:hideMark/>
          </w:tcPr>
          <w:p w14:paraId="35BE7E88"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13 391</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14:paraId="6808E765"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952" w:type="dxa"/>
            <w:tcBorders>
              <w:top w:val="single" w:sz="4" w:space="0" w:color="auto"/>
              <w:left w:val="nil"/>
              <w:bottom w:val="single" w:sz="4" w:space="0" w:color="auto"/>
              <w:right w:val="nil"/>
            </w:tcBorders>
            <w:shd w:val="clear" w:color="auto" w:fill="auto"/>
            <w:noWrap/>
            <w:vAlign w:val="bottom"/>
            <w:hideMark/>
          </w:tcPr>
          <w:p w14:paraId="38A1EC2D"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6 309</w:t>
            </w:r>
          </w:p>
        </w:tc>
        <w:tc>
          <w:tcPr>
            <w:tcW w:w="875" w:type="dxa"/>
            <w:tcBorders>
              <w:top w:val="single" w:sz="4" w:space="0" w:color="auto"/>
              <w:left w:val="nil"/>
              <w:bottom w:val="single" w:sz="4" w:space="0" w:color="auto"/>
              <w:right w:val="single" w:sz="4" w:space="0" w:color="auto"/>
            </w:tcBorders>
            <w:shd w:val="clear" w:color="auto" w:fill="auto"/>
            <w:noWrap/>
            <w:vAlign w:val="center"/>
            <w:hideMark/>
          </w:tcPr>
          <w:p w14:paraId="36EE5610"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1540" w:type="dxa"/>
            <w:tcBorders>
              <w:top w:val="nil"/>
              <w:left w:val="nil"/>
              <w:bottom w:val="single" w:sz="4" w:space="0" w:color="auto"/>
              <w:right w:val="nil"/>
            </w:tcBorders>
            <w:shd w:val="clear" w:color="auto" w:fill="auto"/>
            <w:noWrap/>
            <w:vAlign w:val="center"/>
            <w:hideMark/>
          </w:tcPr>
          <w:p w14:paraId="706863E0" w14:textId="63A8985C"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93,7 %</w:t>
            </w:r>
          </w:p>
        </w:tc>
      </w:tr>
      <w:tr w:rsidR="00B64E96" w:rsidRPr="00730B1E" w14:paraId="71B637BC" w14:textId="77777777" w:rsidTr="00FC0ECD">
        <w:trPr>
          <w:trHeight w:val="315"/>
        </w:trPr>
        <w:tc>
          <w:tcPr>
            <w:tcW w:w="2020" w:type="dxa"/>
            <w:tcBorders>
              <w:top w:val="nil"/>
              <w:left w:val="nil"/>
              <w:bottom w:val="single" w:sz="4" w:space="0" w:color="auto"/>
              <w:right w:val="nil"/>
            </w:tcBorders>
            <w:shd w:val="clear" w:color="auto" w:fill="auto"/>
            <w:noWrap/>
            <w:vAlign w:val="bottom"/>
            <w:hideMark/>
          </w:tcPr>
          <w:p w14:paraId="109E35C3" w14:textId="77777777" w:rsidR="00FC0ECD" w:rsidRPr="00730B1E" w:rsidRDefault="00FC0ECD" w:rsidP="00FC0ECD">
            <w:pPr>
              <w:spacing w:line="240" w:lineRule="auto"/>
              <w:jc w:val="left"/>
              <w:rPr>
                <w:rFonts w:eastAsia="Times New Roman"/>
                <w:szCs w:val="24"/>
                <w:lang w:eastAsia="cs-CZ"/>
              </w:rPr>
            </w:pPr>
            <w:r w:rsidRPr="00730B1E">
              <w:rPr>
                <w:rFonts w:eastAsia="Times New Roman"/>
                <w:szCs w:val="24"/>
                <w:lang w:eastAsia="cs-CZ"/>
              </w:rPr>
              <w:t>KS Praha</w:t>
            </w:r>
          </w:p>
        </w:tc>
        <w:tc>
          <w:tcPr>
            <w:tcW w:w="1006" w:type="dxa"/>
            <w:tcBorders>
              <w:top w:val="nil"/>
              <w:left w:val="nil"/>
              <w:bottom w:val="single" w:sz="4" w:space="0" w:color="auto"/>
              <w:right w:val="nil"/>
            </w:tcBorders>
            <w:shd w:val="clear" w:color="auto" w:fill="auto"/>
            <w:noWrap/>
            <w:vAlign w:val="bottom"/>
            <w:hideMark/>
          </w:tcPr>
          <w:p w14:paraId="208121EE"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492</w:t>
            </w:r>
          </w:p>
        </w:tc>
        <w:tc>
          <w:tcPr>
            <w:tcW w:w="871" w:type="dxa"/>
            <w:tcBorders>
              <w:top w:val="nil"/>
              <w:left w:val="nil"/>
              <w:bottom w:val="single" w:sz="4" w:space="0" w:color="auto"/>
              <w:right w:val="nil"/>
            </w:tcBorders>
            <w:shd w:val="clear" w:color="auto" w:fill="auto"/>
            <w:noWrap/>
            <w:vAlign w:val="center"/>
            <w:hideMark/>
          </w:tcPr>
          <w:p w14:paraId="14FF61C2"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1005" w:type="dxa"/>
            <w:tcBorders>
              <w:top w:val="nil"/>
              <w:left w:val="single" w:sz="4" w:space="0" w:color="auto"/>
              <w:bottom w:val="single" w:sz="4" w:space="0" w:color="auto"/>
              <w:right w:val="nil"/>
            </w:tcBorders>
            <w:shd w:val="clear" w:color="auto" w:fill="auto"/>
            <w:noWrap/>
            <w:vAlign w:val="bottom"/>
            <w:hideMark/>
          </w:tcPr>
          <w:p w14:paraId="24560F18"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536</w:t>
            </w:r>
          </w:p>
        </w:tc>
        <w:tc>
          <w:tcPr>
            <w:tcW w:w="871" w:type="dxa"/>
            <w:tcBorders>
              <w:top w:val="nil"/>
              <w:left w:val="nil"/>
              <w:bottom w:val="single" w:sz="4" w:space="0" w:color="auto"/>
              <w:right w:val="single" w:sz="4" w:space="0" w:color="auto"/>
            </w:tcBorders>
            <w:shd w:val="clear" w:color="auto" w:fill="auto"/>
            <w:noWrap/>
            <w:vAlign w:val="center"/>
            <w:hideMark/>
          </w:tcPr>
          <w:p w14:paraId="148DC75D"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-22 %  </w:t>
            </w:r>
          </w:p>
        </w:tc>
        <w:tc>
          <w:tcPr>
            <w:tcW w:w="952" w:type="dxa"/>
            <w:tcBorders>
              <w:top w:val="nil"/>
              <w:left w:val="nil"/>
              <w:bottom w:val="single" w:sz="4" w:space="0" w:color="auto"/>
              <w:right w:val="nil"/>
            </w:tcBorders>
            <w:shd w:val="clear" w:color="auto" w:fill="auto"/>
            <w:noWrap/>
            <w:vAlign w:val="bottom"/>
            <w:hideMark/>
          </w:tcPr>
          <w:p w14:paraId="1E2604BE"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230</w:t>
            </w:r>
          </w:p>
        </w:tc>
        <w:tc>
          <w:tcPr>
            <w:tcW w:w="875" w:type="dxa"/>
            <w:tcBorders>
              <w:top w:val="nil"/>
              <w:left w:val="nil"/>
              <w:bottom w:val="single" w:sz="4" w:space="0" w:color="auto"/>
              <w:right w:val="single" w:sz="4" w:space="0" w:color="auto"/>
            </w:tcBorders>
            <w:shd w:val="clear" w:color="auto" w:fill="auto"/>
            <w:noWrap/>
            <w:vAlign w:val="center"/>
            <w:hideMark/>
          </w:tcPr>
          <w:p w14:paraId="3390AB37"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c>
          <w:tcPr>
            <w:tcW w:w="1540" w:type="dxa"/>
            <w:tcBorders>
              <w:top w:val="nil"/>
              <w:left w:val="nil"/>
              <w:bottom w:val="single" w:sz="4" w:space="0" w:color="auto"/>
              <w:right w:val="nil"/>
            </w:tcBorders>
            <w:shd w:val="clear" w:color="auto" w:fill="auto"/>
            <w:noWrap/>
            <w:vAlign w:val="center"/>
            <w:hideMark/>
          </w:tcPr>
          <w:p w14:paraId="50052DAD" w14:textId="0CEB6D33"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108,9 %</w:t>
            </w:r>
          </w:p>
        </w:tc>
      </w:tr>
      <w:tr w:rsidR="00B64E96" w:rsidRPr="00730B1E" w14:paraId="2C926235" w14:textId="77777777" w:rsidTr="00FC0ECD">
        <w:trPr>
          <w:trHeight w:val="315"/>
        </w:trPr>
        <w:tc>
          <w:tcPr>
            <w:tcW w:w="2020" w:type="dxa"/>
            <w:tcBorders>
              <w:top w:val="nil"/>
              <w:left w:val="nil"/>
              <w:bottom w:val="single" w:sz="4" w:space="0" w:color="auto"/>
              <w:right w:val="nil"/>
            </w:tcBorders>
            <w:shd w:val="clear" w:color="auto" w:fill="auto"/>
            <w:noWrap/>
            <w:vAlign w:val="bottom"/>
            <w:hideMark/>
          </w:tcPr>
          <w:p w14:paraId="76852B18" w14:textId="77777777" w:rsidR="00FC0ECD" w:rsidRPr="00730B1E" w:rsidRDefault="00FC0ECD" w:rsidP="00FC0ECD">
            <w:pPr>
              <w:spacing w:line="240" w:lineRule="auto"/>
              <w:jc w:val="left"/>
              <w:rPr>
                <w:rFonts w:eastAsia="Times New Roman"/>
                <w:szCs w:val="24"/>
                <w:lang w:eastAsia="cs-CZ"/>
              </w:rPr>
            </w:pPr>
            <w:r w:rsidRPr="00730B1E">
              <w:rPr>
                <w:rFonts w:eastAsia="Times New Roman"/>
                <w:szCs w:val="24"/>
                <w:lang w:eastAsia="cs-CZ"/>
              </w:rPr>
              <w:t>KS Č. Budějovice</w:t>
            </w:r>
          </w:p>
        </w:tc>
        <w:tc>
          <w:tcPr>
            <w:tcW w:w="1006" w:type="dxa"/>
            <w:tcBorders>
              <w:top w:val="nil"/>
              <w:left w:val="nil"/>
              <w:bottom w:val="single" w:sz="4" w:space="0" w:color="auto"/>
              <w:right w:val="nil"/>
            </w:tcBorders>
            <w:shd w:val="clear" w:color="auto" w:fill="auto"/>
            <w:noWrap/>
            <w:vAlign w:val="bottom"/>
            <w:hideMark/>
          </w:tcPr>
          <w:p w14:paraId="6DD32509"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437</w:t>
            </w:r>
          </w:p>
        </w:tc>
        <w:tc>
          <w:tcPr>
            <w:tcW w:w="871" w:type="dxa"/>
            <w:tcBorders>
              <w:top w:val="nil"/>
              <w:left w:val="nil"/>
              <w:bottom w:val="single" w:sz="4" w:space="0" w:color="auto"/>
              <w:right w:val="nil"/>
            </w:tcBorders>
            <w:shd w:val="clear" w:color="auto" w:fill="auto"/>
            <w:noWrap/>
            <w:vAlign w:val="center"/>
            <w:hideMark/>
          </w:tcPr>
          <w:p w14:paraId="5840CB12"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05" w:type="dxa"/>
            <w:tcBorders>
              <w:top w:val="nil"/>
              <w:left w:val="single" w:sz="4" w:space="0" w:color="auto"/>
              <w:bottom w:val="single" w:sz="4" w:space="0" w:color="auto"/>
              <w:right w:val="nil"/>
            </w:tcBorders>
            <w:shd w:val="clear" w:color="auto" w:fill="auto"/>
            <w:noWrap/>
            <w:vAlign w:val="bottom"/>
            <w:hideMark/>
          </w:tcPr>
          <w:p w14:paraId="48BB54AB"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434</w:t>
            </w:r>
          </w:p>
        </w:tc>
        <w:tc>
          <w:tcPr>
            <w:tcW w:w="871" w:type="dxa"/>
            <w:tcBorders>
              <w:top w:val="nil"/>
              <w:left w:val="nil"/>
              <w:bottom w:val="single" w:sz="4" w:space="0" w:color="auto"/>
              <w:right w:val="single" w:sz="4" w:space="0" w:color="auto"/>
            </w:tcBorders>
            <w:shd w:val="clear" w:color="auto" w:fill="auto"/>
            <w:noWrap/>
            <w:vAlign w:val="center"/>
            <w:hideMark/>
          </w:tcPr>
          <w:p w14:paraId="55AC09DF"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952" w:type="dxa"/>
            <w:tcBorders>
              <w:top w:val="nil"/>
              <w:left w:val="nil"/>
              <w:bottom w:val="single" w:sz="4" w:space="0" w:color="auto"/>
              <w:right w:val="nil"/>
            </w:tcBorders>
            <w:shd w:val="clear" w:color="auto" w:fill="auto"/>
            <w:noWrap/>
            <w:vAlign w:val="bottom"/>
            <w:hideMark/>
          </w:tcPr>
          <w:p w14:paraId="4403A37A"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295</w:t>
            </w:r>
          </w:p>
        </w:tc>
        <w:tc>
          <w:tcPr>
            <w:tcW w:w="875" w:type="dxa"/>
            <w:tcBorders>
              <w:top w:val="nil"/>
              <w:left w:val="nil"/>
              <w:bottom w:val="single" w:sz="4" w:space="0" w:color="auto"/>
              <w:right w:val="single" w:sz="4" w:space="0" w:color="auto"/>
            </w:tcBorders>
            <w:shd w:val="clear" w:color="auto" w:fill="auto"/>
            <w:noWrap/>
            <w:vAlign w:val="center"/>
            <w:hideMark/>
          </w:tcPr>
          <w:p w14:paraId="5AA355A3"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540" w:type="dxa"/>
            <w:tcBorders>
              <w:top w:val="nil"/>
              <w:left w:val="nil"/>
              <w:bottom w:val="single" w:sz="4" w:space="0" w:color="auto"/>
              <w:right w:val="nil"/>
            </w:tcBorders>
            <w:shd w:val="clear" w:color="auto" w:fill="auto"/>
            <w:noWrap/>
            <w:vAlign w:val="center"/>
            <w:hideMark/>
          </w:tcPr>
          <w:p w14:paraId="471931A5" w14:textId="3BC19CD5"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99,3 %</w:t>
            </w:r>
          </w:p>
        </w:tc>
      </w:tr>
      <w:tr w:rsidR="00B64E96" w:rsidRPr="00730B1E" w14:paraId="5838321A" w14:textId="77777777" w:rsidTr="00FC0ECD">
        <w:trPr>
          <w:trHeight w:val="315"/>
        </w:trPr>
        <w:tc>
          <w:tcPr>
            <w:tcW w:w="2020" w:type="dxa"/>
            <w:tcBorders>
              <w:top w:val="nil"/>
              <w:left w:val="nil"/>
              <w:bottom w:val="single" w:sz="4" w:space="0" w:color="auto"/>
              <w:right w:val="nil"/>
            </w:tcBorders>
            <w:shd w:val="clear" w:color="auto" w:fill="auto"/>
            <w:noWrap/>
            <w:vAlign w:val="bottom"/>
            <w:hideMark/>
          </w:tcPr>
          <w:p w14:paraId="06CE47E0" w14:textId="77777777" w:rsidR="00FC0ECD" w:rsidRPr="00730B1E" w:rsidRDefault="00FC0ECD" w:rsidP="00FC0ECD">
            <w:pPr>
              <w:spacing w:line="240" w:lineRule="auto"/>
              <w:jc w:val="left"/>
              <w:rPr>
                <w:rFonts w:eastAsia="Times New Roman"/>
                <w:szCs w:val="24"/>
                <w:lang w:eastAsia="cs-CZ"/>
              </w:rPr>
            </w:pPr>
            <w:r w:rsidRPr="00730B1E">
              <w:rPr>
                <w:rFonts w:eastAsia="Times New Roman"/>
                <w:szCs w:val="24"/>
                <w:lang w:eastAsia="cs-CZ"/>
              </w:rPr>
              <w:t>KS Plzeň</w:t>
            </w:r>
          </w:p>
        </w:tc>
        <w:tc>
          <w:tcPr>
            <w:tcW w:w="1006" w:type="dxa"/>
            <w:tcBorders>
              <w:top w:val="nil"/>
              <w:left w:val="nil"/>
              <w:bottom w:val="single" w:sz="4" w:space="0" w:color="auto"/>
              <w:right w:val="nil"/>
            </w:tcBorders>
            <w:shd w:val="clear" w:color="auto" w:fill="auto"/>
            <w:noWrap/>
            <w:vAlign w:val="bottom"/>
            <w:hideMark/>
          </w:tcPr>
          <w:p w14:paraId="32A80DD4"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1 161</w:t>
            </w:r>
          </w:p>
        </w:tc>
        <w:tc>
          <w:tcPr>
            <w:tcW w:w="871" w:type="dxa"/>
            <w:tcBorders>
              <w:top w:val="nil"/>
              <w:left w:val="nil"/>
              <w:bottom w:val="single" w:sz="4" w:space="0" w:color="auto"/>
              <w:right w:val="nil"/>
            </w:tcBorders>
            <w:shd w:val="clear" w:color="auto" w:fill="auto"/>
            <w:noWrap/>
            <w:vAlign w:val="center"/>
            <w:hideMark/>
          </w:tcPr>
          <w:p w14:paraId="7427535B"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005" w:type="dxa"/>
            <w:tcBorders>
              <w:top w:val="nil"/>
              <w:left w:val="single" w:sz="4" w:space="0" w:color="auto"/>
              <w:bottom w:val="single" w:sz="4" w:space="0" w:color="auto"/>
              <w:right w:val="nil"/>
            </w:tcBorders>
            <w:shd w:val="clear" w:color="auto" w:fill="auto"/>
            <w:noWrap/>
            <w:vAlign w:val="bottom"/>
            <w:hideMark/>
          </w:tcPr>
          <w:p w14:paraId="23B5C5FE"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854</w:t>
            </w:r>
          </w:p>
        </w:tc>
        <w:tc>
          <w:tcPr>
            <w:tcW w:w="871" w:type="dxa"/>
            <w:tcBorders>
              <w:top w:val="nil"/>
              <w:left w:val="nil"/>
              <w:bottom w:val="single" w:sz="4" w:space="0" w:color="auto"/>
              <w:right w:val="single" w:sz="4" w:space="0" w:color="auto"/>
            </w:tcBorders>
            <w:shd w:val="clear" w:color="auto" w:fill="auto"/>
            <w:noWrap/>
            <w:vAlign w:val="center"/>
            <w:hideMark/>
          </w:tcPr>
          <w:p w14:paraId="0F796589"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-26 %  </w:t>
            </w:r>
          </w:p>
        </w:tc>
        <w:tc>
          <w:tcPr>
            <w:tcW w:w="952" w:type="dxa"/>
            <w:tcBorders>
              <w:top w:val="nil"/>
              <w:left w:val="nil"/>
              <w:bottom w:val="single" w:sz="4" w:space="0" w:color="auto"/>
              <w:right w:val="nil"/>
            </w:tcBorders>
            <w:shd w:val="clear" w:color="auto" w:fill="auto"/>
            <w:noWrap/>
            <w:vAlign w:val="bottom"/>
            <w:hideMark/>
          </w:tcPr>
          <w:p w14:paraId="3F38FE74"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1 021</w:t>
            </w:r>
          </w:p>
        </w:tc>
        <w:tc>
          <w:tcPr>
            <w:tcW w:w="875" w:type="dxa"/>
            <w:tcBorders>
              <w:top w:val="nil"/>
              <w:left w:val="nil"/>
              <w:bottom w:val="single" w:sz="4" w:space="0" w:color="auto"/>
              <w:right w:val="single" w:sz="4" w:space="0" w:color="auto"/>
            </w:tcBorders>
            <w:shd w:val="clear" w:color="auto" w:fill="auto"/>
            <w:noWrap/>
            <w:vAlign w:val="center"/>
            <w:hideMark/>
          </w:tcPr>
          <w:p w14:paraId="08867F23"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+43 %  </w:t>
            </w:r>
          </w:p>
        </w:tc>
        <w:tc>
          <w:tcPr>
            <w:tcW w:w="1540" w:type="dxa"/>
            <w:tcBorders>
              <w:top w:val="nil"/>
              <w:left w:val="nil"/>
              <w:bottom w:val="single" w:sz="4" w:space="0" w:color="auto"/>
              <w:right w:val="nil"/>
            </w:tcBorders>
            <w:shd w:val="clear" w:color="auto" w:fill="auto"/>
            <w:noWrap/>
            <w:vAlign w:val="center"/>
            <w:hideMark/>
          </w:tcPr>
          <w:p w14:paraId="2AC810C5" w14:textId="5D5C134F"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73,6 %</w:t>
            </w:r>
          </w:p>
        </w:tc>
      </w:tr>
      <w:tr w:rsidR="00B64E96" w:rsidRPr="00730B1E" w14:paraId="2B8EFEA2" w14:textId="77777777" w:rsidTr="00FC0ECD">
        <w:trPr>
          <w:trHeight w:val="315"/>
        </w:trPr>
        <w:tc>
          <w:tcPr>
            <w:tcW w:w="2020" w:type="dxa"/>
            <w:tcBorders>
              <w:top w:val="nil"/>
              <w:left w:val="nil"/>
              <w:bottom w:val="single" w:sz="4" w:space="0" w:color="auto"/>
              <w:right w:val="nil"/>
            </w:tcBorders>
            <w:shd w:val="clear" w:color="auto" w:fill="auto"/>
            <w:noWrap/>
            <w:vAlign w:val="bottom"/>
            <w:hideMark/>
          </w:tcPr>
          <w:p w14:paraId="7EE6F5CB" w14:textId="77777777" w:rsidR="00FC0ECD" w:rsidRPr="00730B1E" w:rsidRDefault="00FC0ECD" w:rsidP="00FC0ECD">
            <w:pPr>
              <w:spacing w:line="240" w:lineRule="auto"/>
              <w:jc w:val="left"/>
              <w:rPr>
                <w:rFonts w:eastAsia="Times New Roman"/>
                <w:szCs w:val="24"/>
                <w:lang w:eastAsia="cs-CZ"/>
              </w:rPr>
            </w:pPr>
            <w:r w:rsidRPr="00730B1E">
              <w:rPr>
                <w:rFonts w:eastAsia="Times New Roman"/>
                <w:szCs w:val="24"/>
                <w:lang w:eastAsia="cs-CZ"/>
              </w:rPr>
              <w:t>KS Ústí n. Labem</w:t>
            </w:r>
          </w:p>
        </w:tc>
        <w:tc>
          <w:tcPr>
            <w:tcW w:w="1006" w:type="dxa"/>
            <w:tcBorders>
              <w:top w:val="nil"/>
              <w:left w:val="nil"/>
              <w:bottom w:val="single" w:sz="4" w:space="0" w:color="auto"/>
              <w:right w:val="nil"/>
            </w:tcBorders>
            <w:shd w:val="clear" w:color="auto" w:fill="auto"/>
            <w:noWrap/>
            <w:vAlign w:val="bottom"/>
            <w:hideMark/>
          </w:tcPr>
          <w:p w14:paraId="7D707197"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2 183</w:t>
            </w:r>
          </w:p>
        </w:tc>
        <w:tc>
          <w:tcPr>
            <w:tcW w:w="871" w:type="dxa"/>
            <w:tcBorders>
              <w:top w:val="nil"/>
              <w:left w:val="nil"/>
              <w:bottom w:val="single" w:sz="4" w:space="0" w:color="auto"/>
              <w:right w:val="nil"/>
            </w:tcBorders>
            <w:shd w:val="clear" w:color="auto" w:fill="auto"/>
            <w:noWrap/>
            <w:vAlign w:val="center"/>
            <w:hideMark/>
          </w:tcPr>
          <w:p w14:paraId="5DC2B001"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+44 %  </w:t>
            </w:r>
          </w:p>
        </w:tc>
        <w:tc>
          <w:tcPr>
            <w:tcW w:w="1005" w:type="dxa"/>
            <w:tcBorders>
              <w:top w:val="nil"/>
              <w:left w:val="single" w:sz="4" w:space="0" w:color="auto"/>
              <w:bottom w:val="single" w:sz="4" w:space="0" w:color="auto"/>
              <w:right w:val="nil"/>
            </w:tcBorders>
            <w:shd w:val="clear" w:color="auto" w:fill="auto"/>
            <w:noWrap/>
            <w:vAlign w:val="bottom"/>
            <w:hideMark/>
          </w:tcPr>
          <w:p w14:paraId="10E703D6"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1 405</w:t>
            </w:r>
          </w:p>
        </w:tc>
        <w:tc>
          <w:tcPr>
            <w:tcW w:w="871" w:type="dxa"/>
            <w:tcBorders>
              <w:top w:val="nil"/>
              <w:left w:val="nil"/>
              <w:bottom w:val="single" w:sz="4" w:space="0" w:color="auto"/>
              <w:right w:val="single" w:sz="4" w:space="0" w:color="auto"/>
            </w:tcBorders>
            <w:shd w:val="clear" w:color="auto" w:fill="auto"/>
            <w:noWrap/>
            <w:vAlign w:val="center"/>
            <w:hideMark/>
          </w:tcPr>
          <w:p w14:paraId="098AEAAF"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952" w:type="dxa"/>
            <w:tcBorders>
              <w:top w:val="nil"/>
              <w:left w:val="nil"/>
              <w:bottom w:val="single" w:sz="4" w:space="0" w:color="auto"/>
              <w:right w:val="nil"/>
            </w:tcBorders>
            <w:shd w:val="clear" w:color="auto" w:fill="auto"/>
            <w:noWrap/>
            <w:vAlign w:val="bottom"/>
            <w:hideMark/>
          </w:tcPr>
          <w:p w14:paraId="3159E90F"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2 194</w:t>
            </w:r>
          </w:p>
        </w:tc>
        <w:tc>
          <w:tcPr>
            <w:tcW w:w="875" w:type="dxa"/>
            <w:tcBorders>
              <w:top w:val="nil"/>
              <w:left w:val="nil"/>
              <w:bottom w:val="single" w:sz="4" w:space="0" w:color="auto"/>
              <w:right w:val="single" w:sz="4" w:space="0" w:color="auto"/>
            </w:tcBorders>
            <w:shd w:val="clear" w:color="auto" w:fill="auto"/>
            <w:noWrap/>
            <w:vAlign w:val="center"/>
            <w:hideMark/>
          </w:tcPr>
          <w:p w14:paraId="614EA1BD"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+55 %  </w:t>
            </w:r>
          </w:p>
        </w:tc>
        <w:tc>
          <w:tcPr>
            <w:tcW w:w="1540" w:type="dxa"/>
            <w:tcBorders>
              <w:top w:val="nil"/>
              <w:left w:val="nil"/>
              <w:bottom w:val="single" w:sz="4" w:space="0" w:color="auto"/>
              <w:right w:val="nil"/>
            </w:tcBorders>
            <w:shd w:val="clear" w:color="auto" w:fill="auto"/>
            <w:noWrap/>
            <w:vAlign w:val="center"/>
            <w:hideMark/>
          </w:tcPr>
          <w:p w14:paraId="209FBFD4" w14:textId="148DB826"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64,4 %</w:t>
            </w:r>
          </w:p>
        </w:tc>
      </w:tr>
      <w:tr w:rsidR="00B64E96" w:rsidRPr="00730B1E" w14:paraId="6E599FE4" w14:textId="77777777" w:rsidTr="00FC0ECD">
        <w:trPr>
          <w:trHeight w:val="315"/>
        </w:trPr>
        <w:tc>
          <w:tcPr>
            <w:tcW w:w="2020" w:type="dxa"/>
            <w:tcBorders>
              <w:top w:val="nil"/>
              <w:left w:val="nil"/>
              <w:bottom w:val="single" w:sz="4" w:space="0" w:color="auto"/>
              <w:right w:val="nil"/>
            </w:tcBorders>
            <w:shd w:val="clear" w:color="auto" w:fill="auto"/>
            <w:noWrap/>
            <w:vAlign w:val="bottom"/>
            <w:hideMark/>
          </w:tcPr>
          <w:p w14:paraId="27CB65CB" w14:textId="77777777" w:rsidR="00FC0ECD" w:rsidRPr="00730B1E" w:rsidRDefault="00FC0ECD" w:rsidP="00FC0ECD">
            <w:pPr>
              <w:spacing w:line="240" w:lineRule="auto"/>
              <w:jc w:val="left"/>
              <w:rPr>
                <w:rFonts w:eastAsia="Times New Roman"/>
                <w:szCs w:val="24"/>
                <w:lang w:eastAsia="cs-CZ"/>
              </w:rPr>
            </w:pPr>
            <w:r w:rsidRPr="00730B1E">
              <w:rPr>
                <w:rFonts w:eastAsia="Times New Roman"/>
                <w:szCs w:val="24"/>
                <w:lang w:eastAsia="cs-CZ"/>
              </w:rPr>
              <w:t>KS Hr. Králové</w:t>
            </w:r>
          </w:p>
        </w:tc>
        <w:tc>
          <w:tcPr>
            <w:tcW w:w="1006" w:type="dxa"/>
            <w:tcBorders>
              <w:top w:val="nil"/>
              <w:left w:val="nil"/>
              <w:bottom w:val="single" w:sz="4" w:space="0" w:color="auto"/>
              <w:right w:val="nil"/>
            </w:tcBorders>
            <w:shd w:val="clear" w:color="auto" w:fill="auto"/>
            <w:noWrap/>
            <w:vAlign w:val="bottom"/>
            <w:hideMark/>
          </w:tcPr>
          <w:p w14:paraId="410CE786"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2 985</w:t>
            </w:r>
          </w:p>
        </w:tc>
        <w:tc>
          <w:tcPr>
            <w:tcW w:w="871" w:type="dxa"/>
            <w:tcBorders>
              <w:top w:val="nil"/>
              <w:left w:val="nil"/>
              <w:bottom w:val="single" w:sz="4" w:space="0" w:color="auto"/>
              <w:right w:val="nil"/>
            </w:tcBorders>
            <w:shd w:val="clear" w:color="auto" w:fill="auto"/>
            <w:noWrap/>
            <w:vAlign w:val="center"/>
            <w:hideMark/>
          </w:tcPr>
          <w:p w14:paraId="271AE429"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+33 %  </w:t>
            </w:r>
          </w:p>
        </w:tc>
        <w:tc>
          <w:tcPr>
            <w:tcW w:w="1005" w:type="dxa"/>
            <w:tcBorders>
              <w:top w:val="nil"/>
              <w:left w:val="single" w:sz="4" w:space="0" w:color="auto"/>
              <w:bottom w:val="single" w:sz="4" w:space="0" w:color="auto"/>
              <w:right w:val="nil"/>
            </w:tcBorders>
            <w:shd w:val="clear" w:color="auto" w:fill="auto"/>
            <w:noWrap/>
            <w:vAlign w:val="bottom"/>
            <w:hideMark/>
          </w:tcPr>
          <w:p w14:paraId="4DAFC2A0"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2 208</w:t>
            </w:r>
          </w:p>
        </w:tc>
        <w:tc>
          <w:tcPr>
            <w:tcW w:w="871" w:type="dxa"/>
            <w:tcBorders>
              <w:top w:val="nil"/>
              <w:left w:val="nil"/>
              <w:bottom w:val="single" w:sz="4" w:space="0" w:color="auto"/>
              <w:right w:val="single" w:sz="4" w:space="0" w:color="auto"/>
            </w:tcBorders>
            <w:shd w:val="clear" w:color="auto" w:fill="auto"/>
            <w:noWrap/>
            <w:vAlign w:val="center"/>
            <w:hideMark/>
          </w:tcPr>
          <w:p w14:paraId="6ACA43C6"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952" w:type="dxa"/>
            <w:tcBorders>
              <w:top w:val="nil"/>
              <w:left w:val="nil"/>
              <w:bottom w:val="single" w:sz="4" w:space="0" w:color="auto"/>
              <w:right w:val="nil"/>
            </w:tcBorders>
            <w:shd w:val="clear" w:color="auto" w:fill="auto"/>
            <w:noWrap/>
            <w:vAlign w:val="bottom"/>
            <w:hideMark/>
          </w:tcPr>
          <w:p w14:paraId="6C96DFFD"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2 049</w:t>
            </w:r>
          </w:p>
        </w:tc>
        <w:tc>
          <w:tcPr>
            <w:tcW w:w="875" w:type="dxa"/>
            <w:tcBorders>
              <w:top w:val="nil"/>
              <w:left w:val="nil"/>
              <w:bottom w:val="single" w:sz="4" w:space="0" w:color="auto"/>
              <w:right w:val="single" w:sz="4" w:space="0" w:color="auto"/>
            </w:tcBorders>
            <w:shd w:val="clear" w:color="auto" w:fill="auto"/>
            <w:noWrap/>
            <w:vAlign w:val="center"/>
            <w:hideMark/>
          </w:tcPr>
          <w:p w14:paraId="731BDDD3"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+61 %  </w:t>
            </w:r>
          </w:p>
        </w:tc>
        <w:tc>
          <w:tcPr>
            <w:tcW w:w="1540" w:type="dxa"/>
            <w:tcBorders>
              <w:top w:val="nil"/>
              <w:left w:val="nil"/>
              <w:bottom w:val="single" w:sz="4" w:space="0" w:color="auto"/>
              <w:right w:val="nil"/>
            </w:tcBorders>
            <w:shd w:val="clear" w:color="auto" w:fill="auto"/>
            <w:noWrap/>
            <w:vAlign w:val="center"/>
            <w:hideMark/>
          </w:tcPr>
          <w:p w14:paraId="0F19DDAB" w14:textId="3906F7A3"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74,0 %</w:t>
            </w:r>
          </w:p>
        </w:tc>
      </w:tr>
      <w:tr w:rsidR="00B64E96" w:rsidRPr="00730B1E" w14:paraId="41753281" w14:textId="77777777" w:rsidTr="00FC0ECD">
        <w:trPr>
          <w:trHeight w:val="315"/>
        </w:trPr>
        <w:tc>
          <w:tcPr>
            <w:tcW w:w="2020" w:type="dxa"/>
            <w:tcBorders>
              <w:top w:val="nil"/>
              <w:left w:val="nil"/>
              <w:bottom w:val="single" w:sz="4" w:space="0" w:color="auto"/>
              <w:right w:val="nil"/>
            </w:tcBorders>
            <w:shd w:val="clear" w:color="auto" w:fill="auto"/>
            <w:noWrap/>
            <w:vAlign w:val="bottom"/>
            <w:hideMark/>
          </w:tcPr>
          <w:p w14:paraId="7F57E58F" w14:textId="77777777" w:rsidR="00FC0ECD" w:rsidRPr="00730B1E" w:rsidRDefault="00FC0ECD" w:rsidP="00FC0ECD">
            <w:pPr>
              <w:spacing w:line="240" w:lineRule="auto"/>
              <w:jc w:val="left"/>
              <w:rPr>
                <w:rFonts w:eastAsia="Times New Roman"/>
                <w:szCs w:val="24"/>
                <w:lang w:eastAsia="cs-CZ"/>
              </w:rPr>
            </w:pPr>
            <w:r w:rsidRPr="00730B1E">
              <w:rPr>
                <w:rFonts w:eastAsia="Times New Roman"/>
                <w:szCs w:val="24"/>
                <w:lang w:eastAsia="cs-CZ"/>
              </w:rPr>
              <w:t>KS Brno</w:t>
            </w:r>
          </w:p>
        </w:tc>
        <w:tc>
          <w:tcPr>
            <w:tcW w:w="1006" w:type="dxa"/>
            <w:tcBorders>
              <w:top w:val="nil"/>
              <w:left w:val="nil"/>
              <w:bottom w:val="single" w:sz="4" w:space="0" w:color="auto"/>
              <w:right w:val="nil"/>
            </w:tcBorders>
            <w:shd w:val="clear" w:color="auto" w:fill="auto"/>
            <w:noWrap/>
            <w:vAlign w:val="bottom"/>
            <w:hideMark/>
          </w:tcPr>
          <w:p w14:paraId="6A0EA957"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3 047</w:t>
            </w:r>
          </w:p>
        </w:tc>
        <w:tc>
          <w:tcPr>
            <w:tcW w:w="871" w:type="dxa"/>
            <w:tcBorders>
              <w:top w:val="nil"/>
              <w:left w:val="nil"/>
              <w:bottom w:val="single" w:sz="4" w:space="0" w:color="auto"/>
              <w:right w:val="nil"/>
            </w:tcBorders>
            <w:shd w:val="clear" w:color="auto" w:fill="auto"/>
            <w:noWrap/>
            <w:vAlign w:val="center"/>
            <w:hideMark/>
          </w:tcPr>
          <w:p w14:paraId="4F835B53"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1005" w:type="dxa"/>
            <w:tcBorders>
              <w:top w:val="nil"/>
              <w:left w:val="single" w:sz="4" w:space="0" w:color="auto"/>
              <w:bottom w:val="single" w:sz="4" w:space="0" w:color="auto"/>
              <w:right w:val="nil"/>
            </w:tcBorders>
            <w:shd w:val="clear" w:color="auto" w:fill="auto"/>
            <w:noWrap/>
            <w:vAlign w:val="bottom"/>
            <w:hideMark/>
          </w:tcPr>
          <w:p w14:paraId="7D536E7E"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2 907</w:t>
            </w:r>
          </w:p>
        </w:tc>
        <w:tc>
          <w:tcPr>
            <w:tcW w:w="871" w:type="dxa"/>
            <w:tcBorders>
              <w:top w:val="nil"/>
              <w:left w:val="nil"/>
              <w:bottom w:val="single" w:sz="4" w:space="0" w:color="auto"/>
              <w:right w:val="single" w:sz="4" w:space="0" w:color="auto"/>
            </w:tcBorders>
            <w:shd w:val="clear" w:color="auto" w:fill="auto"/>
            <w:noWrap/>
            <w:vAlign w:val="center"/>
            <w:hideMark/>
          </w:tcPr>
          <w:p w14:paraId="04C2D4D5"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952" w:type="dxa"/>
            <w:tcBorders>
              <w:top w:val="nil"/>
              <w:left w:val="nil"/>
              <w:bottom w:val="single" w:sz="4" w:space="0" w:color="auto"/>
              <w:right w:val="nil"/>
            </w:tcBorders>
            <w:shd w:val="clear" w:color="auto" w:fill="auto"/>
            <w:noWrap/>
            <w:vAlign w:val="bottom"/>
            <w:hideMark/>
          </w:tcPr>
          <w:p w14:paraId="416BA900"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2 700</w:t>
            </w:r>
          </w:p>
        </w:tc>
        <w:tc>
          <w:tcPr>
            <w:tcW w:w="875" w:type="dxa"/>
            <w:tcBorders>
              <w:top w:val="nil"/>
              <w:left w:val="nil"/>
              <w:bottom w:val="single" w:sz="4" w:space="0" w:color="auto"/>
              <w:right w:val="single" w:sz="4" w:space="0" w:color="auto"/>
            </w:tcBorders>
            <w:shd w:val="clear" w:color="auto" w:fill="auto"/>
            <w:noWrap/>
            <w:vAlign w:val="center"/>
            <w:hideMark/>
          </w:tcPr>
          <w:p w14:paraId="5A3F32A0"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540" w:type="dxa"/>
            <w:tcBorders>
              <w:top w:val="nil"/>
              <w:left w:val="nil"/>
              <w:bottom w:val="single" w:sz="4" w:space="0" w:color="auto"/>
              <w:right w:val="nil"/>
            </w:tcBorders>
            <w:shd w:val="clear" w:color="auto" w:fill="auto"/>
            <w:noWrap/>
            <w:vAlign w:val="center"/>
            <w:hideMark/>
          </w:tcPr>
          <w:p w14:paraId="458604DB" w14:textId="3424A2B1"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95,4 %</w:t>
            </w:r>
          </w:p>
        </w:tc>
      </w:tr>
      <w:tr w:rsidR="00B64E96" w:rsidRPr="00730B1E" w14:paraId="51C4CA05" w14:textId="77777777" w:rsidTr="00FC0ECD">
        <w:trPr>
          <w:trHeight w:val="330"/>
        </w:trPr>
        <w:tc>
          <w:tcPr>
            <w:tcW w:w="2020" w:type="dxa"/>
            <w:tcBorders>
              <w:top w:val="nil"/>
              <w:left w:val="nil"/>
              <w:bottom w:val="double" w:sz="6" w:space="0" w:color="auto"/>
              <w:right w:val="nil"/>
            </w:tcBorders>
            <w:shd w:val="clear" w:color="auto" w:fill="auto"/>
            <w:noWrap/>
            <w:vAlign w:val="bottom"/>
            <w:hideMark/>
          </w:tcPr>
          <w:p w14:paraId="481F5CC0" w14:textId="77777777" w:rsidR="00FC0ECD" w:rsidRPr="00730B1E" w:rsidRDefault="00FC0ECD" w:rsidP="00FC0ECD">
            <w:pPr>
              <w:spacing w:line="240" w:lineRule="auto"/>
              <w:jc w:val="left"/>
              <w:rPr>
                <w:rFonts w:eastAsia="Times New Roman"/>
                <w:szCs w:val="24"/>
                <w:lang w:eastAsia="cs-CZ"/>
              </w:rPr>
            </w:pPr>
            <w:r w:rsidRPr="00730B1E">
              <w:rPr>
                <w:rFonts w:eastAsia="Times New Roman"/>
                <w:szCs w:val="24"/>
                <w:lang w:eastAsia="cs-CZ"/>
              </w:rPr>
              <w:t>KS Ostrava</w:t>
            </w:r>
          </w:p>
        </w:tc>
        <w:tc>
          <w:tcPr>
            <w:tcW w:w="1006" w:type="dxa"/>
            <w:tcBorders>
              <w:top w:val="nil"/>
              <w:left w:val="nil"/>
              <w:bottom w:val="double" w:sz="6" w:space="0" w:color="auto"/>
              <w:right w:val="nil"/>
            </w:tcBorders>
            <w:shd w:val="clear" w:color="auto" w:fill="auto"/>
            <w:noWrap/>
            <w:vAlign w:val="bottom"/>
            <w:hideMark/>
          </w:tcPr>
          <w:p w14:paraId="7635FC13"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2 542</w:t>
            </w:r>
          </w:p>
        </w:tc>
        <w:tc>
          <w:tcPr>
            <w:tcW w:w="871" w:type="dxa"/>
            <w:tcBorders>
              <w:top w:val="nil"/>
              <w:left w:val="nil"/>
              <w:bottom w:val="double" w:sz="6" w:space="0" w:color="auto"/>
              <w:right w:val="nil"/>
            </w:tcBorders>
            <w:shd w:val="clear" w:color="auto" w:fill="auto"/>
            <w:noWrap/>
            <w:vAlign w:val="center"/>
            <w:hideMark/>
          </w:tcPr>
          <w:p w14:paraId="10146C4D"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05" w:type="dxa"/>
            <w:tcBorders>
              <w:top w:val="nil"/>
              <w:left w:val="single" w:sz="4" w:space="0" w:color="auto"/>
              <w:bottom w:val="double" w:sz="6" w:space="0" w:color="auto"/>
              <w:right w:val="nil"/>
            </w:tcBorders>
            <w:shd w:val="clear" w:color="auto" w:fill="auto"/>
            <w:noWrap/>
            <w:vAlign w:val="bottom"/>
            <w:hideMark/>
          </w:tcPr>
          <w:p w14:paraId="7A8B8223"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2 422</w:t>
            </w:r>
          </w:p>
        </w:tc>
        <w:tc>
          <w:tcPr>
            <w:tcW w:w="871" w:type="dxa"/>
            <w:tcBorders>
              <w:top w:val="nil"/>
              <w:left w:val="nil"/>
              <w:bottom w:val="double" w:sz="6" w:space="0" w:color="auto"/>
              <w:right w:val="single" w:sz="4" w:space="0" w:color="auto"/>
            </w:tcBorders>
            <w:shd w:val="clear" w:color="auto" w:fill="auto"/>
            <w:noWrap/>
            <w:vAlign w:val="center"/>
            <w:hideMark/>
          </w:tcPr>
          <w:p w14:paraId="550C7372"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52" w:type="dxa"/>
            <w:tcBorders>
              <w:top w:val="nil"/>
              <w:left w:val="nil"/>
              <w:bottom w:val="double" w:sz="6" w:space="0" w:color="auto"/>
              <w:right w:val="nil"/>
            </w:tcBorders>
            <w:shd w:val="clear" w:color="auto" w:fill="auto"/>
            <w:noWrap/>
            <w:vAlign w:val="bottom"/>
            <w:hideMark/>
          </w:tcPr>
          <w:p w14:paraId="59B5CAA2" w14:textId="77777777"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1 396</w:t>
            </w:r>
          </w:p>
        </w:tc>
        <w:tc>
          <w:tcPr>
            <w:tcW w:w="875" w:type="dxa"/>
            <w:tcBorders>
              <w:top w:val="nil"/>
              <w:left w:val="nil"/>
              <w:bottom w:val="double" w:sz="6" w:space="0" w:color="auto"/>
              <w:right w:val="single" w:sz="4" w:space="0" w:color="auto"/>
            </w:tcBorders>
            <w:shd w:val="clear" w:color="auto" w:fill="auto"/>
            <w:noWrap/>
            <w:vAlign w:val="center"/>
            <w:hideMark/>
          </w:tcPr>
          <w:p w14:paraId="2E2B8A1C" w14:textId="77777777" w:rsidR="00FC0ECD" w:rsidRPr="00730B1E" w:rsidRDefault="00FC0ECD" w:rsidP="00FC0ECD">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1540" w:type="dxa"/>
            <w:tcBorders>
              <w:top w:val="nil"/>
              <w:left w:val="nil"/>
              <w:bottom w:val="nil"/>
              <w:right w:val="nil"/>
            </w:tcBorders>
            <w:shd w:val="clear" w:color="auto" w:fill="auto"/>
            <w:noWrap/>
            <w:vAlign w:val="center"/>
            <w:hideMark/>
          </w:tcPr>
          <w:p w14:paraId="575E252B" w14:textId="26CA391F" w:rsidR="00FC0ECD" w:rsidRPr="00730B1E" w:rsidRDefault="00FC0ECD" w:rsidP="00FC0ECD">
            <w:pPr>
              <w:spacing w:line="240" w:lineRule="auto"/>
              <w:jc w:val="center"/>
              <w:rPr>
                <w:rFonts w:eastAsia="Times New Roman"/>
                <w:szCs w:val="24"/>
                <w:lang w:eastAsia="cs-CZ"/>
              </w:rPr>
            </w:pPr>
            <w:r w:rsidRPr="00730B1E">
              <w:rPr>
                <w:rFonts w:eastAsia="Times New Roman"/>
                <w:szCs w:val="24"/>
                <w:lang w:eastAsia="cs-CZ"/>
              </w:rPr>
              <w:t>95,3 %</w:t>
            </w:r>
          </w:p>
        </w:tc>
      </w:tr>
      <w:tr w:rsidR="00FC0ECD" w:rsidRPr="00730B1E" w14:paraId="7D10DC49" w14:textId="77777777" w:rsidTr="00FC0ECD">
        <w:trPr>
          <w:trHeight w:val="345"/>
        </w:trPr>
        <w:tc>
          <w:tcPr>
            <w:tcW w:w="2020" w:type="dxa"/>
            <w:tcBorders>
              <w:top w:val="nil"/>
              <w:left w:val="nil"/>
              <w:bottom w:val="double" w:sz="6" w:space="0" w:color="auto"/>
              <w:right w:val="nil"/>
            </w:tcBorders>
            <w:shd w:val="clear" w:color="auto" w:fill="auto"/>
            <w:noWrap/>
            <w:vAlign w:val="bottom"/>
            <w:hideMark/>
          </w:tcPr>
          <w:p w14:paraId="05871523" w14:textId="77777777" w:rsidR="00FC0ECD" w:rsidRPr="00730B1E" w:rsidRDefault="00FC0ECD" w:rsidP="00FC0ECD">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06" w:type="dxa"/>
            <w:tcBorders>
              <w:top w:val="nil"/>
              <w:left w:val="nil"/>
              <w:bottom w:val="double" w:sz="6" w:space="0" w:color="auto"/>
              <w:right w:val="nil"/>
            </w:tcBorders>
            <w:shd w:val="clear" w:color="auto" w:fill="auto"/>
            <w:noWrap/>
            <w:vAlign w:val="bottom"/>
            <w:hideMark/>
          </w:tcPr>
          <w:p w14:paraId="2A4281BC" w14:textId="77777777"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27 133</w:t>
            </w:r>
          </w:p>
        </w:tc>
        <w:tc>
          <w:tcPr>
            <w:tcW w:w="871" w:type="dxa"/>
            <w:tcBorders>
              <w:top w:val="nil"/>
              <w:left w:val="nil"/>
              <w:bottom w:val="double" w:sz="6" w:space="0" w:color="auto"/>
              <w:right w:val="nil"/>
            </w:tcBorders>
            <w:shd w:val="clear" w:color="auto" w:fill="auto"/>
            <w:noWrap/>
            <w:vAlign w:val="center"/>
            <w:hideMark/>
          </w:tcPr>
          <w:p w14:paraId="5477CE9B" w14:textId="77777777" w:rsidR="00FC0ECD" w:rsidRPr="00730B1E" w:rsidRDefault="00FC0ECD" w:rsidP="00FC0ECD">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+17 %  </w:t>
            </w:r>
          </w:p>
        </w:tc>
        <w:tc>
          <w:tcPr>
            <w:tcW w:w="1005" w:type="dxa"/>
            <w:tcBorders>
              <w:top w:val="nil"/>
              <w:left w:val="single" w:sz="4" w:space="0" w:color="auto"/>
              <w:bottom w:val="double" w:sz="6" w:space="0" w:color="auto"/>
              <w:right w:val="nil"/>
            </w:tcBorders>
            <w:shd w:val="clear" w:color="auto" w:fill="auto"/>
            <w:noWrap/>
            <w:vAlign w:val="bottom"/>
            <w:hideMark/>
          </w:tcPr>
          <w:p w14:paraId="133DEAD3" w14:textId="77777777"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24 157</w:t>
            </w:r>
          </w:p>
        </w:tc>
        <w:tc>
          <w:tcPr>
            <w:tcW w:w="871" w:type="dxa"/>
            <w:tcBorders>
              <w:top w:val="nil"/>
              <w:left w:val="nil"/>
              <w:bottom w:val="double" w:sz="6" w:space="0" w:color="auto"/>
              <w:right w:val="single" w:sz="4" w:space="0" w:color="auto"/>
            </w:tcBorders>
            <w:shd w:val="clear" w:color="auto" w:fill="auto"/>
            <w:noWrap/>
            <w:vAlign w:val="center"/>
            <w:hideMark/>
          </w:tcPr>
          <w:p w14:paraId="49666450" w14:textId="77777777" w:rsidR="00FC0ECD" w:rsidRPr="00730B1E" w:rsidRDefault="00FC0ECD" w:rsidP="00FC0ECD">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+2 %  </w:t>
            </w:r>
          </w:p>
        </w:tc>
        <w:tc>
          <w:tcPr>
            <w:tcW w:w="952" w:type="dxa"/>
            <w:tcBorders>
              <w:top w:val="nil"/>
              <w:left w:val="nil"/>
              <w:bottom w:val="double" w:sz="6" w:space="0" w:color="auto"/>
              <w:right w:val="nil"/>
            </w:tcBorders>
            <w:shd w:val="clear" w:color="auto" w:fill="auto"/>
            <w:noWrap/>
            <w:vAlign w:val="bottom"/>
            <w:hideMark/>
          </w:tcPr>
          <w:p w14:paraId="78232BB9" w14:textId="77777777"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16 194</w:t>
            </w:r>
          </w:p>
        </w:tc>
        <w:tc>
          <w:tcPr>
            <w:tcW w:w="875" w:type="dxa"/>
            <w:tcBorders>
              <w:top w:val="nil"/>
              <w:left w:val="nil"/>
              <w:bottom w:val="double" w:sz="6" w:space="0" w:color="auto"/>
              <w:right w:val="single" w:sz="4" w:space="0" w:color="auto"/>
            </w:tcBorders>
            <w:shd w:val="clear" w:color="auto" w:fill="auto"/>
            <w:noWrap/>
            <w:vAlign w:val="center"/>
            <w:hideMark/>
          </w:tcPr>
          <w:p w14:paraId="7851502A" w14:textId="77777777" w:rsidR="00FC0ECD" w:rsidRPr="00730B1E" w:rsidRDefault="00FC0ECD" w:rsidP="00FC0ECD">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+23 %  </w:t>
            </w:r>
          </w:p>
        </w:tc>
        <w:tc>
          <w:tcPr>
            <w:tcW w:w="1540" w:type="dxa"/>
            <w:tcBorders>
              <w:top w:val="double" w:sz="6" w:space="0" w:color="auto"/>
              <w:left w:val="nil"/>
              <w:bottom w:val="double" w:sz="6" w:space="0" w:color="auto"/>
              <w:right w:val="nil"/>
            </w:tcBorders>
            <w:shd w:val="clear" w:color="auto" w:fill="auto"/>
            <w:noWrap/>
            <w:vAlign w:val="center"/>
            <w:hideMark/>
          </w:tcPr>
          <w:p w14:paraId="627D541E" w14:textId="4C535278" w:rsidR="00FC0ECD" w:rsidRPr="00730B1E" w:rsidRDefault="00FC0ECD" w:rsidP="00FC0ECD">
            <w:pPr>
              <w:spacing w:line="240" w:lineRule="auto"/>
              <w:jc w:val="center"/>
              <w:rPr>
                <w:rFonts w:eastAsia="Times New Roman"/>
                <w:b/>
                <w:bCs/>
                <w:szCs w:val="24"/>
                <w:lang w:eastAsia="cs-CZ"/>
              </w:rPr>
            </w:pPr>
            <w:r w:rsidRPr="00730B1E">
              <w:rPr>
                <w:rFonts w:eastAsia="Times New Roman"/>
                <w:b/>
                <w:bCs/>
                <w:szCs w:val="24"/>
                <w:lang w:eastAsia="cs-CZ"/>
              </w:rPr>
              <w:t>89,0 %</w:t>
            </w:r>
          </w:p>
        </w:tc>
      </w:tr>
    </w:tbl>
    <w:p w14:paraId="5039B98A" w14:textId="77777777" w:rsidR="00EF7600" w:rsidRPr="00730B1E" w:rsidRDefault="00EF7600" w:rsidP="00EF7600"/>
    <w:p w14:paraId="1D2339C2" w14:textId="65732988" w:rsidR="00FC0ECD" w:rsidRPr="00730B1E" w:rsidRDefault="00FC0ECD" w:rsidP="00EF7600">
      <w:r w:rsidRPr="00730B1E">
        <w:t xml:space="preserve">V tabulce vidíme, že změna v počtu příchozích věcí je velmi nevyrovnaná a mezi jednotlivými soudy se zásadně liší. </w:t>
      </w:r>
      <w:r w:rsidR="00C24867" w:rsidRPr="00730B1E">
        <w:t>U čtyř soudů počet příchozích věcí (mírně) klesl, u čtyř narostl</w:t>
      </w:r>
      <w:r w:rsidR="00C15C6C" w:rsidRPr="00730B1E">
        <w:t>,</w:t>
      </w:r>
      <w:r w:rsidR="00C24867" w:rsidRPr="00730B1E">
        <w:t xml:space="preserve"> </w:t>
      </w:r>
      <w:r w:rsidR="00C15C6C" w:rsidRPr="00730B1E">
        <w:t>u</w:t>
      </w:r>
      <w:r w:rsidR="00C24867" w:rsidRPr="00730B1E">
        <w:t xml:space="preserve"> KS v </w:t>
      </w:r>
      <w:r w:rsidR="00327D56" w:rsidRPr="00730B1E">
        <w:t xml:space="preserve">Ústí nad Labem </w:t>
      </w:r>
      <w:r w:rsidR="00C24867" w:rsidRPr="00730B1E">
        <w:t xml:space="preserve">o </w:t>
      </w:r>
      <w:r w:rsidR="00C15C6C" w:rsidRPr="00730B1E">
        <w:t xml:space="preserve">extrémních </w:t>
      </w:r>
      <w:r w:rsidR="00C24867" w:rsidRPr="00730B1E">
        <w:t xml:space="preserve">44 %. Je pak přirozené, že </w:t>
      </w:r>
      <w:r w:rsidR="004471F1" w:rsidRPr="00730B1E">
        <w:t>u soudů</w:t>
      </w:r>
      <w:r w:rsidR="00C24867" w:rsidRPr="00730B1E">
        <w:t>, kde došlo k</w:t>
      </w:r>
      <w:r w:rsidR="004471F1" w:rsidRPr="00730B1E">
        <w:t> </w:t>
      </w:r>
      <w:r w:rsidR="00C24867" w:rsidRPr="00730B1E">
        <w:t>nárůstu</w:t>
      </w:r>
      <w:r w:rsidR="004471F1" w:rsidRPr="00730B1E">
        <w:t>,</w:t>
      </w:r>
      <w:r w:rsidR="00C24867" w:rsidRPr="00730B1E">
        <w:t xml:space="preserve"> vzrostl počet nevyřízených věcí</w:t>
      </w:r>
      <w:r w:rsidR="00C15C6C" w:rsidRPr="00730B1E">
        <w:t>,</w:t>
      </w:r>
      <w:r w:rsidR="00C24867" w:rsidRPr="00730B1E">
        <w:t xml:space="preserve"> vykázaly velmi malou míru vyřizování (KS v Ústí nad Labem jen 64,4 %). Výjimkou je KS Plzeň, kde počet příchozích věcí nenarostl a počet vyřízených věcí značně klesl.</w:t>
      </w:r>
    </w:p>
    <w:p w14:paraId="7D449A8B" w14:textId="77777777" w:rsidR="002D335C" w:rsidRPr="00730B1E" w:rsidRDefault="002D335C" w:rsidP="002D335C">
      <w:pPr>
        <w:pStyle w:val="Nadpis3"/>
        <w:numPr>
          <w:ilvl w:val="2"/>
          <w:numId w:val="1"/>
        </w:numPr>
        <w:rPr>
          <w:color w:val="auto"/>
        </w:rPr>
      </w:pPr>
      <w:bookmarkStart w:id="786" w:name="_Toc106092755"/>
      <w:bookmarkStart w:id="787" w:name="_Toc109801366"/>
      <w:bookmarkStart w:id="788" w:name="_Toc169250831"/>
      <w:bookmarkStart w:id="789" w:name="_Toc174080867"/>
      <w:r w:rsidRPr="00730B1E">
        <w:rPr>
          <w:color w:val="auto"/>
        </w:rPr>
        <w:t>Vyřizování v přepočtu na soudce</w:t>
      </w:r>
      <w:bookmarkEnd w:id="786"/>
      <w:bookmarkEnd w:id="787"/>
      <w:bookmarkEnd w:id="788"/>
      <w:bookmarkEnd w:id="789"/>
    </w:p>
    <w:p w14:paraId="6AD684D1" w14:textId="77777777" w:rsidR="00C24867" w:rsidRPr="00730B1E" w:rsidRDefault="00C24867" w:rsidP="00C24867">
      <w:pPr>
        <w:pStyle w:val="OdstavecASR"/>
      </w:pPr>
      <w:r w:rsidRPr="00730B1E">
        <w:t xml:space="preserve">Stejně jako u OS má Ministerstvo spravedlnosti k dispozici přesnější data o počtu soudců, která budou využita pro přepočet, neboť umožňují oddělit soudce vyřizující prvostupňovou agendu od soudců, kteří vyřizují agendu odvolací. V těchto datech tedy je zahrnut skutečný počet soudců </w:t>
      </w:r>
      <w:r w:rsidRPr="00730B1E">
        <w:lastRenderedPageBreak/>
        <w:t>(skutečných úvazků), kteří se zabývají prvostupňovou občanskoprávní a obchodněprávní agendou. Soudci, kteří se zabývají insolvencemi, incidenčními spory a obchodním rejstříkem zde započteni nejsou. Přepočet na soudce je uveden v tabulce níže.</w:t>
      </w:r>
    </w:p>
    <w:p w14:paraId="42B226A9" w14:textId="5A2E628D" w:rsidR="00C24867" w:rsidRPr="00730B1E" w:rsidRDefault="00C24867" w:rsidP="00C24867">
      <w:pPr>
        <w:pStyle w:val="Podnadpis"/>
        <w:numPr>
          <w:ilvl w:val="0"/>
          <w:numId w:val="0"/>
        </w:numPr>
        <w:rPr>
          <w:color w:val="auto"/>
        </w:rPr>
      </w:pPr>
      <w:bookmarkStart w:id="790" w:name="_Toc75952348"/>
      <w:bookmarkStart w:id="791" w:name="_Toc106106805"/>
      <w:bookmarkStart w:id="792" w:name="_Toc109802128"/>
      <w:bookmarkStart w:id="793" w:name="_Toc144104286"/>
      <w:bookmarkStart w:id="794" w:name="_Toc169251098"/>
      <w:bookmarkStart w:id="795" w:name="_Toc174080784"/>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41</w:t>
      </w:r>
      <w:r w:rsidRPr="00730B1E">
        <w:rPr>
          <w:noProof/>
          <w:color w:val="auto"/>
        </w:rPr>
        <w:fldChar w:fldCharType="end"/>
      </w:r>
      <w:r w:rsidRPr="00730B1E">
        <w:rPr>
          <w:color w:val="auto"/>
        </w:rPr>
        <w:t>: KS – vyřiz. prvostupň. civil. věcí na skut</w:t>
      </w:r>
      <w:r w:rsidR="00F77E72" w:rsidRPr="00730B1E">
        <w:rPr>
          <w:color w:val="auto"/>
        </w:rPr>
        <w:t>.</w:t>
      </w:r>
      <w:r w:rsidRPr="00730B1E">
        <w:rPr>
          <w:color w:val="auto"/>
        </w:rPr>
        <w:t xml:space="preserve"> úvazek dle soudů</w:t>
      </w:r>
      <w:bookmarkEnd w:id="790"/>
      <w:bookmarkEnd w:id="791"/>
      <w:bookmarkEnd w:id="792"/>
      <w:bookmarkEnd w:id="793"/>
      <w:r w:rsidR="00F77E72" w:rsidRPr="00730B1E">
        <w:rPr>
          <w:color w:val="auto"/>
        </w:rPr>
        <w:t>, 2023</w:t>
      </w:r>
      <w:bookmarkEnd w:id="794"/>
      <w:bookmarkEnd w:id="795"/>
    </w:p>
    <w:tbl>
      <w:tblPr>
        <w:tblW w:w="9000" w:type="dxa"/>
        <w:tblCellMar>
          <w:left w:w="70" w:type="dxa"/>
          <w:right w:w="70" w:type="dxa"/>
        </w:tblCellMar>
        <w:tblLook w:val="04A0" w:firstRow="1" w:lastRow="0" w:firstColumn="1" w:lastColumn="0" w:noHBand="0" w:noVBand="1"/>
      </w:tblPr>
      <w:tblGrid>
        <w:gridCol w:w="1820"/>
        <w:gridCol w:w="1060"/>
        <w:gridCol w:w="1016"/>
        <w:gridCol w:w="1024"/>
        <w:gridCol w:w="1016"/>
        <w:gridCol w:w="1024"/>
        <w:gridCol w:w="1016"/>
        <w:gridCol w:w="1024"/>
      </w:tblGrid>
      <w:tr w:rsidR="00B64E96" w:rsidRPr="00730B1E" w14:paraId="53060666" w14:textId="77777777" w:rsidTr="00C24867">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62CC6BB3" w14:textId="77777777"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1060" w:type="dxa"/>
            <w:vMerge w:val="restart"/>
            <w:tcBorders>
              <w:top w:val="double" w:sz="6" w:space="0" w:color="auto"/>
              <w:left w:val="nil"/>
              <w:bottom w:val="double" w:sz="6" w:space="0" w:color="000000"/>
              <w:right w:val="nil"/>
            </w:tcBorders>
            <w:shd w:val="clear" w:color="auto" w:fill="auto"/>
            <w:vAlign w:val="center"/>
            <w:hideMark/>
          </w:tcPr>
          <w:p w14:paraId="574CAC9C" w14:textId="77777777"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6120" w:type="dxa"/>
            <w:gridSpan w:val="6"/>
            <w:tcBorders>
              <w:top w:val="double" w:sz="6" w:space="0" w:color="auto"/>
              <w:left w:val="nil"/>
              <w:bottom w:val="nil"/>
              <w:right w:val="nil"/>
            </w:tcBorders>
            <w:shd w:val="clear" w:color="auto" w:fill="auto"/>
            <w:noWrap/>
            <w:vAlign w:val="center"/>
            <w:hideMark/>
          </w:tcPr>
          <w:p w14:paraId="3386BCCE" w14:textId="77777777"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Počet věcí na úvazek</w:t>
            </w:r>
          </w:p>
        </w:tc>
      </w:tr>
      <w:tr w:rsidR="00B64E96" w:rsidRPr="00730B1E" w14:paraId="03FA1070" w14:textId="77777777" w:rsidTr="00C24867">
        <w:trPr>
          <w:trHeight w:val="330"/>
        </w:trPr>
        <w:tc>
          <w:tcPr>
            <w:tcW w:w="1820" w:type="dxa"/>
            <w:vMerge/>
            <w:tcBorders>
              <w:top w:val="double" w:sz="6" w:space="0" w:color="auto"/>
              <w:left w:val="nil"/>
              <w:bottom w:val="double" w:sz="6" w:space="0" w:color="000000"/>
              <w:right w:val="nil"/>
            </w:tcBorders>
            <w:vAlign w:val="center"/>
            <w:hideMark/>
          </w:tcPr>
          <w:p w14:paraId="29304F8C" w14:textId="77777777" w:rsidR="00C24867" w:rsidRPr="00730B1E" w:rsidRDefault="00C24867" w:rsidP="00C24867">
            <w:pPr>
              <w:spacing w:line="240" w:lineRule="auto"/>
              <w:jc w:val="left"/>
              <w:rPr>
                <w:rFonts w:eastAsia="Times New Roman"/>
                <w:b/>
                <w:bCs/>
                <w:szCs w:val="24"/>
                <w:lang w:eastAsia="cs-CZ"/>
              </w:rPr>
            </w:pPr>
          </w:p>
        </w:tc>
        <w:tc>
          <w:tcPr>
            <w:tcW w:w="1060" w:type="dxa"/>
            <w:vMerge/>
            <w:tcBorders>
              <w:top w:val="double" w:sz="6" w:space="0" w:color="auto"/>
              <w:left w:val="nil"/>
              <w:bottom w:val="double" w:sz="6" w:space="0" w:color="000000"/>
              <w:right w:val="nil"/>
            </w:tcBorders>
            <w:vAlign w:val="center"/>
            <w:hideMark/>
          </w:tcPr>
          <w:p w14:paraId="3D687531" w14:textId="77777777" w:rsidR="00C24867" w:rsidRPr="00730B1E" w:rsidRDefault="00C24867" w:rsidP="00C24867">
            <w:pPr>
              <w:spacing w:line="240" w:lineRule="auto"/>
              <w:jc w:val="left"/>
              <w:rPr>
                <w:rFonts w:eastAsia="Times New Roman"/>
                <w:b/>
                <w:bCs/>
                <w:szCs w:val="24"/>
                <w:lang w:eastAsia="cs-CZ"/>
              </w:rPr>
            </w:pPr>
          </w:p>
        </w:tc>
        <w:tc>
          <w:tcPr>
            <w:tcW w:w="2040" w:type="dxa"/>
            <w:gridSpan w:val="2"/>
            <w:tcBorders>
              <w:top w:val="nil"/>
              <w:left w:val="nil"/>
              <w:bottom w:val="double" w:sz="6" w:space="0" w:color="auto"/>
              <w:right w:val="nil"/>
            </w:tcBorders>
            <w:shd w:val="clear" w:color="auto" w:fill="auto"/>
            <w:noWrap/>
            <w:vAlign w:val="center"/>
            <w:hideMark/>
          </w:tcPr>
          <w:p w14:paraId="6B64AFA4" w14:textId="1CC220FB"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204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0B3146D" w14:textId="77777777"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2040" w:type="dxa"/>
            <w:gridSpan w:val="2"/>
            <w:tcBorders>
              <w:top w:val="nil"/>
              <w:left w:val="nil"/>
              <w:bottom w:val="double" w:sz="6" w:space="0" w:color="auto"/>
              <w:right w:val="nil"/>
            </w:tcBorders>
            <w:shd w:val="clear" w:color="auto" w:fill="auto"/>
            <w:noWrap/>
            <w:vAlign w:val="center"/>
            <w:hideMark/>
          </w:tcPr>
          <w:p w14:paraId="4123582A" w14:textId="77777777"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0B20ABD3" w14:textId="77777777" w:rsidTr="00C24867">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2B554F9D" w14:textId="77777777" w:rsidR="00C24867" w:rsidRPr="00730B1E" w:rsidRDefault="00C24867" w:rsidP="00C24867">
            <w:pPr>
              <w:spacing w:line="240" w:lineRule="auto"/>
              <w:jc w:val="left"/>
              <w:rPr>
                <w:rFonts w:eastAsia="Times New Roman"/>
                <w:szCs w:val="24"/>
                <w:lang w:eastAsia="cs-CZ"/>
              </w:rPr>
            </w:pPr>
            <w:r w:rsidRPr="00730B1E">
              <w:rPr>
                <w:rFonts w:eastAsia="Times New Roman"/>
                <w:szCs w:val="24"/>
                <w:lang w:eastAsia="cs-CZ"/>
              </w:rPr>
              <w:t>MS Praha</w:t>
            </w:r>
          </w:p>
        </w:tc>
        <w:tc>
          <w:tcPr>
            <w:tcW w:w="1060" w:type="dxa"/>
            <w:tcBorders>
              <w:top w:val="single" w:sz="4" w:space="0" w:color="auto"/>
              <w:left w:val="nil"/>
              <w:bottom w:val="single" w:sz="4" w:space="0" w:color="auto"/>
              <w:right w:val="nil"/>
            </w:tcBorders>
            <w:shd w:val="clear" w:color="auto" w:fill="auto"/>
            <w:noWrap/>
            <w:vAlign w:val="bottom"/>
            <w:hideMark/>
          </w:tcPr>
          <w:p w14:paraId="02DBF2FC" w14:textId="2B77DDDE"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27,25</w:t>
            </w:r>
          </w:p>
        </w:tc>
        <w:tc>
          <w:tcPr>
            <w:tcW w:w="1016" w:type="dxa"/>
            <w:tcBorders>
              <w:top w:val="single" w:sz="4" w:space="0" w:color="auto"/>
              <w:left w:val="nil"/>
              <w:bottom w:val="single" w:sz="4" w:space="0" w:color="auto"/>
              <w:right w:val="nil"/>
            </w:tcBorders>
            <w:shd w:val="clear" w:color="auto" w:fill="auto"/>
            <w:noWrap/>
            <w:vAlign w:val="bottom"/>
            <w:hideMark/>
          </w:tcPr>
          <w:p w14:paraId="4B0562D2" w14:textId="557499C3"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524,26</w:t>
            </w:r>
          </w:p>
        </w:tc>
        <w:tc>
          <w:tcPr>
            <w:tcW w:w="1024" w:type="dxa"/>
            <w:tcBorders>
              <w:top w:val="single" w:sz="4" w:space="0" w:color="auto"/>
              <w:left w:val="nil"/>
              <w:bottom w:val="single" w:sz="4" w:space="0" w:color="auto"/>
              <w:right w:val="nil"/>
            </w:tcBorders>
            <w:shd w:val="clear" w:color="auto" w:fill="auto"/>
            <w:noWrap/>
            <w:vAlign w:val="center"/>
            <w:hideMark/>
          </w:tcPr>
          <w:p w14:paraId="28ACF1C0"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16" w:type="dxa"/>
            <w:tcBorders>
              <w:top w:val="nil"/>
              <w:left w:val="single" w:sz="4" w:space="0" w:color="auto"/>
              <w:bottom w:val="single" w:sz="4" w:space="0" w:color="auto"/>
              <w:right w:val="nil"/>
            </w:tcBorders>
            <w:shd w:val="clear" w:color="auto" w:fill="auto"/>
            <w:noWrap/>
            <w:vAlign w:val="bottom"/>
            <w:hideMark/>
          </w:tcPr>
          <w:p w14:paraId="0DC32CF8" w14:textId="0ED2D669"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491,41</w:t>
            </w:r>
          </w:p>
        </w:tc>
        <w:tc>
          <w:tcPr>
            <w:tcW w:w="1024" w:type="dxa"/>
            <w:tcBorders>
              <w:top w:val="nil"/>
              <w:left w:val="nil"/>
              <w:bottom w:val="single" w:sz="4" w:space="0" w:color="auto"/>
              <w:right w:val="single" w:sz="4" w:space="0" w:color="auto"/>
            </w:tcBorders>
            <w:shd w:val="clear" w:color="auto" w:fill="auto"/>
            <w:noWrap/>
            <w:vAlign w:val="center"/>
            <w:hideMark/>
          </w:tcPr>
          <w:p w14:paraId="13A0CDE2"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16" w:type="dxa"/>
            <w:tcBorders>
              <w:top w:val="single" w:sz="4" w:space="0" w:color="auto"/>
              <w:left w:val="nil"/>
              <w:bottom w:val="single" w:sz="4" w:space="0" w:color="auto"/>
              <w:right w:val="nil"/>
            </w:tcBorders>
            <w:shd w:val="clear" w:color="auto" w:fill="auto"/>
            <w:noWrap/>
            <w:vAlign w:val="bottom"/>
            <w:hideMark/>
          </w:tcPr>
          <w:p w14:paraId="1B071BE3" w14:textId="217E09D1"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231,52</w:t>
            </w:r>
          </w:p>
        </w:tc>
        <w:tc>
          <w:tcPr>
            <w:tcW w:w="1024" w:type="dxa"/>
            <w:tcBorders>
              <w:top w:val="single" w:sz="4" w:space="0" w:color="auto"/>
              <w:left w:val="nil"/>
              <w:bottom w:val="single" w:sz="4" w:space="0" w:color="auto"/>
              <w:right w:val="nil"/>
            </w:tcBorders>
            <w:shd w:val="clear" w:color="auto" w:fill="auto"/>
            <w:noWrap/>
            <w:vAlign w:val="center"/>
            <w:hideMark/>
          </w:tcPr>
          <w:p w14:paraId="7AC5A38F"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5A04FA3F" w14:textId="77777777" w:rsidTr="00C24867">
        <w:trPr>
          <w:trHeight w:val="315"/>
        </w:trPr>
        <w:tc>
          <w:tcPr>
            <w:tcW w:w="1820" w:type="dxa"/>
            <w:tcBorders>
              <w:top w:val="nil"/>
              <w:left w:val="nil"/>
              <w:bottom w:val="single" w:sz="4" w:space="0" w:color="auto"/>
              <w:right w:val="nil"/>
            </w:tcBorders>
            <w:shd w:val="clear" w:color="auto" w:fill="auto"/>
            <w:noWrap/>
            <w:vAlign w:val="bottom"/>
            <w:hideMark/>
          </w:tcPr>
          <w:p w14:paraId="7F6C6F54" w14:textId="77777777" w:rsidR="00C24867" w:rsidRPr="00730B1E" w:rsidRDefault="00C24867" w:rsidP="00C24867">
            <w:pPr>
              <w:spacing w:line="240" w:lineRule="auto"/>
              <w:jc w:val="left"/>
              <w:rPr>
                <w:rFonts w:eastAsia="Times New Roman"/>
                <w:szCs w:val="24"/>
                <w:lang w:eastAsia="cs-CZ"/>
              </w:rPr>
            </w:pPr>
            <w:r w:rsidRPr="00730B1E">
              <w:rPr>
                <w:rFonts w:eastAsia="Times New Roman"/>
                <w:szCs w:val="24"/>
                <w:lang w:eastAsia="cs-CZ"/>
              </w:rPr>
              <w:t>KS Praha</w:t>
            </w:r>
          </w:p>
        </w:tc>
        <w:tc>
          <w:tcPr>
            <w:tcW w:w="1060" w:type="dxa"/>
            <w:tcBorders>
              <w:top w:val="nil"/>
              <w:left w:val="nil"/>
              <w:bottom w:val="single" w:sz="4" w:space="0" w:color="auto"/>
              <w:right w:val="nil"/>
            </w:tcBorders>
            <w:shd w:val="clear" w:color="auto" w:fill="auto"/>
            <w:noWrap/>
            <w:vAlign w:val="bottom"/>
            <w:hideMark/>
          </w:tcPr>
          <w:p w14:paraId="7DF7D3C3" w14:textId="77777777"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w:t>
            </w:r>
          </w:p>
        </w:tc>
        <w:tc>
          <w:tcPr>
            <w:tcW w:w="1016" w:type="dxa"/>
            <w:tcBorders>
              <w:top w:val="nil"/>
              <w:left w:val="nil"/>
              <w:bottom w:val="single" w:sz="4" w:space="0" w:color="auto"/>
              <w:right w:val="nil"/>
            </w:tcBorders>
            <w:shd w:val="clear" w:color="auto" w:fill="auto"/>
            <w:noWrap/>
            <w:vAlign w:val="bottom"/>
            <w:hideMark/>
          </w:tcPr>
          <w:p w14:paraId="2783CF8F" w14:textId="14FBC5DD"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246,00</w:t>
            </w:r>
          </w:p>
        </w:tc>
        <w:tc>
          <w:tcPr>
            <w:tcW w:w="1024" w:type="dxa"/>
            <w:tcBorders>
              <w:top w:val="nil"/>
              <w:left w:val="nil"/>
              <w:bottom w:val="single" w:sz="4" w:space="0" w:color="auto"/>
              <w:right w:val="nil"/>
            </w:tcBorders>
            <w:shd w:val="clear" w:color="auto" w:fill="auto"/>
            <w:noWrap/>
            <w:vAlign w:val="center"/>
            <w:hideMark/>
          </w:tcPr>
          <w:p w14:paraId="06BE7433"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+73 %  </w:t>
            </w:r>
          </w:p>
        </w:tc>
        <w:tc>
          <w:tcPr>
            <w:tcW w:w="1016" w:type="dxa"/>
            <w:tcBorders>
              <w:top w:val="nil"/>
              <w:left w:val="single" w:sz="4" w:space="0" w:color="auto"/>
              <w:bottom w:val="single" w:sz="4" w:space="0" w:color="auto"/>
              <w:right w:val="nil"/>
            </w:tcBorders>
            <w:shd w:val="clear" w:color="auto" w:fill="auto"/>
            <w:noWrap/>
            <w:vAlign w:val="bottom"/>
            <w:hideMark/>
          </w:tcPr>
          <w:p w14:paraId="537C746F" w14:textId="2109F570"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268,00</w:t>
            </w:r>
          </w:p>
        </w:tc>
        <w:tc>
          <w:tcPr>
            <w:tcW w:w="1024" w:type="dxa"/>
            <w:tcBorders>
              <w:top w:val="nil"/>
              <w:left w:val="nil"/>
              <w:bottom w:val="single" w:sz="4" w:space="0" w:color="auto"/>
              <w:right w:val="single" w:sz="4" w:space="0" w:color="auto"/>
            </w:tcBorders>
            <w:shd w:val="clear" w:color="auto" w:fill="auto"/>
            <w:noWrap/>
            <w:vAlign w:val="center"/>
            <w:hideMark/>
          </w:tcPr>
          <w:p w14:paraId="688BB118"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+55 %  </w:t>
            </w:r>
          </w:p>
        </w:tc>
        <w:tc>
          <w:tcPr>
            <w:tcW w:w="1016" w:type="dxa"/>
            <w:tcBorders>
              <w:top w:val="nil"/>
              <w:left w:val="nil"/>
              <w:bottom w:val="single" w:sz="4" w:space="0" w:color="auto"/>
              <w:right w:val="nil"/>
            </w:tcBorders>
            <w:shd w:val="clear" w:color="auto" w:fill="auto"/>
            <w:noWrap/>
            <w:vAlign w:val="bottom"/>
            <w:hideMark/>
          </w:tcPr>
          <w:p w14:paraId="5215DFB4" w14:textId="6FFC8B37"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115,00</w:t>
            </w:r>
          </w:p>
        </w:tc>
        <w:tc>
          <w:tcPr>
            <w:tcW w:w="1024" w:type="dxa"/>
            <w:tcBorders>
              <w:top w:val="nil"/>
              <w:left w:val="nil"/>
              <w:bottom w:val="single" w:sz="4" w:space="0" w:color="auto"/>
              <w:right w:val="nil"/>
            </w:tcBorders>
            <w:shd w:val="clear" w:color="auto" w:fill="auto"/>
            <w:noWrap/>
            <w:vAlign w:val="center"/>
            <w:hideMark/>
          </w:tcPr>
          <w:p w14:paraId="2C33CB24"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+68 %  </w:t>
            </w:r>
          </w:p>
        </w:tc>
      </w:tr>
      <w:tr w:rsidR="00B64E96" w:rsidRPr="00730B1E" w14:paraId="6898B520" w14:textId="77777777" w:rsidTr="00C24867">
        <w:trPr>
          <w:trHeight w:val="315"/>
        </w:trPr>
        <w:tc>
          <w:tcPr>
            <w:tcW w:w="1820" w:type="dxa"/>
            <w:tcBorders>
              <w:top w:val="nil"/>
              <w:left w:val="nil"/>
              <w:bottom w:val="single" w:sz="4" w:space="0" w:color="auto"/>
              <w:right w:val="nil"/>
            </w:tcBorders>
            <w:shd w:val="clear" w:color="auto" w:fill="auto"/>
            <w:noWrap/>
            <w:vAlign w:val="bottom"/>
            <w:hideMark/>
          </w:tcPr>
          <w:p w14:paraId="0C011862" w14:textId="77777777" w:rsidR="00C24867" w:rsidRPr="00730B1E" w:rsidRDefault="00C24867" w:rsidP="00C24867">
            <w:pPr>
              <w:spacing w:line="240" w:lineRule="auto"/>
              <w:jc w:val="left"/>
              <w:rPr>
                <w:rFonts w:eastAsia="Times New Roman"/>
                <w:szCs w:val="24"/>
                <w:lang w:eastAsia="cs-CZ"/>
              </w:rPr>
            </w:pPr>
            <w:r w:rsidRPr="00730B1E">
              <w:rPr>
                <w:rFonts w:eastAsia="Times New Roman"/>
                <w:szCs w:val="24"/>
                <w:lang w:eastAsia="cs-CZ"/>
              </w:rPr>
              <w:t>KS Č. Budějovice</w:t>
            </w:r>
          </w:p>
        </w:tc>
        <w:tc>
          <w:tcPr>
            <w:tcW w:w="1060" w:type="dxa"/>
            <w:tcBorders>
              <w:top w:val="nil"/>
              <w:left w:val="nil"/>
              <w:bottom w:val="single" w:sz="4" w:space="0" w:color="auto"/>
              <w:right w:val="nil"/>
            </w:tcBorders>
            <w:shd w:val="clear" w:color="auto" w:fill="auto"/>
            <w:noWrap/>
            <w:vAlign w:val="bottom"/>
            <w:hideMark/>
          </w:tcPr>
          <w:p w14:paraId="211124BF" w14:textId="2969B98E"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2,5</w:t>
            </w:r>
          </w:p>
        </w:tc>
        <w:tc>
          <w:tcPr>
            <w:tcW w:w="1016" w:type="dxa"/>
            <w:tcBorders>
              <w:top w:val="nil"/>
              <w:left w:val="nil"/>
              <w:bottom w:val="single" w:sz="4" w:space="0" w:color="auto"/>
              <w:right w:val="nil"/>
            </w:tcBorders>
            <w:shd w:val="clear" w:color="auto" w:fill="auto"/>
            <w:noWrap/>
            <w:vAlign w:val="bottom"/>
            <w:hideMark/>
          </w:tcPr>
          <w:p w14:paraId="29BB6F42" w14:textId="1B0CBE4E"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174,80</w:t>
            </w:r>
          </w:p>
        </w:tc>
        <w:tc>
          <w:tcPr>
            <w:tcW w:w="1024" w:type="dxa"/>
            <w:tcBorders>
              <w:top w:val="nil"/>
              <w:left w:val="nil"/>
              <w:bottom w:val="single" w:sz="4" w:space="0" w:color="auto"/>
              <w:right w:val="nil"/>
            </w:tcBorders>
            <w:shd w:val="clear" w:color="auto" w:fill="auto"/>
            <w:noWrap/>
            <w:vAlign w:val="center"/>
            <w:hideMark/>
          </w:tcPr>
          <w:p w14:paraId="16A7EF7A"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+141 %  </w:t>
            </w:r>
          </w:p>
        </w:tc>
        <w:tc>
          <w:tcPr>
            <w:tcW w:w="1016" w:type="dxa"/>
            <w:tcBorders>
              <w:top w:val="nil"/>
              <w:left w:val="single" w:sz="4" w:space="0" w:color="auto"/>
              <w:bottom w:val="single" w:sz="4" w:space="0" w:color="auto"/>
              <w:right w:val="nil"/>
            </w:tcBorders>
            <w:shd w:val="clear" w:color="auto" w:fill="auto"/>
            <w:noWrap/>
            <w:vAlign w:val="bottom"/>
            <w:hideMark/>
          </w:tcPr>
          <w:p w14:paraId="439ACD26" w14:textId="7B14EA4E"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173,60</w:t>
            </w:r>
          </w:p>
        </w:tc>
        <w:tc>
          <w:tcPr>
            <w:tcW w:w="1024" w:type="dxa"/>
            <w:tcBorders>
              <w:top w:val="nil"/>
              <w:left w:val="nil"/>
              <w:bottom w:val="single" w:sz="4" w:space="0" w:color="auto"/>
              <w:right w:val="single" w:sz="4" w:space="0" w:color="auto"/>
            </w:tcBorders>
            <w:shd w:val="clear" w:color="auto" w:fill="auto"/>
            <w:noWrap/>
            <w:vAlign w:val="center"/>
            <w:hideMark/>
          </w:tcPr>
          <w:p w14:paraId="24BCFCA1"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+119 %  </w:t>
            </w:r>
          </w:p>
        </w:tc>
        <w:tc>
          <w:tcPr>
            <w:tcW w:w="1016" w:type="dxa"/>
            <w:tcBorders>
              <w:top w:val="nil"/>
              <w:left w:val="nil"/>
              <w:bottom w:val="single" w:sz="4" w:space="0" w:color="auto"/>
              <w:right w:val="nil"/>
            </w:tcBorders>
            <w:shd w:val="clear" w:color="auto" w:fill="auto"/>
            <w:noWrap/>
            <w:vAlign w:val="bottom"/>
            <w:hideMark/>
          </w:tcPr>
          <w:p w14:paraId="01346D75" w14:textId="4810C253"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118,00</w:t>
            </w:r>
          </w:p>
        </w:tc>
        <w:tc>
          <w:tcPr>
            <w:tcW w:w="1024" w:type="dxa"/>
            <w:tcBorders>
              <w:top w:val="nil"/>
              <w:left w:val="nil"/>
              <w:bottom w:val="single" w:sz="4" w:space="0" w:color="auto"/>
              <w:right w:val="nil"/>
            </w:tcBorders>
            <w:shd w:val="clear" w:color="auto" w:fill="auto"/>
            <w:noWrap/>
            <w:vAlign w:val="center"/>
            <w:hideMark/>
          </w:tcPr>
          <w:p w14:paraId="5357C11F"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+159 %  </w:t>
            </w:r>
          </w:p>
        </w:tc>
      </w:tr>
      <w:tr w:rsidR="00B64E96" w:rsidRPr="00730B1E" w14:paraId="10A05E23" w14:textId="77777777" w:rsidTr="00C24867">
        <w:trPr>
          <w:trHeight w:val="315"/>
        </w:trPr>
        <w:tc>
          <w:tcPr>
            <w:tcW w:w="1820" w:type="dxa"/>
            <w:tcBorders>
              <w:top w:val="nil"/>
              <w:left w:val="nil"/>
              <w:bottom w:val="single" w:sz="4" w:space="0" w:color="auto"/>
              <w:right w:val="nil"/>
            </w:tcBorders>
            <w:shd w:val="clear" w:color="auto" w:fill="auto"/>
            <w:noWrap/>
            <w:vAlign w:val="bottom"/>
            <w:hideMark/>
          </w:tcPr>
          <w:p w14:paraId="45698363" w14:textId="77777777" w:rsidR="00C24867" w:rsidRPr="00730B1E" w:rsidRDefault="00C24867" w:rsidP="00C24867">
            <w:pPr>
              <w:spacing w:line="240" w:lineRule="auto"/>
              <w:jc w:val="left"/>
              <w:rPr>
                <w:rFonts w:eastAsia="Times New Roman"/>
                <w:szCs w:val="24"/>
                <w:lang w:eastAsia="cs-CZ"/>
              </w:rPr>
            </w:pPr>
            <w:r w:rsidRPr="00730B1E">
              <w:rPr>
                <w:rFonts w:eastAsia="Times New Roman"/>
                <w:szCs w:val="24"/>
                <w:lang w:eastAsia="cs-CZ"/>
              </w:rPr>
              <w:t>KS Plzeň</w:t>
            </w:r>
          </w:p>
        </w:tc>
        <w:tc>
          <w:tcPr>
            <w:tcW w:w="1060" w:type="dxa"/>
            <w:tcBorders>
              <w:top w:val="nil"/>
              <w:left w:val="nil"/>
              <w:bottom w:val="single" w:sz="4" w:space="0" w:color="auto"/>
              <w:right w:val="nil"/>
            </w:tcBorders>
            <w:shd w:val="clear" w:color="auto" w:fill="auto"/>
            <w:noWrap/>
            <w:vAlign w:val="bottom"/>
            <w:hideMark/>
          </w:tcPr>
          <w:p w14:paraId="7BE242FB" w14:textId="77777777"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5</w:t>
            </w:r>
          </w:p>
        </w:tc>
        <w:tc>
          <w:tcPr>
            <w:tcW w:w="1016" w:type="dxa"/>
            <w:tcBorders>
              <w:top w:val="nil"/>
              <w:left w:val="nil"/>
              <w:bottom w:val="single" w:sz="4" w:space="0" w:color="auto"/>
              <w:right w:val="nil"/>
            </w:tcBorders>
            <w:shd w:val="clear" w:color="auto" w:fill="auto"/>
            <w:noWrap/>
            <w:vAlign w:val="bottom"/>
            <w:hideMark/>
          </w:tcPr>
          <w:p w14:paraId="3230851B" w14:textId="66B1B7E9"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232,20</w:t>
            </w:r>
          </w:p>
        </w:tc>
        <w:tc>
          <w:tcPr>
            <w:tcW w:w="1024" w:type="dxa"/>
            <w:tcBorders>
              <w:top w:val="nil"/>
              <w:left w:val="nil"/>
              <w:bottom w:val="single" w:sz="4" w:space="0" w:color="auto"/>
              <w:right w:val="nil"/>
            </w:tcBorders>
            <w:shd w:val="clear" w:color="auto" w:fill="auto"/>
            <w:noWrap/>
            <w:vAlign w:val="center"/>
            <w:hideMark/>
          </w:tcPr>
          <w:p w14:paraId="0A6F2245"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1016" w:type="dxa"/>
            <w:tcBorders>
              <w:top w:val="nil"/>
              <w:left w:val="single" w:sz="4" w:space="0" w:color="auto"/>
              <w:bottom w:val="single" w:sz="4" w:space="0" w:color="auto"/>
              <w:right w:val="nil"/>
            </w:tcBorders>
            <w:shd w:val="clear" w:color="auto" w:fill="auto"/>
            <w:noWrap/>
            <w:vAlign w:val="bottom"/>
            <w:hideMark/>
          </w:tcPr>
          <w:p w14:paraId="64827327" w14:textId="71F3012E"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170,80</w:t>
            </w:r>
          </w:p>
        </w:tc>
        <w:tc>
          <w:tcPr>
            <w:tcW w:w="1024" w:type="dxa"/>
            <w:tcBorders>
              <w:top w:val="nil"/>
              <w:left w:val="nil"/>
              <w:bottom w:val="single" w:sz="4" w:space="0" w:color="auto"/>
              <w:right w:val="single" w:sz="4" w:space="0" w:color="auto"/>
            </w:tcBorders>
            <w:shd w:val="clear" w:color="auto" w:fill="auto"/>
            <w:noWrap/>
            <w:vAlign w:val="center"/>
            <w:hideMark/>
          </w:tcPr>
          <w:p w14:paraId="7B8880F2"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-37 %  </w:t>
            </w:r>
          </w:p>
        </w:tc>
        <w:tc>
          <w:tcPr>
            <w:tcW w:w="1016" w:type="dxa"/>
            <w:tcBorders>
              <w:top w:val="nil"/>
              <w:left w:val="nil"/>
              <w:bottom w:val="single" w:sz="4" w:space="0" w:color="auto"/>
              <w:right w:val="nil"/>
            </w:tcBorders>
            <w:shd w:val="clear" w:color="auto" w:fill="auto"/>
            <w:noWrap/>
            <w:vAlign w:val="bottom"/>
            <w:hideMark/>
          </w:tcPr>
          <w:p w14:paraId="3EC7C5B1" w14:textId="0335067C"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204,20</w:t>
            </w:r>
          </w:p>
        </w:tc>
        <w:tc>
          <w:tcPr>
            <w:tcW w:w="1024" w:type="dxa"/>
            <w:tcBorders>
              <w:top w:val="nil"/>
              <w:left w:val="nil"/>
              <w:bottom w:val="single" w:sz="4" w:space="0" w:color="auto"/>
              <w:right w:val="nil"/>
            </w:tcBorders>
            <w:shd w:val="clear" w:color="auto" w:fill="auto"/>
            <w:noWrap/>
            <w:vAlign w:val="center"/>
            <w:hideMark/>
          </w:tcPr>
          <w:p w14:paraId="10F7E1DC"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+22 %  </w:t>
            </w:r>
          </w:p>
        </w:tc>
      </w:tr>
      <w:tr w:rsidR="00B64E96" w:rsidRPr="00730B1E" w14:paraId="77E95F80" w14:textId="77777777" w:rsidTr="00C24867">
        <w:trPr>
          <w:trHeight w:val="315"/>
        </w:trPr>
        <w:tc>
          <w:tcPr>
            <w:tcW w:w="1820" w:type="dxa"/>
            <w:tcBorders>
              <w:top w:val="nil"/>
              <w:left w:val="nil"/>
              <w:bottom w:val="single" w:sz="4" w:space="0" w:color="auto"/>
              <w:right w:val="nil"/>
            </w:tcBorders>
            <w:shd w:val="clear" w:color="auto" w:fill="auto"/>
            <w:noWrap/>
            <w:vAlign w:val="bottom"/>
            <w:hideMark/>
          </w:tcPr>
          <w:p w14:paraId="73481471" w14:textId="77777777" w:rsidR="00C24867" w:rsidRPr="00730B1E" w:rsidRDefault="00C24867" w:rsidP="00C24867">
            <w:pPr>
              <w:spacing w:line="240" w:lineRule="auto"/>
              <w:jc w:val="left"/>
              <w:rPr>
                <w:rFonts w:eastAsia="Times New Roman"/>
                <w:szCs w:val="24"/>
                <w:lang w:eastAsia="cs-CZ"/>
              </w:rPr>
            </w:pPr>
            <w:r w:rsidRPr="00730B1E">
              <w:rPr>
                <w:rFonts w:eastAsia="Times New Roman"/>
                <w:szCs w:val="24"/>
                <w:lang w:eastAsia="cs-CZ"/>
              </w:rPr>
              <w:t>KS Ústí n. Labem</w:t>
            </w:r>
          </w:p>
        </w:tc>
        <w:tc>
          <w:tcPr>
            <w:tcW w:w="1060" w:type="dxa"/>
            <w:tcBorders>
              <w:top w:val="nil"/>
              <w:left w:val="nil"/>
              <w:bottom w:val="single" w:sz="4" w:space="0" w:color="auto"/>
              <w:right w:val="nil"/>
            </w:tcBorders>
            <w:shd w:val="clear" w:color="auto" w:fill="auto"/>
            <w:noWrap/>
            <w:vAlign w:val="bottom"/>
            <w:hideMark/>
          </w:tcPr>
          <w:p w14:paraId="2F4527F1" w14:textId="3CD67485"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6,81</w:t>
            </w:r>
          </w:p>
        </w:tc>
        <w:tc>
          <w:tcPr>
            <w:tcW w:w="1016" w:type="dxa"/>
            <w:tcBorders>
              <w:top w:val="nil"/>
              <w:left w:val="nil"/>
              <w:bottom w:val="single" w:sz="4" w:space="0" w:color="auto"/>
              <w:right w:val="nil"/>
            </w:tcBorders>
            <w:shd w:val="clear" w:color="auto" w:fill="auto"/>
            <w:noWrap/>
            <w:vAlign w:val="bottom"/>
            <w:hideMark/>
          </w:tcPr>
          <w:p w14:paraId="0B1A09D1" w14:textId="77C78B2A"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320,56</w:t>
            </w:r>
          </w:p>
        </w:tc>
        <w:tc>
          <w:tcPr>
            <w:tcW w:w="1024" w:type="dxa"/>
            <w:tcBorders>
              <w:top w:val="nil"/>
              <w:left w:val="nil"/>
              <w:bottom w:val="single" w:sz="4" w:space="0" w:color="auto"/>
              <w:right w:val="nil"/>
            </w:tcBorders>
            <w:shd w:val="clear" w:color="auto" w:fill="auto"/>
            <w:noWrap/>
            <w:vAlign w:val="center"/>
            <w:hideMark/>
          </w:tcPr>
          <w:p w14:paraId="00F7526C"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+38 %  </w:t>
            </w:r>
          </w:p>
        </w:tc>
        <w:tc>
          <w:tcPr>
            <w:tcW w:w="1016" w:type="dxa"/>
            <w:tcBorders>
              <w:top w:val="nil"/>
              <w:left w:val="single" w:sz="4" w:space="0" w:color="auto"/>
              <w:bottom w:val="single" w:sz="4" w:space="0" w:color="auto"/>
              <w:right w:val="nil"/>
            </w:tcBorders>
            <w:shd w:val="clear" w:color="auto" w:fill="auto"/>
            <w:noWrap/>
            <w:vAlign w:val="bottom"/>
            <w:hideMark/>
          </w:tcPr>
          <w:p w14:paraId="2B21B541" w14:textId="614B9A14"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206,31</w:t>
            </w:r>
          </w:p>
        </w:tc>
        <w:tc>
          <w:tcPr>
            <w:tcW w:w="1024" w:type="dxa"/>
            <w:tcBorders>
              <w:top w:val="nil"/>
              <w:left w:val="nil"/>
              <w:bottom w:val="single" w:sz="4" w:space="0" w:color="auto"/>
              <w:right w:val="single" w:sz="4" w:space="0" w:color="auto"/>
            </w:tcBorders>
            <w:shd w:val="clear" w:color="auto" w:fill="auto"/>
            <w:noWrap/>
            <w:vAlign w:val="center"/>
            <w:hideMark/>
          </w:tcPr>
          <w:p w14:paraId="4733450C"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1016" w:type="dxa"/>
            <w:tcBorders>
              <w:top w:val="nil"/>
              <w:left w:val="nil"/>
              <w:bottom w:val="single" w:sz="4" w:space="0" w:color="auto"/>
              <w:right w:val="nil"/>
            </w:tcBorders>
            <w:shd w:val="clear" w:color="auto" w:fill="auto"/>
            <w:noWrap/>
            <w:vAlign w:val="bottom"/>
            <w:hideMark/>
          </w:tcPr>
          <w:p w14:paraId="14ECB8D0" w14:textId="658C772D"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322,17</w:t>
            </w:r>
          </w:p>
        </w:tc>
        <w:tc>
          <w:tcPr>
            <w:tcW w:w="1024" w:type="dxa"/>
            <w:tcBorders>
              <w:top w:val="nil"/>
              <w:left w:val="nil"/>
              <w:bottom w:val="single" w:sz="4" w:space="0" w:color="auto"/>
              <w:right w:val="nil"/>
            </w:tcBorders>
            <w:shd w:val="clear" w:color="auto" w:fill="auto"/>
            <w:noWrap/>
            <w:vAlign w:val="center"/>
            <w:hideMark/>
          </w:tcPr>
          <w:p w14:paraId="587ABE74"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+49 %  </w:t>
            </w:r>
          </w:p>
        </w:tc>
      </w:tr>
      <w:tr w:rsidR="00B64E96" w:rsidRPr="00730B1E" w14:paraId="1F82478C" w14:textId="77777777" w:rsidTr="00C24867">
        <w:trPr>
          <w:trHeight w:val="315"/>
        </w:trPr>
        <w:tc>
          <w:tcPr>
            <w:tcW w:w="1820" w:type="dxa"/>
            <w:tcBorders>
              <w:top w:val="nil"/>
              <w:left w:val="nil"/>
              <w:bottom w:val="single" w:sz="4" w:space="0" w:color="auto"/>
              <w:right w:val="nil"/>
            </w:tcBorders>
            <w:shd w:val="clear" w:color="auto" w:fill="auto"/>
            <w:noWrap/>
            <w:vAlign w:val="bottom"/>
            <w:hideMark/>
          </w:tcPr>
          <w:p w14:paraId="4F0198E7" w14:textId="77777777" w:rsidR="00C24867" w:rsidRPr="00730B1E" w:rsidRDefault="00C24867" w:rsidP="00C24867">
            <w:pPr>
              <w:spacing w:line="240" w:lineRule="auto"/>
              <w:jc w:val="left"/>
              <w:rPr>
                <w:rFonts w:eastAsia="Times New Roman"/>
                <w:szCs w:val="24"/>
                <w:lang w:eastAsia="cs-CZ"/>
              </w:rPr>
            </w:pPr>
            <w:r w:rsidRPr="00730B1E">
              <w:rPr>
                <w:rFonts w:eastAsia="Times New Roman"/>
                <w:szCs w:val="24"/>
                <w:lang w:eastAsia="cs-CZ"/>
              </w:rPr>
              <w:t>KS Hr. Králové</w:t>
            </w:r>
          </w:p>
        </w:tc>
        <w:tc>
          <w:tcPr>
            <w:tcW w:w="1060" w:type="dxa"/>
            <w:tcBorders>
              <w:top w:val="nil"/>
              <w:left w:val="nil"/>
              <w:bottom w:val="single" w:sz="4" w:space="0" w:color="auto"/>
              <w:right w:val="nil"/>
            </w:tcBorders>
            <w:shd w:val="clear" w:color="auto" w:fill="auto"/>
            <w:noWrap/>
            <w:vAlign w:val="bottom"/>
            <w:hideMark/>
          </w:tcPr>
          <w:p w14:paraId="0B53A2DF" w14:textId="15422372"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5,5</w:t>
            </w:r>
          </w:p>
        </w:tc>
        <w:tc>
          <w:tcPr>
            <w:tcW w:w="1016" w:type="dxa"/>
            <w:tcBorders>
              <w:top w:val="nil"/>
              <w:left w:val="nil"/>
              <w:bottom w:val="single" w:sz="4" w:space="0" w:color="auto"/>
              <w:right w:val="nil"/>
            </w:tcBorders>
            <w:shd w:val="clear" w:color="auto" w:fill="auto"/>
            <w:noWrap/>
            <w:vAlign w:val="bottom"/>
            <w:hideMark/>
          </w:tcPr>
          <w:p w14:paraId="229C0D65" w14:textId="01B4882B"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542,73</w:t>
            </w:r>
          </w:p>
        </w:tc>
        <w:tc>
          <w:tcPr>
            <w:tcW w:w="1024" w:type="dxa"/>
            <w:tcBorders>
              <w:top w:val="nil"/>
              <w:left w:val="nil"/>
              <w:bottom w:val="single" w:sz="4" w:space="0" w:color="auto"/>
              <w:right w:val="nil"/>
            </w:tcBorders>
            <w:shd w:val="clear" w:color="auto" w:fill="auto"/>
            <w:noWrap/>
            <w:vAlign w:val="center"/>
            <w:hideMark/>
          </w:tcPr>
          <w:p w14:paraId="57BAA100"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+45 %  </w:t>
            </w:r>
          </w:p>
        </w:tc>
        <w:tc>
          <w:tcPr>
            <w:tcW w:w="1016" w:type="dxa"/>
            <w:tcBorders>
              <w:top w:val="nil"/>
              <w:left w:val="single" w:sz="4" w:space="0" w:color="auto"/>
              <w:bottom w:val="single" w:sz="4" w:space="0" w:color="auto"/>
              <w:right w:val="nil"/>
            </w:tcBorders>
            <w:shd w:val="clear" w:color="auto" w:fill="auto"/>
            <w:noWrap/>
            <w:vAlign w:val="bottom"/>
            <w:hideMark/>
          </w:tcPr>
          <w:p w14:paraId="2DBF5784" w14:textId="60BADD78"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401,45</w:t>
            </w:r>
          </w:p>
        </w:tc>
        <w:tc>
          <w:tcPr>
            <w:tcW w:w="1024" w:type="dxa"/>
            <w:tcBorders>
              <w:top w:val="nil"/>
              <w:left w:val="nil"/>
              <w:bottom w:val="single" w:sz="4" w:space="0" w:color="auto"/>
              <w:right w:val="single" w:sz="4" w:space="0" w:color="auto"/>
            </w:tcBorders>
            <w:shd w:val="clear" w:color="auto" w:fill="auto"/>
            <w:noWrap/>
            <w:vAlign w:val="center"/>
            <w:hideMark/>
          </w:tcPr>
          <w:p w14:paraId="208D269E"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016" w:type="dxa"/>
            <w:tcBorders>
              <w:top w:val="nil"/>
              <w:left w:val="nil"/>
              <w:bottom w:val="single" w:sz="4" w:space="0" w:color="auto"/>
              <w:right w:val="nil"/>
            </w:tcBorders>
            <w:shd w:val="clear" w:color="auto" w:fill="auto"/>
            <w:noWrap/>
            <w:vAlign w:val="bottom"/>
            <w:hideMark/>
          </w:tcPr>
          <w:p w14:paraId="620F2FB2" w14:textId="560264A3"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372,55</w:t>
            </w:r>
          </w:p>
        </w:tc>
        <w:tc>
          <w:tcPr>
            <w:tcW w:w="1024" w:type="dxa"/>
            <w:tcBorders>
              <w:top w:val="nil"/>
              <w:left w:val="nil"/>
              <w:bottom w:val="single" w:sz="4" w:space="0" w:color="auto"/>
              <w:right w:val="nil"/>
            </w:tcBorders>
            <w:shd w:val="clear" w:color="auto" w:fill="auto"/>
            <w:noWrap/>
            <w:vAlign w:val="center"/>
            <w:hideMark/>
          </w:tcPr>
          <w:p w14:paraId="7BA5B79F"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+76 %  </w:t>
            </w:r>
          </w:p>
        </w:tc>
      </w:tr>
      <w:tr w:rsidR="00B64E96" w:rsidRPr="00730B1E" w14:paraId="2E7E7838" w14:textId="77777777" w:rsidTr="00C24867">
        <w:trPr>
          <w:trHeight w:val="315"/>
        </w:trPr>
        <w:tc>
          <w:tcPr>
            <w:tcW w:w="1820" w:type="dxa"/>
            <w:tcBorders>
              <w:top w:val="nil"/>
              <w:left w:val="nil"/>
              <w:bottom w:val="single" w:sz="4" w:space="0" w:color="auto"/>
              <w:right w:val="nil"/>
            </w:tcBorders>
            <w:shd w:val="clear" w:color="auto" w:fill="auto"/>
            <w:noWrap/>
            <w:vAlign w:val="bottom"/>
            <w:hideMark/>
          </w:tcPr>
          <w:p w14:paraId="63FF9834" w14:textId="77777777" w:rsidR="00C24867" w:rsidRPr="00730B1E" w:rsidRDefault="00C24867" w:rsidP="00C24867">
            <w:pPr>
              <w:spacing w:line="240" w:lineRule="auto"/>
              <w:jc w:val="left"/>
              <w:rPr>
                <w:rFonts w:eastAsia="Times New Roman"/>
                <w:szCs w:val="24"/>
                <w:lang w:eastAsia="cs-CZ"/>
              </w:rPr>
            </w:pPr>
            <w:r w:rsidRPr="00730B1E">
              <w:rPr>
                <w:rFonts w:eastAsia="Times New Roman"/>
                <w:szCs w:val="24"/>
                <w:lang w:eastAsia="cs-CZ"/>
              </w:rPr>
              <w:t>KS Brno</w:t>
            </w:r>
          </w:p>
        </w:tc>
        <w:tc>
          <w:tcPr>
            <w:tcW w:w="1060" w:type="dxa"/>
            <w:tcBorders>
              <w:top w:val="nil"/>
              <w:left w:val="nil"/>
              <w:bottom w:val="single" w:sz="4" w:space="0" w:color="auto"/>
              <w:right w:val="nil"/>
            </w:tcBorders>
            <w:shd w:val="clear" w:color="auto" w:fill="auto"/>
            <w:noWrap/>
            <w:vAlign w:val="bottom"/>
            <w:hideMark/>
          </w:tcPr>
          <w:p w14:paraId="5F7EF4A1" w14:textId="77777777"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17</w:t>
            </w:r>
          </w:p>
        </w:tc>
        <w:tc>
          <w:tcPr>
            <w:tcW w:w="1016" w:type="dxa"/>
            <w:tcBorders>
              <w:top w:val="nil"/>
              <w:left w:val="nil"/>
              <w:bottom w:val="single" w:sz="4" w:space="0" w:color="auto"/>
              <w:right w:val="nil"/>
            </w:tcBorders>
            <w:shd w:val="clear" w:color="auto" w:fill="auto"/>
            <w:noWrap/>
            <w:vAlign w:val="bottom"/>
            <w:hideMark/>
          </w:tcPr>
          <w:p w14:paraId="247BBA5A" w14:textId="672BC184"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179,24</w:t>
            </w:r>
          </w:p>
        </w:tc>
        <w:tc>
          <w:tcPr>
            <w:tcW w:w="1024" w:type="dxa"/>
            <w:tcBorders>
              <w:top w:val="nil"/>
              <w:left w:val="nil"/>
              <w:bottom w:val="single" w:sz="4" w:space="0" w:color="auto"/>
              <w:right w:val="nil"/>
            </w:tcBorders>
            <w:shd w:val="clear" w:color="auto" w:fill="auto"/>
            <w:noWrap/>
            <w:vAlign w:val="center"/>
            <w:hideMark/>
          </w:tcPr>
          <w:p w14:paraId="39A8DDD2" w14:textId="6F9F20BD"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16" w:type="dxa"/>
            <w:tcBorders>
              <w:top w:val="nil"/>
              <w:left w:val="single" w:sz="4" w:space="0" w:color="auto"/>
              <w:bottom w:val="single" w:sz="4" w:space="0" w:color="auto"/>
              <w:right w:val="nil"/>
            </w:tcBorders>
            <w:shd w:val="clear" w:color="auto" w:fill="auto"/>
            <w:noWrap/>
            <w:vAlign w:val="bottom"/>
            <w:hideMark/>
          </w:tcPr>
          <w:p w14:paraId="1E5293F0" w14:textId="1E4166B6"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171,00</w:t>
            </w:r>
          </w:p>
        </w:tc>
        <w:tc>
          <w:tcPr>
            <w:tcW w:w="1024" w:type="dxa"/>
            <w:tcBorders>
              <w:top w:val="nil"/>
              <w:left w:val="nil"/>
              <w:bottom w:val="single" w:sz="4" w:space="0" w:color="auto"/>
              <w:right w:val="single" w:sz="4" w:space="0" w:color="auto"/>
            </w:tcBorders>
            <w:shd w:val="clear" w:color="auto" w:fill="auto"/>
            <w:noWrap/>
            <w:vAlign w:val="center"/>
            <w:hideMark/>
          </w:tcPr>
          <w:p w14:paraId="61021F13"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016" w:type="dxa"/>
            <w:tcBorders>
              <w:top w:val="nil"/>
              <w:left w:val="nil"/>
              <w:bottom w:val="single" w:sz="4" w:space="0" w:color="auto"/>
              <w:right w:val="nil"/>
            </w:tcBorders>
            <w:shd w:val="clear" w:color="auto" w:fill="auto"/>
            <w:noWrap/>
            <w:vAlign w:val="bottom"/>
            <w:hideMark/>
          </w:tcPr>
          <w:p w14:paraId="296F0148" w14:textId="0C151A95"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158,82</w:t>
            </w:r>
          </w:p>
        </w:tc>
        <w:tc>
          <w:tcPr>
            <w:tcW w:w="1024" w:type="dxa"/>
            <w:tcBorders>
              <w:top w:val="nil"/>
              <w:left w:val="nil"/>
              <w:bottom w:val="single" w:sz="4" w:space="0" w:color="auto"/>
              <w:right w:val="nil"/>
            </w:tcBorders>
            <w:shd w:val="clear" w:color="auto" w:fill="auto"/>
            <w:noWrap/>
            <w:vAlign w:val="center"/>
            <w:hideMark/>
          </w:tcPr>
          <w:p w14:paraId="2290F7C8"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2DAA06F8" w14:textId="77777777" w:rsidTr="00C24867">
        <w:trPr>
          <w:trHeight w:val="330"/>
        </w:trPr>
        <w:tc>
          <w:tcPr>
            <w:tcW w:w="1820" w:type="dxa"/>
            <w:tcBorders>
              <w:top w:val="nil"/>
              <w:left w:val="nil"/>
              <w:bottom w:val="double" w:sz="6" w:space="0" w:color="auto"/>
              <w:right w:val="nil"/>
            </w:tcBorders>
            <w:shd w:val="clear" w:color="auto" w:fill="auto"/>
            <w:noWrap/>
            <w:vAlign w:val="bottom"/>
            <w:hideMark/>
          </w:tcPr>
          <w:p w14:paraId="44D6B78A" w14:textId="77777777" w:rsidR="00C24867" w:rsidRPr="00730B1E" w:rsidRDefault="00C24867" w:rsidP="00C24867">
            <w:pPr>
              <w:spacing w:line="240" w:lineRule="auto"/>
              <w:jc w:val="left"/>
              <w:rPr>
                <w:rFonts w:eastAsia="Times New Roman"/>
                <w:szCs w:val="24"/>
                <w:lang w:eastAsia="cs-CZ"/>
              </w:rPr>
            </w:pPr>
            <w:r w:rsidRPr="00730B1E">
              <w:rPr>
                <w:rFonts w:eastAsia="Times New Roman"/>
                <w:szCs w:val="24"/>
                <w:lang w:eastAsia="cs-CZ"/>
              </w:rPr>
              <w:t>KS Ostrava</w:t>
            </w:r>
          </w:p>
        </w:tc>
        <w:tc>
          <w:tcPr>
            <w:tcW w:w="1060" w:type="dxa"/>
            <w:tcBorders>
              <w:top w:val="nil"/>
              <w:left w:val="nil"/>
              <w:bottom w:val="double" w:sz="6" w:space="0" w:color="auto"/>
              <w:right w:val="nil"/>
            </w:tcBorders>
            <w:shd w:val="clear" w:color="auto" w:fill="auto"/>
            <w:noWrap/>
            <w:vAlign w:val="bottom"/>
            <w:hideMark/>
          </w:tcPr>
          <w:p w14:paraId="7C4BEFA3" w14:textId="2220B02C"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12,8</w:t>
            </w:r>
          </w:p>
        </w:tc>
        <w:tc>
          <w:tcPr>
            <w:tcW w:w="1016" w:type="dxa"/>
            <w:tcBorders>
              <w:top w:val="nil"/>
              <w:left w:val="nil"/>
              <w:bottom w:val="double" w:sz="6" w:space="0" w:color="auto"/>
              <w:right w:val="nil"/>
            </w:tcBorders>
            <w:shd w:val="clear" w:color="auto" w:fill="auto"/>
            <w:noWrap/>
            <w:vAlign w:val="bottom"/>
            <w:hideMark/>
          </w:tcPr>
          <w:p w14:paraId="08353D80" w14:textId="0BFF6DFE"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198,59</w:t>
            </w:r>
          </w:p>
        </w:tc>
        <w:tc>
          <w:tcPr>
            <w:tcW w:w="1024" w:type="dxa"/>
            <w:tcBorders>
              <w:top w:val="nil"/>
              <w:left w:val="nil"/>
              <w:bottom w:val="double" w:sz="6" w:space="0" w:color="auto"/>
              <w:right w:val="nil"/>
            </w:tcBorders>
            <w:shd w:val="clear" w:color="auto" w:fill="auto"/>
            <w:noWrap/>
            <w:vAlign w:val="center"/>
            <w:hideMark/>
          </w:tcPr>
          <w:p w14:paraId="7D84FF95"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c>
          <w:tcPr>
            <w:tcW w:w="1016" w:type="dxa"/>
            <w:tcBorders>
              <w:top w:val="nil"/>
              <w:left w:val="single" w:sz="4" w:space="0" w:color="auto"/>
              <w:bottom w:val="double" w:sz="6" w:space="0" w:color="auto"/>
              <w:right w:val="nil"/>
            </w:tcBorders>
            <w:shd w:val="clear" w:color="auto" w:fill="auto"/>
            <w:noWrap/>
            <w:vAlign w:val="bottom"/>
            <w:hideMark/>
          </w:tcPr>
          <w:p w14:paraId="724DFE26" w14:textId="55D75756"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189,22</w:t>
            </w:r>
          </w:p>
        </w:tc>
        <w:tc>
          <w:tcPr>
            <w:tcW w:w="1024" w:type="dxa"/>
            <w:tcBorders>
              <w:top w:val="nil"/>
              <w:left w:val="nil"/>
              <w:bottom w:val="double" w:sz="6" w:space="0" w:color="auto"/>
              <w:right w:val="single" w:sz="4" w:space="0" w:color="auto"/>
            </w:tcBorders>
            <w:shd w:val="clear" w:color="auto" w:fill="auto"/>
            <w:noWrap/>
            <w:vAlign w:val="center"/>
            <w:hideMark/>
          </w:tcPr>
          <w:p w14:paraId="351BDDEF"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016" w:type="dxa"/>
            <w:tcBorders>
              <w:top w:val="nil"/>
              <w:left w:val="nil"/>
              <w:bottom w:val="double" w:sz="6" w:space="0" w:color="auto"/>
              <w:right w:val="nil"/>
            </w:tcBorders>
            <w:shd w:val="clear" w:color="auto" w:fill="auto"/>
            <w:noWrap/>
            <w:vAlign w:val="bottom"/>
            <w:hideMark/>
          </w:tcPr>
          <w:p w14:paraId="091DE37B" w14:textId="12D3CC21" w:rsidR="00C24867" w:rsidRPr="00730B1E" w:rsidRDefault="00C24867" w:rsidP="00C24867">
            <w:pPr>
              <w:spacing w:line="240" w:lineRule="auto"/>
              <w:jc w:val="center"/>
              <w:rPr>
                <w:rFonts w:eastAsia="Times New Roman"/>
                <w:szCs w:val="24"/>
                <w:lang w:eastAsia="cs-CZ"/>
              </w:rPr>
            </w:pPr>
            <w:r w:rsidRPr="00730B1E">
              <w:rPr>
                <w:rFonts w:eastAsia="Times New Roman"/>
                <w:szCs w:val="24"/>
                <w:lang w:eastAsia="cs-CZ"/>
              </w:rPr>
              <w:t>109,06</w:t>
            </w:r>
          </w:p>
        </w:tc>
        <w:tc>
          <w:tcPr>
            <w:tcW w:w="1024" w:type="dxa"/>
            <w:tcBorders>
              <w:top w:val="nil"/>
              <w:left w:val="nil"/>
              <w:bottom w:val="double" w:sz="6" w:space="0" w:color="auto"/>
              <w:right w:val="nil"/>
            </w:tcBorders>
            <w:shd w:val="clear" w:color="auto" w:fill="auto"/>
            <w:noWrap/>
            <w:vAlign w:val="center"/>
            <w:hideMark/>
          </w:tcPr>
          <w:p w14:paraId="5AACAE5D" w14:textId="77777777" w:rsidR="00C24867" w:rsidRPr="00730B1E" w:rsidRDefault="00C24867" w:rsidP="00C24867">
            <w:pPr>
              <w:spacing w:line="240" w:lineRule="auto"/>
              <w:jc w:val="center"/>
              <w:rPr>
                <w:rFonts w:eastAsia="Times New Roman"/>
                <w:sz w:val="20"/>
                <w:szCs w:val="20"/>
                <w:lang w:eastAsia="cs-CZ"/>
              </w:rPr>
            </w:pPr>
            <w:r w:rsidRPr="00730B1E">
              <w:rPr>
                <w:rFonts w:eastAsia="Times New Roman"/>
                <w:sz w:val="20"/>
                <w:szCs w:val="20"/>
                <w:lang w:eastAsia="cs-CZ"/>
              </w:rPr>
              <w:t xml:space="preserve">+26 %  </w:t>
            </w:r>
          </w:p>
        </w:tc>
      </w:tr>
      <w:tr w:rsidR="00B64E96" w:rsidRPr="00730B1E" w14:paraId="5CCEAF10" w14:textId="77777777" w:rsidTr="00C24867">
        <w:trPr>
          <w:trHeight w:val="345"/>
        </w:trPr>
        <w:tc>
          <w:tcPr>
            <w:tcW w:w="1820" w:type="dxa"/>
            <w:tcBorders>
              <w:top w:val="nil"/>
              <w:left w:val="nil"/>
              <w:bottom w:val="double" w:sz="6" w:space="0" w:color="auto"/>
              <w:right w:val="nil"/>
            </w:tcBorders>
            <w:shd w:val="clear" w:color="auto" w:fill="auto"/>
            <w:noWrap/>
            <w:vAlign w:val="bottom"/>
            <w:hideMark/>
          </w:tcPr>
          <w:p w14:paraId="6EDA221F" w14:textId="77777777" w:rsidR="00C24867" w:rsidRPr="00730B1E" w:rsidRDefault="00C24867" w:rsidP="00C24867">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60" w:type="dxa"/>
            <w:tcBorders>
              <w:top w:val="nil"/>
              <w:left w:val="nil"/>
              <w:bottom w:val="double" w:sz="6" w:space="0" w:color="auto"/>
              <w:right w:val="nil"/>
            </w:tcBorders>
            <w:shd w:val="clear" w:color="auto" w:fill="auto"/>
            <w:noWrap/>
            <w:vAlign w:val="bottom"/>
            <w:hideMark/>
          </w:tcPr>
          <w:p w14:paraId="415BEAC9" w14:textId="67999329"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78,86</w:t>
            </w:r>
          </w:p>
        </w:tc>
        <w:tc>
          <w:tcPr>
            <w:tcW w:w="1016" w:type="dxa"/>
            <w:tcBorders>
              <w:top w:val="nil"/>
              <w:left w:val="nil"/>
              <w:bottom w:val="double" w:sz="6" w:space="0" w:color="auto"/>
              <w:right w:val="nil"/>
            </w:tcBorders>
            <w:shd w:val="clear" w:color="auto" w:fill="auto"/>
            <w:noWrap/>
            <w:vAlign w:val="bottom"/>
            <w:hideMark/>
          </w:tcPr>
          <w:p w14:paraId="7E4AEDAB" w14:textId="2CB00300"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344,07</w:t>
            </w:r>
          </w:p>
        </w:tc>
        <w:tc>
          <w:tcPr>
            <w:tcW w:w="1024" w:type="dxa"/>
            <w:tcBorders>
              <w:top w:val="nil"/>
              <w:left w:val="nil"/>
              <w:bottom w:val="double" w:sz="6" w:space="0" w:color="auto"/>
              <w:right w:val="nil"/>
            </w:tcBorders>
            <w:shd w:val="clear" w:color="auto" w:fill="auto"/>
            <w:noWrap/>
            <w:vAlign w:val="center"/>
            <w:hideMark/>
          </w:tcPr>
          <w:p w14:paraId="1B8CB25C" w14:textId="77777777" w:rsidR="00C24867" w:rsidRPr="00730B1E" w:rsidRDefault="00C24867" w:rsidP="00C24867">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+20 %  </w:t>
            </w:r>
          </w:p>
        </w:tc>
        <w:tc>
          <w:tcPr>
            <w:tcW w:w="1016" w:type="dxa"/>
            <w:tcBorders>
              <w:top w:val="nil"/>
              <w:left w:val="single" w:sz="4" w:space="0" w:color="auto"/>
              <w:bottom w:val="double" w:sz="6" w:space="0" w:color="auto"/>
              <w:right w:val="nil"/>
            </w:tcBorders>
            <w:shd w:val="clear" w:color="auto" w:fill="auto"/>
            <w:noWrap/>
            <w:vAlign w:val="bottom"/>
            <w:hideMark/>
          </w:tcPr>
          <w:p w14:paraId="7FA322FF" w14:textId="19639D37"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306,33</w:t>
            </w:r>
          </w:p>
        </w:tc>
        <w:tc>
          <w:tcPr>
            <w:tcW w:w="1024" w:type="dxa"/>
            <w:tcBorders>
              <w:top w:val="nil"/>
              <w:left w:val="nil"/>
              <w:bottom w:val="double" w:sz="6" w:space="0" w:color="auto"/>
              <w:right w:val="single" w:sz="4" w:space="0" w:color="auto"/>
            </w:tcBorders>
            <w:shd w:val="clear" w:color="auto" w:fill="auto"/>
            <w:noWrap/>
            <w:vAlign w:val="center"/>
            <w:hideMark/>
          </w:tcPr>
          <w:p w14:paraId="30829DF4" w14:textId="77777777" w:rsidR="00C24867" w:rsidRPr="00730B1E" w:rsidRDefault="00C24867" w:rsidP="00C24867">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+5 %  </w:t>
            </w:r>
          </w:p>
        </w:tc>
        <w:tc>
          <w:tcPr>
            <w:tcW w:w="1016" w:type="dxa"/>
            <w:tcBorders>
              <w:top w:val="nil"/>
              <w:left w:val="nil"/>
              <w:bottom w:val="double" w:sz="6" w:space="0" w:color="auto"/>
              <w:right w:val="nil"/>
            </w:tcBorders>
            <w:shd w:val="clear" w:color="auto" w:fill="auto"/>
            <w:noWrap/>
            <w:vAlign w:val="bottom"/>
            <w:hideMark/>
          </w:tcPr>
          <w:p w14:paraId="1DF2634C" w14:textId="2D0C103E" w:rsidR="00C24867" w:rsidRPr="00730B1E" w:rsidRDefault="00C24867" w:rsidP="00C24867">
            <w:pPr>
              <w:spacing w:line="240" w:lineRule="auto"/>
              <w:jc w:val="center"/>
              <w:rPr>
                <w:rFonts w:eastAsia="Times New Roman"/>
                <w:b/>
                <w:bCs/>
                <w:szCs w:val="24"/>
                <w:lang w:eastAsia="cs-CZ"/>
              </w:rPr>
            </w:pPr>
            <w:r w:rsidRPr="00730B1E">
              <w:rPr>
                <w:rFonts w:eastAsia="Times New Roman"/>
                <w:b/>
                <w:bCs/>
                <w:szCs w:val="24"/>
                <w:lang w:eastAsia="cs-CZ"/>
              </w:rPr>
              <w:t>205,35</w:t>
            </w:r>
          </w:p>
        </w:tc>
        <w:tc>
          <w:tcPr>
            <w:tcW w:w="1024" w:type="dxa"/>
            <w:tcBorders>
              <w:top w:val="nil"/>
              <w:left w:val="nil"/>
              <w:bottom w:val="double" w:sz="6" w:space="0" w:color="auto"/>
              <w:right w:val="nil"/>
            </w:tcBorders>
            <w:shd w:val="clear" w:color="auto" w:fill="auto"/>
            <w:noWrap/>
            <w:vAlign w:val="center"/>
            <w:hideMark/>
          </w:tcPr>
          <w:p w14:paraId="76D82349" w14:textId="77777777" w:rsidR="00C24867" w:rsidRPr="00730B1E" w:rsidRDefault="00C24867" w:rsidP="00C24867">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+26 %  </w:t>
            </w:r>
          </w:p>
        </w:tc>
      </w:tr>
      <w:tr w:rsidR="00B64E96" w:rsidRPr="00730B1E" w14:paraId="02826C70" w14:textId="77777777" w:rsidTr="00C24867">
        <w:trPr>
          <w:trHeight w:val="330"/>
        </w:trPr>
        <w:tc>
          <w:tcPr>
            <w:tcW w:w="1820" w:type="dxa"/>
            <w:tcBorders>
              <w:top w:val="nil"/>
              <w:left w:val="nil"/>
              <w:bottom w:val="nil"/>
              <w:right w:val="nil"/>
            </w:tcBorders>
            <w:shd w:val="clear" w:color="auto" w:fill="auto"/>
            <w:noWrap/>
            <w:vAlign w:val="bottom"/>
            <w:hideMark/>
          </w:tcPr>
          <w:p w14:paraId="001EE949" w14:textId="77777777" w:rsidR="00C24867" w:rsidRPr="00730B1E" w:rsidRDefault="00C24867" w:rsidP="00C24867">
            <w:pPr>
              <w:spacing w:line="240" w:lineRule="auto"/>
              <w:jc w:val="center"/>
              <w:rPr>
                <w:rFonts w:eastAsia="Times New Roman"/>
                <w:b/>
                <w:bCs/>
                <w:sz w:val="20"/>
                <w:szCs w:val="20"/>
                <w:lang w:eastAsia="cs-CZ"/>
              </w:rPr>
            </w:pPr>
          </w:p>
        </w:tc>
        <w:tc>
          <w:tcPr>
            <w:tcW w:w="1060" w:type="dxa"/>
            <w:tcBorders>
              <w:top w:val="nil"/>
              <w:left w:val="nil"/>
              <w:bottom w:val="nil"/>
              <w:right w:val="nil"/>
            </w:tcBorders>
            <w:shd w:val="clear" w:color="auto" w:fill="auto"/>
            <w:noWrap/>
            <w:vAlign w:val="bottom"/>
            <w:hideMark/>
          </w:tcPr>
          <w:p w14:paraId="3CE83B49" w14:textId="77777777" w:rsidR="00C24867" w:rsidRPr="00DF07F3" w:rsidRDefault="00C24867" w:rsidP="00C24867">
            <w:pPr>
              <w:spacing w:line="240" w:lineRule="auto"/>
              <w:jc w:val="left"/>
              <w:rPr>
                <w:sz w:val="20"/>
              </w:rPr>
            </w:pPr>
          </w:p>
        </w:tc>
        <w:tc>
          <w:tcPr>
            <w:tcW w:w="1016" w:type="dxa"/>
            <w:tcBorders>
              <w:top w:val="nil"/>
              <w:left w:val="nil"/>
              <w:bottom w:val="nil"/>
              <w:right w:val="nil"/>
            </w:tcBorders>
            <w:shd w:val="clear" w:color="auto" w:fill="auto"/>
            <w:noWrap/>
            <w:vAlign w:val="bottom"/>
            <w:hideMark/>
          </w:tcPr>
          <w:p w14:paraId="343727FA" w14:textId="77777777" w:rsidR="00C24867" w:rsidRPr="00DF07F3" w:rsidRDefault="00C24867" w:rsidP="00C24867">
            <w:pPr>
              <w:spacing w:line="240" w:lineRule="auto"/>
              <w:jc w:val="left"/>
              <w:rPr>
                <w:sz w:val="20"/>
              </w:rPr>
            </w:pPr>
          </w:p>
        </w:tc>
        <w:tc>
          <w:tcPr>
            <w:tcW w:w="1024" w:type="dxa"/>
            <w:tcBorders>
              <w:top w:val="nil"/>
              <w:left w:val="nil"/>
              <w:bottom w:val="nil"/>
              <w:right w:val="nil"/>
            </w:tcBorders>
            <w:shd w:val="clear" w:color="auto" w:fill="auto"/>
            <w:noWrap/>
            <w:vAlign w:val="bottom"/>
            <w:hideMark/>
          </w:tcPr>
          <w:p w14:paraId="43057C7C" w14:textId="77777777" w:rsidR="00C24867" w:rsidRPr="00DF07F3" w:rsidRDefault="00C24867" w:rsidP="00C24867">
            <w:pPr>
              <w:spacing w:line="240" w:lineRule="auto"/>
              <w:jc w:val="left"/>
              <w:rPr>
                <w:sz w:val="20"/>
              </w:rPr>
            </w:pPr>
          </w:p>
        </w:tc>
        <w:tc>
          <w:tcPr>
            <w:tcW w:w="1016" w:type="dxa"/>
            <w:tcBorders>
              <w:top w:val="nil"/>
              <w:left w:val="nil"/>
              <w:bottom w:val="nil"/>
              <w:right w:val="nil"/>
            </w:tcBorders>
            <w:shd w:val="clear" w:color="auto" w:fill="auto"/>
            <w:noWrap/>
            <w:vAlign w:val="bottom"/>
            <w:hideMark/>
          </w:tcPr>
          <w:p w14:paraId="448572A5" w14:textId="77777777" w:rsidR="00C24867" w:rsidRPr="00DF07F3" w:rsidRDefault="00C24867" w:rsidP="00C24867">
            <w:pPr>
              <w:spacing w:line="240" w:lineRule="auto"/>
              <w:jc w:val="left"/>
              <w:rPr>
                <w:sz w:val="20"/>
              </w:rPr>
            </w:pPr>
          </w:p>
        </w:tc>
        <w:tc>
          <w:tcPr>
            <w:tcW w:w="1024" w:type="dxa"/>
            <w:tcBorders>
              <w:top w:val="nil"/>
              <w:left w:val="nil"/>
              <w:bottom w:val="nil"/>
              <w:right w:val="nil"/>
            </w:tcBorders>
            <w:shd w:val="clear" w:color="auto" w:fill="auto"/>
            <w:noWrap/>
            <w:vAlign w:val="bottom"/>
            <w:hideMark/>
          </w:tcPr>
          <w:p w14:paraId="4E8BF65D" w14:textId="77777777" w:rsidR="00C24867" w:rsidRPr="00DF07F3" w:rsidRDefault="00C24867" w:rsidP="00C24867">
            <w:pPr>
              <w:spacing w:line="240" w:lineRule="auto"/>
              <w:jc w:val="left"/>
              <w:rPr>
                <w:sz w:val="20"/>
              </w:rPr>
            </w:pPr>
          </w:p>
        </w:tc>
        <w:tc>
          <w:tcPr>
            <w:tcW w:w="1016" w:type="dxa"/>
            <w:tcBorders>
              <w:top w:val="nil"/>
              <w:left w:val="nil"/>
              <w:bottom w:val="nil"/>
              <w:right w:val="nil"/>
            </w:tcBorders>
            <w:shd w:val="clear" w:color="auto" w:fill="auto"/>
            <w:noWrap/>
            <w:vAlign w:val="bottom"/>
            <w:hideMark/>
          </w:tcPr>
          <w:p w14:paraId="6A772021" w14:textId="77777777" w:rsidR="00C24867" w:rsidRPr="00DF07F3" w:rsidRDefault="00C24867" w:rsidP="00C24867">
            <w:pPr>
              <w:spacing w:line="240" w:lineRule="auto"/>
              <w:jc w:val="left"/>
              <w:rPr>
                <w:sz w:val="20"/>
              </w:rPr>
            </w:pPr>
          </w:p>
        </w:tc>
        <w:tc>
          <w:tcPr>
            <w:tcW w:w="1024" w:type="dxa"/>
            <w:tcBorders>
              <w:top w:val="nil"/>
              <w:left w:val="nil"/>
              <w:bottom w:val="nil"/>
              <w:right w:val="nil"/>
            </w:tcBorders>
            <w:shd w:val="clear" w:color="auto" w:fill="auto"/>
            <w:noWrap/>
            <w:vAlign w:val="bottom"/>
            <w:hideMark/>
          </w:tcPr>
          <w:p w14:paraId="771883BA" w14:textId="77777777" w:rsidR="00C24867" w:rsidRPr="00DF07F3" w:rsidRDefault="00C24867" w:rsidP="00C24867">
            <w:pPr>
              <w:spacing w:line="240" w:lineRule="auto"/>
              <w:jc w:val="left"/>
              <w:rPr>
                <w:sz w:val="20"/>
              </w:rPr>
            </w:pPr>
          </w:p>
        </w:tc>
      </w:tr>
    </w:tbl>
    <w:p w14:paraId="4D184927" w14:textId="77777777" w:rsidR="00C24867" w:rsidRPr="00730B1E" w:rsidRDefault="00C24867" w:rsidP="00C24867">
      <w:pPr>
        <w:pStyle w:val="OdstavecASR"/>
      </w:pPr>
      <w:r w:rsidRPr="00730B1E">
        <w:t>Z tabulky vyplývá několik zajímavých údajů, například:</w:t>
      </w:r>
    </w:p>
    <w:p w14:paraId="25035059" w14:textId="77777777" w:rsidR="00C24867" w:rsidRPr="00730B1E" w:rsidRDefault="00C24867" w:rsidP="00A94F8F">
      <w:pPr>
        <w:pStyle w:val="OdstavecASR"/>
        <w:numPr>
          <w:ilvl w:val="0"/>
          <w:numId w:val="17"/>
        </w:numPr>
      </w:pPr>
      <w:r w:rsidRPr="00730B1E">
        <w:t>Mezi soudy jsou velké rozdíly v přepočtu věcí na soudce. U počtu nevyřízených věcí to plyne z celkové zatíženosti soudu i počtu soudců, kteří se danou agendou zabývají. Nicméně počet příchozích věcí (a tím v zásadě i vyřízených věcí) je zohledněn v systemizaci, takže by mezi soudy měly být menší rozdíly. Pro rozdíly může být několik vysvětlení:</w:t>
      </w:r>
    </w:p>
    <w:p w14:paraId="0B2E2BCB" w14:textId="77777777" w:rsidR="00C24867" w:rsidRPr="00730B1E" w:rsidRDefault="00C24867" w:rsidP="00A94F8F">
      <w:pPr>
        <w:pStyle w:val="OdstavecASR"/>
        <w:numPr>
          <w:ilvl w:val="1"/>
          <w:numId w:val="17"/>
        </w:numPr>
      </w:pPr>
      <w:r w:rsidRPr="00730B1E">
        <w:t>Počet soudců je u některých soudů malý, dočasný výpadek i jednoho soudce proto může hrát velkou roli v datech.</w:t>
      </w:r>
    </w:p>
    <w:p w14:paraId="0552CCD6" w14:textId="77777777" w:rsidR="00C24867" w:rsidRPr="00730B1E" w:rsidRDefault="00C24867" w:rsidP="00A94F8F">
      <w:pPr>
        <w:pStyle w:val="OdstavecASR"/>
        <w:numPr>
          <w:ilvl w:val="1"/>
          <w:numId w:val="17"/>
        </w:numPr>
      </w:pPr>
      <w:r w:rsidRPr="00730B1E">
        <w:t>Některé KS tuto agendu mohly posílit kvůli vysokému počtu nedodělků, případně z jiných důvodů.</w:t>
      </w:r>
    </w:p>
    <w:p w14:paraId="5488E929" w14:textId="77777777" w:rsidR="00C24867" w:rsidRPr="00730B1E" w:rsidRDefault="00C24867" w:rsidP="00A94F8F">
      <w:pPr>
        <w:pStyle w:val="OdstavecASR"/>
        <w:numPr>
          <w:ilvl w:val="1"/>
          <w:numId w:val="17"/>
        </w:numPr>
      </w:pPr>
      <w:r w:rsidRPr="00730B1E">
        <w:t>Přestože se Ministerstvo spravedlnosti snaží přesně definovat metodiku sběru dat, nelze garantovat jejich přesnost na 100 %. Jednotlivé soudy totiž mohou zvolit k vyplňování datových tabulek poněkud odlišný přístup.</w:t>
      </w:r>
    </w:p>
    <w:p w14:paraId="2365A54F" w14:textId="77777777" w:rsidR="00C24867" w:rsidRPr="00730B1E" w:rsidRDefault="00C24867" w:rsidP="00A94F8F">
      <w:pPr>
        <w:pStyle w:val="OdstavecASR"/>
        <w:numPr>
          <w:ilvl w:val="0"/>
          <w:numId w:val="17"/>
        </w:numPr>
      </w:pPr>
      <w:r w:rsidRPr="00730B1E">
        <w:t>Jak je již výše zmíněno, rozdíly jsou patrné i u stejného soudu mezi jednotlivými roky. Mezi roky na úrovni ČR prakticky nedošlo ke změně, ale u jednotlivých soudů ano (například u KS v Praze či u KS v Českých Budějovicích). Zřejmě dochází k přesunům mezi úseky v rámci soudu, roli ale určitě bude hrát i to, jak soudy ke sběru dat přistoupily. V neposlední řadě je třeba pamatovat na to, že se jedná o stavovou veličinu k 1.1. K přesunu může tedy docházet i v průběhu roku.</w:t>
      </w:r>
    </w:p>
    <w:p w14:paraId="5B5C2E27" w14:textId="0D21637B" w:rsidR="008430BD" w:rsidRPr="00730B1E" w:rsidRDefault="008430BD" w:rsidP="008430BD">
      <w:pPr>
        <w:pStyle w:val="Nadpis3"/>
        <w:keepNext w:val="0"/>
        <w:numPr>
          <w:ilvl w:val="2"/>
          <w:numId w:val="1"/>
        </w:numPr>
        <w:rPr>
          <w:color w:val="auto"/>
        </w:rPr>
      </w:pPr>
      <w:bookmarkStart w:id="796" w:name="_Toc515871251"/>
      <w:bookmarkStart w:id="797" w:name="_Toc106092756"/>
      <w:bookmarkStart w:id="798" w:name="_Toc169250832"/>
      <w:bookmarkStart w:id="799" w:name="_Toc174080868"/>
      <w:r w:rsidRPr="00730B1E">
        <w:rPr>
          <w:color w:val="auto"/>
        </w:rPr>
        <w:t>Disposition time</w:t>
      </w:r>
      <w:bookmarkEnd w:id="796"/>
      <w:r w:rsidRPr="00730B1E">
        <w:rPr>
          <w:color w:val="auto"/>
        </w:rPr>
        <w:t xml:space="preserve"> (dispoziční čas)</w:t>
      </w:r>
      <w:bookmarkEnd w:id="797"/>
      <w:bookmarkEnd w:id="798"/>
      <w:bookmarkEnd w:id="799"/>
    </w:p>
    <w:p w14:paraId="2A2BF465" w14:textId="7964749D" w:rsidR="004F2741" w:rsidRPr="00730B1E" w:rsidRDefault="004F2741" w:rsidP="004F2741">
      <w:r w:rsidRPr="00730B1E">
        <w:t xml:space="preserve">Od roku 2014 (a i dříve) do roku 2019 byl vývoj DT celkem stabilizovaný okolo hodnoty </w:t>
      </w:r>
      <w:r w:rsidR="003F37E4" w:rsidRPr="00730B1E">
        <w:t>240 </w:t>
      </w:r>
      <w:r w:rsidRPr="00730B1E">
        <w:t xml:space="preserve">kalendářních dnů a konkrétní hodnota v daném roce vždy závisela na vzájemném poměru a vývoji mezi počtem nevyřízených a vyřízených věcí. V roce 2020 došlo k dalšímu poklesu, což je </w:t>
      </w:r>
      <w:r w:rsidRPr="00730B1E">
        <w:lastRenderedPageBreak/>
        <w:t>dáno poklesem v počtu nevyřízených věcí. V roce 2021 DT mírně narostl</w:t>
      </w:r>
      <w:r w:rsidR="000F549E" w:rsidRPr="00730B1E">
        <w:t xml:space="preserve"> (</w:t>
      </w:r>
      <w:r w:rsidRPr="00730B1E">
        <w:t>jedná se ale o marginální změnu</w:t>
      </w:r>
      <w:r w:rsidR="000F549E" w:rsidRPr="00730B1E">
        <w:t xml:space="preserve">) a </w:t>
      </w:r>
      <w:r w:rsidRPr="00730B1E">
        <w:t xml:space="preserve">v roce 2022 opět mírně klesl </w:t>
      </w:r>
      <w:r w:rsidR="000F549E" w:rsidRPr="00730B1E">
        <w:t xml:space="preserve">s ohledem na nižší </w:t>
      </w:r>
      <w:r w:rsidRPr="00730B1E">
        <w:t xml:space="preserve">počet nevyřízených věcí. Pokles byl </w:t>
      </w:r>
      <w:r w:rsidR="000F549E" w:rsidRPr="00730B1E">
        <w:t>sice nevýrazný</w:t>
      </w:r>
      <w:r w:rsidRPr="00730B1E">
        <w:t>, ale díky němu byl DT v roce 2022 nejnižší za sledované období. Vzhledem k vývoji diskutované</w:t>
      </w:r>
      <w:r w:rsidR="000F549E" w:rsidRPr="00730B1E">
        <w:t>mu</w:t>
      </w:r>
      <w:r w:rsidRPr="00730B1E">
        <w:t xml:space="preserve"> výše (nárůst v počtu nevyřízených věcí) vyrostl DT v roce 2023 na 245.</w:t>
      </w:r>
      <w:r w:rsidR="00F166B1" w:rsidRPr="00730B1E">
        <w:t xml:space="preserve"> DT stále ale není nejvyšší ve sledovaném období </w:t>
      </w:r>
      <w:r w:rsidR="000F549E" w:rsidRPr="00730B1E">
        <w:t xml:space="preserve">– </w:t>
      </w:r>
      <w:r w:rsidR="00F166B1" w:rsidRPr="00730B1E">
        <w:t>v letech 2014 a 2017 byl vyšší.</w:t>
      </w:r>
    </w:p>
    <w:p w14:paraId="3AF8766B" w14:textId="1BF43BAA" w:rsidR="004F2741" w:rsidRPr="00730B1E" w:rsidRDefault="004F2741" w:rsidP="004F2741">
      <w:pPr>
        <w:pStyle w:val="Podnadpis"/>
        <w:rPr>
          <w:color w:val="auto"/>
        </w:rPr>
      </w:pPr>
      <w:bookmarkStart w:id="800" w:name="_Toc144104168"/>
      <w:bookmarkStart w:id="801" w:name="_Toc169250980"/>
      <w:bookmarkStart w:id="802" w:name="_Toc17408066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61</w:t>
      </w:r>
      <w:r w:rsidRPr="00730B1E">
        <w:rPr>
          <w:color w:val="auto"/>
        </w:rPr>
        <w:fldChar w:fldCharType="end"/>
      </w:r>
      <w:r w:rsidRPr="00730B1E">
        <w:rPr>
          <w:color w:val="auto"/>
        </w:rPr>
        <w:t>: KS – DT prvostupňového civilního řízení v letech 20</w:t>
      </w:r>
      <w:r w:rsidR="002C014C" w:rsidRPr="00730B1E">
        <w:rPr>
          <w:color w:val="auto"/>
        </w:rPr>
        <w:t>14</w:t>
      </w:r>
      <w:r w:rsidRPr="00730B1E">
        <w:rPr>
          <w:color w:val="auto"/>
        </w:rPr>
        <w:t>–202</w:t>
      </w:r>
      <w:bookmarkEnd w:id="800"/>
      <w:r w:rsidR="002C014C" w:rsidRPr="00730B1E">
        <w:rPr>
          <w:color w:val="auto"/>
        </w:rPr>
        <w:t>3</w:t>
      </w:r>
      <w:bookmarkEnd w:id="801"/>
      <w:bookmarkEnd w:id="802"/>
    </w:p>
    <w:p w14:paraId="71B79C0E" w14:textId="1F4CE3FD" w:rsidR="004F2741" w:rsidRPr="00730B1E" w:rsidRDefault="004F2741" w:rsidP="004F2741">
      <w:r w:rsidRPr="00730B1E">
        <w:rPr>
          <w:noProof/>
          <w:lang w:eastAsia="cs-CZ"/>
        </w:rPr>
        <w:drawing>
          <wp:inline distT="0" distB="0" distL="0" distR="0" wp14:anchorId="27CF7C60" wp14:editId="29B4FCA4">
            <wp:extent cx="5029200" cy="3657600"/>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820FF51" w14:textId="77777777" w:rsidR="004F2741" w:rsidRPr="00730B1E" w:rsidRDefault="004F2741" w:rsidP="004F2741"/>
    <w:p w14:paraId="60003D90" w14:textId="632F5BD7" w:rsidR="00F166B1" w:rsidRPr="00730B1E" w:rsidRDefault="00F166B1" w:rsidP="00F166B1">
      <w:pPr>
        <w:pStyle w:val="OdstavecASR"/>
      </w:pPr>
      <w:r w:rsidRPr="00730B1E">
        <w:t xml:space="preserve">V tabulce níže vidíme, že DT </w:t>
      </w:r>
      <w:r w:rsidR="00034F1B" w:rsidRPr="00730B1E">
        <w:t>u všech soudů narostl</w:t>
      </w:r>
      <w:r w:rsidR="000F549E" w:rsidRPr="00730B1E">
        <w:t>,</w:t>
      </w:r>
      <w:r w:rsidR="00034F1B" w:rsidRPr="00730B1E">
        <w:t xml:space="preserve"> </w:t>
      </w:r>
      <w:r w:rsidR="000F549E" w:rsidRPr="00730B1E">
        <w:t>n</w:t>
      </w:r>
      <w:r w:rsidR="00034F1B" w:rsidRPr="00730B1E">
        <w:t xml:space="preserve">ejméně u MS v Praze. Nejnižší DT tak nyní vykazují MS Praha a KS Praha. </w:t>
      </w:r>
      <w:r w:rsidR="000F549E" w:rsidRPr="00730B1E">
        <w:t>N</w:t>
      </w:r>
      <w:r w:rsidR="00034F1B" w:rsidRPr="00730B1E">
        <w:t xml:space="preserve">ejvíce </w:t>
      </w:r>
      <w:r w:rsidR="000F549E" w:rsidRPr="00730B1E">
        <w:t>naopak</w:t>
      </w:r>
      <w:r w:rsidR="00034F1B" w:rsidRPr="00730B1E">
        <w:t xml:space="preserve"> DT narostl u KS v</w:t>
      </w:r>
      <w:r w:rsidR="000F549E" w:rsidRPr="00730B1E">
        <w:t> </w:t>
      </w:r>
      <w:r w:rsidR="00034F1B" w:rsidRPr="00730B1E">
        <w:t>Plzni</w:t>
      </w:r>
      <w:r w:rsidR="000F549E" w:rsidRPr="00730B1E">
        <w:t xml:space="preserve"> – nárůst </w:t>
      </w:r>
      <w:r w:rsidR="00A26E6C" w:rsidRPr="00730B1E">
        <w:t>o 94 </w:t>
      </w:r>
      <w:r w:rsidR="00034F1B" w:rsidRPr="00730B1E">
        <w:t>%</w:t>
      </w:r>
      <w:r w:rsidR="000F549E" w:rsidRPr="00730B1E">
        <w:t xml:space="preserve"> znamená téměř zdvojnásobení v důsledku </w:t>
      </w:r>
      <w:r w:rsidR="00034F1B" w:rsidRPr="00730B1E">
        <w:t>kombinace poklesu v počtu vyřízených věcí a prudké</w:t>
      </w:r>
      <w:r w:rsidR="000F549E" w:rsidRPr="00730B1E">
        <w:t>ho</w:t>
      </w:r>
      <w:r w:rsidR="00034F1B" w:rsidRPr="00730B1E">
        <w:t xml:space="preserve"> růstu v počtu věcí nevyřízených. Nejvyšší DT má ale stále KS v Ústí nad Labem</w:t>
      </w:r>
      <w:r w:rsidR="000F549E" w:rsidRPr="00730B1E">
        <w:t>,</w:t>
      </w:r>
      <w:r w:rsidR="00034F1B" w:rsidRPr="00730B1E">
        <w:t xml:space="preserve"> kde rovněž došlo k velkému růstu.</w:t>
      </w:r>
    </w:p>
    <w:p w14:paraId="65F049FF" w14:textId="6B1AEC4A" w:rsidR="00F166B1" w:rsidRPr="00730B1E" w:rsidRDefault="002C014C" w:rsidP="00DF5311">
      <w:pPr>
        <w:pStyle w:val="OdstavecASR"/>
      </w:pPr>
      <w:r w:rsidRPr="00730B1E">
        <w:t>Celkově se situace v této agendě na základě statistických dat těžko hodnotí. Počet nevyřízených věcí až do roku 2022 klesl, což</w:t>
      </w:r>
      <w:r w:rsidR="00DF5311" w:rsidRPr="00730B1E">
        <w:t xml:space="preserve"> je určitě dobré</w:t>
      </w:r>
      <w:r w:rsidRPr="00730B1E">
        <w:t xml:space="preserve">. Nárůst v roce 2023 lze zatím považovat za výkyv. Z délek řízení je relativně vypovídající pouze medián z důvodu nemožnosti </w:t>
      </w:r>
      <w:r w:rsidR="00DF5311" w:rsidRPr="00730B1E">
        <w:t xml:space="preserve">odfiltrovat přerušené věci. Z dat se také zdá, že mezi jednotlivými soudy jsou značné rozdíly. </w:t>
      </w:r>
      <w:r w:rsidR="00F166B1" w:rsidRPr="00730B1E">
        <w:br w:type="page"/>
      </w:r>
    </w:p>
    <w:p w14:paraId="4A79DF5F" w14:textId="4530595D" w:rsidR="00F166B1" w:rsidRPr="00730B1E" w:rsidRDefault="00F166B1" w:rsidP="00F166B1">
      <w:pPr>
        <w:pStyle w:val="Podnadpis"/>
        <w:rPr>
          <w:color w:val="auto"/>
        </w:rPr>
      </w:pPr>
      <w:bookmarkStart w:id="803" w:name="_Toc144104287"/>
      <w:bookmarkStart w:id="804" w:name="_Toc169251099"/>
      <w:bookmarkStart w:id="805" w:name="_Toc174080785"/>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42</w:t>
      </w:r>
      <w:r w:rsidRPr="00730B1E">
        <w:rPr>
          <w:color w:val="auto"/>
        </w:rPr>
        <w:fldChar w:fldCharType="end"/>
      </w:r>
      <w:r w:rsidRPr="00730B1E">
        <w:rPr>
          <w:color w:val="auto"/>
        </w:rPr>
        <w:t>: KS – DT prvostupňového civilního řízení dle soudů</w:t>
      </w:r>
      <w:bookmarkEnd w:id="803"/>
      <w:r w:rsidR="00F77E72" w:rsidRPr="00730B1E">
        <w:rPr>
          <w:color w:val="auto"/>
        </w:rPr>
        <w:t>, 2023</w:t>
      </w:r>
      <w:bookmarkEnd w:id="804"/>
      <w:bookmarkEnd w:id="805"/>
    </w:p>
    <w:tbl>
      <w:tblPr>
        <w:tblW w:w="5960" w:type="dxa"/>
        <w:tblCellMar>
          <w:left w:w="70" w:type="dxa"/>
          <w:right w:w="70" w:type="dxa"/>
        </w:tblCellMar>
        <w:tblLook w:val="04A0" w:firstRow="1" w:lastRow="0" w:firstColumn="1" w:lastColumn="0" w:noHBand="0" w:noVBand="1"/>
      </w:tblPr>
      <w:tblGrid>
        <w:gridCol w:w="2780"/>
        <w:gridCol w:w="1250"/>
        <w:gridCol w:w="1930"/>
      </w:tblGrid>
      <w:tr w:rsidR="00B64E96" w:rsidRPr="00730B1E" w14:paraId="63934869" w14:textId="77777777" w:rsidTr="00F166B1">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18C727F4" w14:textId="77777777" w:rsidR="00F166B1" w:rsidRPr="00730B1E" w:rsidRDefault="00F166B1" w:rsidP="00F166B1">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2B547EDA" w14:textId="77777777" w:rsidR="00F166B1" w:rsidRPr="00730B1E" w:rsidRDefault="00F166B1" w:rsidP="00F166B1">
            <w:pPr>
              <w:spacing w:line="240" w:lineRule="auto"/>
              <w:jc w:val="center"/>
              <w:rPr>
                <w:rFonts w:eastAsia="Times New Roman"/>
                <w:b/>
                <w:bCs/>
                <w:szCs w:val="24"/>
                <w:lang w:eastAsia="cs-CZ"/>
              </w:rPr>
            </w:pPr>
            <w:r w:rsidRPr="00730B1E">
              <w:rPr>
                <w:rFonts w:eastAsia="Times New Roman"/>
                <w:b/>
                <w:bCs/>
                <w:szCs w:val="24"/>
                <w:lang w:eastAsia="cs-CZ"/>
              </w:rPr>
              <w:t>Disposition time</w:t>
            </w:r>
          </w:p>
        </w:tc>
      </w:tr>
      <w:tr w:rsidR="00B64E96" w:rsidRPr="00730B1E" w14:paraId="0467BE22" w14:textId="77777777" w:rsidTr="00F166B1">
        <w:trPr>
          <w:trHeight w:val="330"/>
        </w:trPr>
        <w:tc>
          <w:tcPr>
            <w:tcW w:w="2780" w:type="dxa"/>
            <w:tcBorders>
              <w:top w:val="nil"/>
              <w:left w:val="nil"/>
              <w:bottom w:val="single" w:sz="4" w:space="0" w:color="auto"/>
              <w:right w:val="nil"/>
            </w:tcBorders>
            <w:shd w:val="clear" w:color="auto" w:fill="auto"/>
            <w:noWrap/>
            <w:vAlign w:val="bottom"/>
            <w:hideMark/>
          </w:tcPr>
          <w:p w14:paraId="244DCE78" w14:textId="77777777" w:rsidR="00F166B1" w:rsidRPr="00730B1E" w:rsidRDefault="00F166B1" w:rsidP="00F166B1">
            <w:pPr>
              <w:spacing w:line="240" w:lineRule="auto"/>
              <w:jc w:val="left"/>
              <w:rPr>
                <w:rFonts w:eastAsia="Times New Roman"/>
                <w:szCs w:val="24"/>
                <w:lang w:eastAsia="cs-CZ"/>
              </w:rPr>
            </w:pPr>
            <w:r w:rsidRPr="00730B1E">
              <w:rPr>
                <w:rFonts w:eastAsia="Times New Roman"/>
                <w:szCs w:val="24"/>
                <w:lang w:eastAsia="cs-CZ"/>
              </w:rPr>
              <w:t>MS Praha</w:t>
            </w:r>
          </w:p>
        </w:tc>
        <w:tc>
          <w:tcPr>
            <w:tcW w:w="1250" w:type="dxa"/>
            <w:tcBorders>
              <w:top w:val="nil"/>
              <w:left w:val="nil"/>
              <w:bottom w:val="single" w:sz="4" w:space="0" w:color="auto"/>
              <w:right w:val="nil"/>
            </w:tcBorders>
            <w:shd w:val="clear" w:color="auto" w:fill="auto"/>
            <w:noWrap/>
            <w:vAlign w:val="bottom"/>
            <w:hideMark/>
          </w:tcPr>
          <w:p w14:paraId="57F6A1C4" w14:textId="77777777" w:rsidR="00F166B1" w:rsidRPr="00730B1E" w:rsidRDefault="00F166B1" w:rsidP="00F166B1">
            <w:pPr>
              <w:spacing w:line="240" w:lineRule="auto"/>
              <w:jc w:val="center"/>
              <w:rPr>
                <w:rFonts w:eastAsia="Times New Roman"/>
                <w:szCs w:val="24"/>
                <w:lang w:eastAsia="cs-CZ"/>
              </w:rPr>
            </w:pPr>
            <w:r w:rsidRPr="00730B1E">
              <w:rPr>
                <w:rFonts w:eastAsia="Times New Roman"/>
                <w:szCs w:val="24"/>
                <w:lang w:eastAsia="cs-CZ"/>
              </w:rPr>
              <w:t>172</w:t>
            </w:r>
          </w:p>
        </w:tc>
        <w:tc>
          <w:tcPr>
            <w:tcW w:w="1930" w:type="dxa"/>
            <w:tcBorders>
              <w:top w:val="nil"/>
              <w:left w:val="nil"/>
              <w:bottom w:val="single" w:sz="4" w:space="0" w:color="auto"/>
              <w:right w:val="nil"/>
            </w:tcBorders>
            <w:shd w:val="clear" w:color="auto" w:fill="auto"/>
            <w:noWrap/>
            <w:vAlign w:val="center"/>
            <w:hideMark/>
          </w:tcPr>
          <w:p w14:paraId="2BA8C3AE" w14:textId="77777777" w:rsidR="00F166B1" w:rsidRPr="00730B1E" w:rsidRDefault="00F166B1" w:rsidP="00F166B1">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r>
      <w:tr w:rsidR="00B64E96" w:rsidRPr="00730B1E" w14:paraId="2D6A2229" w14:textId="77777777" w:rsidTr="00F166B1">
        <w:trPr>
          <w:trHeight w:val="315"/>
        </w:trPr>
        <w:tc>
          <w:tcPr>
            <w:tcW w:w="2780" w:type="dxa"/>
            <w:tcBorders>
              <w:top w:val="nil"/>
              <w:left w:val="nil"/>
              <w:bottom w:val="single" w:sz="4" w:space="0" w:color="auto"/>
              <w:right w:val="nil"/>
            </w:tcBorders>
            <w:shd w:val="clear" w:color="auto" w:fill="auto"/>
            <w:noWrap/>
            <w:vAlign w:val="bottom"/>
            <w:hideMark/>
          </w:tcPr>
          <w:p w14:paraId="1AF5E29D" w14:textId="77777777" w:rsidR="00F166B1" w:rsidRPr="00730B1E" w:rsidRDefault="00F166B1" w:rsidP="00F166B1">
            <w:pPr>
              <w:spacing w:line="240" w:lineRule="auto"/>
              <w:jc w:val="left"/>
              <w:rPr>
                <w:rFonts w:eastAsia="Times New Roman"/>
                <w:szCs w:val="24"/>
                <w:lang w:eastAsia="cs-CZ"/>
              </w:rPr>
            </w:pPr>
            <w:r w:rsidRPr="00730B1E">
              <w:rPr>
                <w:rFonts w:eastAsia="Times New Roman"/>
                <w:szCs w:val="24"/>
                <w:lang w:eastAsia="cs-CZ"/>
              </w:rPr>
              <w:t>KS Praha</w:t>
            </w:r>
          </w:p>
        </w:tc>
        <w:tc>
          <w:tcPr>
            <w:tcW w:w="1250" w:type="dxa"/>
            <w:tcBorders>
              <w:top w:val="nil"/>
              <w:left w:val="nil"/>
              <w:bottom w:val="single" w:sz="4" w:space="0" w:color="auto"/>
              <w:right w:val="nil"/>
            </w:tcBorders>
            <w:shd w:val="clear" w:color="auto" w:fill="auto"/>
            <w:noWrap/>
            <w:vAlign w:val="bottom"/>
            <w:hideMark/>
          </w:tcPr>
          <w:p w14:paraId="660366B7" w14:textId="77777777" w:rsidR="00F166B1" w:rsidRPr="00730B1E" w:rsidRDefault="00F166B1" w:rsidP="00F166B1">
            <w:pPr>
              <w:spacing w:line="240" w:lineRule="auto"/>
              <w:jc w:val="center"/>
              <w:rPr>
                <w:rFonts w:eastAsia="Times New Roman"/>
                <w:szCs w:val="24"/>
                <w:lang w:eastAsia="cs-CZ"/>
              </w:rPr>
            </w:pPr>
            <w:r w:rsidRPr="00730B1E">
              <w:rPr>
                <w:rFonts w:eastAsia="Times New Roman"/>
                <w:szCs w:val="24"/>
                <w:lang w:eastAsia="cs-CZ"/>
              </w:rPr>
              <w:t>157</w:t>
            </w:r>
          </w:p>
        </w:tc>
        <w:tc>
          <w:tcPr>
            <w:tcW w:w="1930" w:type="dxa"/>
            <w:tcBorders>
              <w:top w:val="nil"/>
              <w:left w:val="nil"/>
              <w:bottom w:val="single" w:sz="4" w:space="0" w:color="auto"/>
              <w:right w:val="nil"/>
            </w:tcBorders>
            <w:shd w:val="clear" w:color="auto" w:fill="auto"/>
            <w:noWrap/>
            <w:vAlign w:val="center"/>
            <w:hideMark/>
          </w:tcPr>
          <w:p w14:paraId="2B8877D6" w14:textId="77777777" w:rsidR="00F166B1" w:rsidRPr="00730B1E" w:rsidRDefault="00F166B1" w:rsidP="00F166B1">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77921E92" w14:textId="77777777" w:rsidTr="00F166B1">
        <w:trPr>
          <w:trHeight w:val="315"/>
        </w:trPr>
        <w:tc>
          <w:tcPr>
            <w:tcW w:w="2780" w:type="dxa"/>
            <w:tcBorders>
              <w:top w:val="nil"/>
              <w:left w:val="nil"/>
              <w:bottom w:val="single" w:sz="4" w:space="0" w:color="auto"/>
              <w:right w:val="nil"/>
            </w:tcBorders>
            <w:shd w:val="clear" w:color="auto" w:fill="auto"/>
            <w:noWrap/>
            <w:vAlign w:val="bottom"/>
            <w:hideMark/>
          </w:tcPr>
          <w:p w14:paraId="5BAD5B6E" w14:textId="77777777" w:rsidR="00F166B1" w:rsidRPr="00730B1E" w:rsidRDefault="00F166B1" w:rsidP="00F166B1">
            <w:pPr>
              <w:spacing w:line="240" w:lineRule="auto"/>
              <w:jc w:val="left"/>
              <w:rPr>
                <w:rFonts w:eastAsia="Times New Roman"/>
                <w:szCs w:val="24"/>
                <w:lang w:eastAsia="cs-CZ"/>
              </w:rPr>
            </w:pPr>
            <w:r w:rsidRPr="00730B1E">
              <w:rPr>
                <w:rFonts w:eastAsia="Times New Roman"/>
                <w:szCs w:val="24"/>
                <w:lang w:eastAsia="cs-CZ"/>
              </w:rPr>
              <w:t>KS Č. Budějovice</w:t>
            </w:r>
          </w:p>
        </w:tc>
        <w:tc>
          <w:tcPr>
            <w:tcW w:w="1250" w:type="dxa"/>
            <w:tcBorders>
              <w:top w:val="nil"/>
              <w:left w:val="nil"/>
              <w:bottom w:val="single" w:sz="4" w:space="0" w:color="auto"/>
              <w:right w:val="nil"/>
            </w:tcBorders>
            <w:shd w:val="clear" w:color="auto" w:fill="auto"/>
            <w:noWrap/>
            <w:vAlign w:val="bottom"/>
            <w:hideMark/>
          </w:tcPr>
          <w:p w14:paraId="24997151" w14:textId="77777777" w:rsidR="00F166B1" w:rsidRPr="00730B1E" w:rsidRDefault="00F166B1" w:rsidP="00F166B1">
            <w:pPr>
              <w:spacing w:line="240" w:lineRule="auto"/>
              <w:jc w:val="center"/>
              <w:rPr>
                <w:rFonts w:eastAsia="Times New Roman"/>
                <w:szCs w:val="24"/>
                <w:lang w:eastAsia="cs-CZ"/>
              </w:rPr>
            </w:pPr>
            <w:r w:rsidRPr="00730B1E">
              <w:rPr>
                <w:rFonts w:eastAsia="Times New Roman"/>
                <w:szCs w:val="24"/>
                <w:lang w:eastAsia="cs-CZ"/>
              </w:rPr>
              <w:t>248</w:t>
            </w:r>
          </w:p>
        </w:tc>
        <w:tc>
          <w:tcPr>
            <w:tcW w:w="1930" w:type="dxa"/>
            <w:tcBorders>
              <w:top w:val="nil"/>
              <w:left w:val="nil"/>
              <w:bottom w:val="single" w:sz="4" w:space="0" w:color="auto"/>
              <w:right w:val="nil"/>
            </w:tcBorders>
            <w:shd w:val="clear" w:color="auto" w:fill="auto"/>
            <w:noWrap/>
            <w:vAlign w:val="center"/>
            <w:hideMark/>
          </w:tcPr>
          <w:p w14:paraId="2D9CE88C" w14:textId="77777777" w:rsidR="00F166B1" w:rsidRPr="00730B1E" w:rsidRDefault="00F166B1" w:rsidP="00F166B1">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r>
      <w:tr w:rsidR="00B64E96" w:rsidRPr="00730B1E" w14:paraId="540533F3" w14:textId="77777777" w:rsidTr="00F166B1">
        <w:trPr>
          <w:trHeight w:val="315"/>
        </w:trPr>
        <w:tc>
          <w:tcPr>
            <w:tcW w:w="2780" w:type="dxa"/>
            <w:tcBorders>
              <w:top w:val="nil"/>
              <w:left w:val="nil"/>
              <w:bottom w:val="single" w:sz="4" w:space="0" w:color="auto"/>
              <w:right w:val="nil"/>
            </w:tcBorders>
            <w:shd w:val="clear" w:color="auto" w:fill="auto"/>
            <w:noWrap/>
            <w:vAlign w:val="bottom"/>
            <w:hideMark/>
          </w:tcPr>
          <w:p w14:paraId="3BABAD77" w14:textId="77777777" w:rsidR="00F166B1" w:rsidRPr="00730B1E" w:rsidRDefault="00F166B1" w:rsidP="00F166B1">
            <w:pPr>
              <w:spacing w:line="240" w:lineRule="auto"/>
              <w:jc w:val="left"/>
              <w:rPr>
                <w:rFonts w:eastAsia="Times New Roman"/>
                <w:szCs w:val="24"/>
                <w:lang w:eastAsia="cs-CZ"/>
              </w:rPr>
            </w:pPr>
            <w:r w:rsidRPr="00730B1E">
              <w:rPr>
                <w:rFonts w:eastAsia="Times New Roman"/>
                <w:szCs w:val="24"/>
                <w:lang w:eastAsia="cs-CZ"/>
              </w:rPr>
              <w:t>KS Plzeň</w:t>
            </w:r>
          </w:p>
        </w:tc>
        <w:tc>
          <w:tcPr>
            <w:tcW w:w="1250" w:type="dxa"/>
            <w:tcBorders>
              <w:top w:val="nil"/>
              <w:left w:val="nil"/>
              <w:bottom w:val="single" w:sz="4" w:space="0" w:color="auto"/>
              <w:right w:val="nil"/>
            </w:tcBorders>
            <w:shd w:val="clear" w:color="auto" w:fill="auto"/>
            <w:noWrap/>
            <w:vAlign w:val="bottom"/>
            <w:hideMark/>
          </w:tcPr>
          <w:p w14:paraId="442A93C2" w14:textId="77777777" w:rsidR="00F166B1" w:rsidRPr="00730B1E" w:rsidRDefault="00F166B1" w:rsidP="00F166B1">
            <w:pPr>
              <w:spacing w:line="240" w:lineRule="auto"/>
              <w:jc w:val="center"/>
              <w:rPr>
                <w:rFonts w:eastAsia="Times New Roman"/>
                <w:szCs w:val="24"/>
                <w:lang w:eastAsia="cs-CZ"/>
              </w:rPr>
            </w:pPr>
            <w:r w:rsidRPr="00730B1E">
              <w:rPr>
                <w:rFonts w:eastAsia="Times New Roman"/>
                <w:szCs w:val="24"/>
                <w:lang w:eastAsia="cs-CZ"/>
              </w:rPr>
              <w:t>436</w:t>
            </w:r>
          </w:p>
        </w:tc>
        <w:tc>
          <w:tcPr>
            <w:tcW w:w="1930" w:type="dxa"/>
            <w:tcBorders>
              <w:top w:val="nil"/>
              <w:left w:val="nil"/>
              <w:bottom w:val="single" w:sz="4" w:space="0" w:color="auto"/>
              <w:right w:val="nil"/>
            </w:tcBorders>
            <w:shd w:val="clear" w:color="auto" w:fill="auto"/>
            <w:noWrap/>
            <w:vAlign w:val="center"/>
            <w:hideMark/>
          </w:tcPr>
          <w:p w14:paraId="3073580A" w14:textId="77777777" w:rsidR="00F166B1" w:rsidRPr="00730B1E" w:rsidRDefault="00F166B1" w:rsidP="00F166B1">
            <w:pPr>
              <w:spacing w:line="240" w:lineRule="auto"/>
              <w:jc w:val="center"/>
              <w:rPr>
                <w:rFonts w:eastAsia="Times New Roman"/>
                <w:sz w:val="20"/>
                <w:szCs w:val="20"/>
                <w:lang w:eastAsia="cs-CZ"/>
              </w:rPr>
            </w:pPr>
            <w:r w:rsidRPr="00730B1E">
              <w:rPr>
                <w:rFonts w:eastAsia="Times New Roman"/>
                <w:sz w:val="20"/>
                <w:szCs w:val="20"/>
                <w:lang w:eastAsia="cs-CZ"/>
              </w:rPr>
              <w:t xml:space="preserve">+94 %  </w:t>
            </w:r>
          </w:p>
        </w:tc>
      </w:tr>
      <w:tr w:rsidR="00B64E96" w:rsidRPr="00730B1E" w14:paraId="6C880A19" w14:textId="77777777" w:rsidTr="00F166B1">
        <w:trPr>
          <w:trHeight w:val="315"/>
        </w:trPr>
        <w:tc>
          <w:tcPr>
            <w:tcW w:w="2780" w:type="dxa"/>
            <w:tcBorders>
              <w:top w:val="nil"/>
              <w:left w:val="nil"/>
              <w:bottom w:val="single" w:sz="4" w:space="0" w:color="auto"/>
              <w:right w:val="nil"/>
            </w:tcBorders>
            <w:shd w:val="clear" w:color="auto" w:fill="auto"/>
            <w:noWrap/>
            <w:vAlign w:val="bottom"/>
            <w:hideMark/>
          </w:tcPr>
          <w:p w14:paraId="66A6D395" w14:textId="77777777" w:rsidR="00F166B1" w:rsidRPr="00730B1E" w:rsidRDefault="00F166B1" w:rsidP="00F166B1">
            <w:pPr>
              <w:spacing w:line="240" w:lineRule="auto"/>
              <w:jc w:val="left"/>
              <w:rPr>
                <w:rFonts w:eastAsia="Times New Roman"/>
                <w:szCs w:val="24"/>
                <w:lang w:eastAsia="cs-CZ"/>
              </w:rPr>
            </w:pPr>
            <w:r w:rsidRPr="00730B1E">
              <w:rPr>
                <w:rFonts w:eastAsia="Times New Roman"/>
                <w:szCs w:val="24"/>
                <w:lang w:eastAsia="cs-CZ"/>
              </w:rPr>
              <w:t>KS Ústí n. Labem</w:t>
            </w:r>
          </w:p>
        </w:tc>
        <w:tc>
          <w:tcPr>
            <w:tcW w:w="1250" w:type="dxa"/>
            <w:tcBorders>
              <w:top w:val="nil"/>
              <w:left w:val="nil"/>
              <w:bottom w:val="single" w:sz="4" w:space="0" w:color="auto"/>
              <w:right w:val="nil"/>
            </w:tcBorders>
            <w:shd w:val="clear" w:color="auto" w:fill="auto"/>
            <w:noWrap/>
            <w:vAlign w:val="bottom"/>
            <w:hideMark/>
          </w:tcPr>
          <w:p w14:paraId="290FE0F5" w14:textId="77777777" w:rsidR="00F166B1" w:rsidRPr="00730B1E" w:rsidRDefault="00F166B1" w:rsidP="00F166B1">
            <w:pPr>
              <w:spacing w:line="240" w:lineRule="auto"/>
              <w:jc w:val="center"/>
              <w:rPr>
                <w:rFonts w:eastAsia="Times New Roman"/>
                <w:szCs w:val="24"/>
                <w:lang w:eastAsia="cs-CZ"/>
              </w:rPr>
            </w:pPr>
            <w:r w:rsidRPr="00730B1E">
              <w:rPr>
                <w:rFonts w:eastAsia="Times New Roman"/>
                <w:szCs w:val="24"/>
                <w:lang w:eastAsia="cs-CZ"/>
              </w:rPr>
              <w:t>570</w:t>
            </w:r>
          </w:p>
        </w:tc>
        <w:tc>
          <w:tcPr>
            <w:tcW w:w="1930" w:type="dxa"/>
            <w:tcBorders>
              <w:top w:val="nil"/>
              <w:left w:val="nil"/>
              <w:bottom w:val="single" w:sz="4" w:space="0" w:color="auto"/>
              <w:right w:val="nil"/>
            </w:tcBorders>
            <w:shd w:val="clear" w:color="auto" w:fill="auto"/>
            <w:noWrap/>
            <w:vAlign w:val="center"/>
            <w:hideMark/>
          </w:tcPr>
          <w:p w14:paraId="6135EB12" w14:textId="77777777" w:rsidR="00F166B1" w:rsidRPr="00730B1E" w:rsidRDefault="00F166B1" w:rsidP="00F166B1">
            <w:pPr>
              <w:spacing w:line="240" w:lineRule="auto"/>
              <w:jc w:val="center"/>
              <w:rPr>
                <w:rFonts w:eastAsia="Times New Roman"/>
                <w:sz w:val="20"/>
                <w:szCs w:val="20"/>
                <w:lang w:eastAsia="cs-CZ"/>
              </w:rPr>
            </w:pPr>
            <w:r w:rsidRPr="00730B1E">
              <w:rPr>
                <w:rFonts w:eastAsia="Times New Roman"/>
                <w:sz w:val="20"/>
                <w:szCs w:val="20"/>
                <w:lang w:eastAsia="cs-CZ"/>
              </w:rPr>
              <w:t xml:space="preserve">+55 %  </w:t>
            </w:r>
          </w:p>
        </w:tc>
      </w:tr>
      <w:tr w:rsidR="00B64E96" w:rsidRPr="00730B1E" w14:paraId="3D386D2E" w14:textId="77777777" w:rsidTr="00F166B1">
        <w:trPr>
          <w:trHeight w:val="315"/>
        </w:trPr>
        <w:tc>
          <w:tcPr>
            <w:tcW w:w="2780" w:type="dxa"/>
            <w:tcBorders>
              <w:top w:val="nil"/>
              <w:left w:val="nil"/>
              <w:bottom w:val="single" w:sz="4" w:space="0" w:color="auto"/>
              <w:right w:val="nil"/>
            </w:tcBorders>
            <w:shd w:val="clear" w:color="auto" w:fill="auto"/>
            <w:noWrap/>
            <w:vAlign w:val="bottom"/>
            <w:hideMark/>
          </w:tcPr>
          <w:p w14:paraId="39F844E3" w14:textId="77777777" w:rsidR="00F166B1" w:rsidRPr="00730B1E" w:rsidRDefault="00F166B1" w:rsidP="00F166B1">
            <w:pPr>
              <w:spacing w:line="240" w:lineRule="auto"/>
              <w:jc w:val="left"/>
              <w:rPr>
                <w:rFonts w:eastAsia="Times New Roman"/>
                <w:szCs w:val="24"/>
                <w:lang w:eastAsia="cs-CZ"/>
              </w:rPr>
            </w:pPr>
            <w:r w:rsidRPr="00730B1E">
              <w:rPr>
                <w:rFonts w:eastAsia="Times New Roman"/>
                <w:szCs w:val="24"/>
                <w:lang w:eastAsia="cs-CZ"/>
              </w:rPr>
              <w:t>KS Hr. Králové</w:t>
            </w:r>
          </w:p>
        </w:tc>
        <w:tc>
          <w:tcPr>
            <w:tcW w:w="1250" w:type="dxa"/>
            <w:tcBorders>
              <w:top w:val="nil"/>
              <w:left w:val="nil"/>
              <w:bottom w:val="single" w:sz="4" w:space="0" w:color="auto"/>
              <w:right w:val="nil"/>
            </w:tcBorders>
            <w:shd w:val="clear" w:color="auto" w:fill="auto"/>
            <w:noWrap/>
            <w:vAlign w:val="bottom"/>
            <w:hideMark/>
          </w:tcPr>
          <w:p w14:paraId="04779036" w14:textId="77777777" w:rsidR="00F166B1" w:rsidRPr="00730B1E" w:rsidRDefault="00F166B1" w:rsidP="00F166B1">
            <w:pPr>
              <w:spacing w:line="240" w:lineRule="auto"/>
              <w:jc w:val="center"/>
              <w:rPr>
                <w:rFonts w:eastAsia="Times New Roman"/>
                <w:szCs w:val="24"/>
                <w:lang w:eastAsia="cs-CZ"/>
              </w:rPr>
            </w:pPr>
            <w:r w:rsidRPr="00730B1E">
              <w:rPr>
                <w:rFonts w:eastAsia="Times New Roman"/>
                <w:szCs w:val="24"/>
                <w:lang w:eastAsia="cs-CZ"/>
              </w:rPr>
              <w:t>339</w:t>
            </w:r>
          </w:p>
        </w:tc>
        <w:tc>
          <w:tcPr>
            <w:tcW w:w="1930" w:type="dxa"/>
            <w:tcBorders>
              <w:top w:val="nil"/>
              <w:left w:val="nil"/>
              <w:bottom w:val="single" w:sz="4" w:space="0" w:color="auto"/>
              <w:right w:val="nil"/>
            </w:tcBorders>
            <w:shd w:val="clear" w:color="auto" w:fill="auto"/>
            <w:noWrap/>
            <w:vAlign w:val="center"/>
            <w:hideMark/>
          </w:tcPr>
          <w:p w14:paraId="79E40FA0" w14:textId="77777777" w:rsidR="00F166B1" w:rsidRPr="00730B1E" w:rsidRDefault="00F166B1" w:rsidP="00F166B1">
            <w:pPr>
              <w:spacing w:line="240" w:lineRule="auto"/>
              <w:jc w:val="center"/>
              <w:rPr>
                <w:rFonts w:eastAsia="Times New Roman"/>
                <w:sz w:val="20"/>
                <w:szCs w:val="20"/>
                <w:lang w:eastAsia="cs-CZ"/>
              </w:rPr>
            </w:pPr>
            <w:r w:rsidRPr="00730B1E">
              <w:rPr>
                <w:rFonts w:eastAsia="Times New Roman"/>
                <w:sz w:val="20"/>
                <w:szCs w:val="20"/>
                <w:lang w:eastAsia="cs-CZ"/>
              </w:rPr>
              <w:t xml:space="preserve">+53 %  </w:t>
            </w:r>
          </w:p>
        </w:tc>
      </w:tr>
      <w:tr w:rsidR="00B64E96" w:rsidRPr="00730B1E" w14:paraId="79ECFDBD" w14:textId="77777777" w:rsidTr="00F166B1">
        <w:trPr>
          <w:trHeight w:val="315"/>
        </w:trPr>
        <w:tc>
          <w:tcPr>
            <w:tcW w:w="2780" w:type="dxa"/>
            <w:tcBorders>
              <w:top w:val="nil"/>
              <w:left w:val="nil"/>
              <w:bottom w:val="single" w:sz="4" w:space="0" w:color="auto"/>
              <w:right w:val="nil"/>
            </w:tcBorders>
            <w:shd w:val="clear" w:color="auto" w:fill="auto"/>
            <w:noWrap/>
            <w:vAlign w:val="bottom"/>
            <w:hideMark/>
          </w:tcPr>
          <w:p w14:paraId="38C14186" w14:textId="77777777" w:rsidR="00F166B1" w:rsidRPr="00730B1E" w:rsidRDefault="00F166B1" w:rsidP="00F166B1">
            <w:pPr>
              <w:spacing w:line="240" w:lineRule="auto"/>
              <w:jc w:val="left"/>
              <w:rPr>
                <w:rFonts w:eastAsia="Times New Roman"/>
                <w:szCs w:val="24"/>
                <w:lang w:eastAsia="cs-CZ"/>
              </w:rPr>
            </w:pPr>
            <w:r w:rsidRPr="00730B1E">
              <w:rPr>
                <w:rFonts w:eastAsia="Times New Roman"/>
                <w:szCs w:val="24"/>
                <w:lang w:eastAsia="cs-CZ"/>
              </w:rPr>
              <w:t>KS Brno</w:t>
            </w:r>
          </w:p>
        </w:tc>
        <w:tc>
          <w:tcPr>
            <w:tcW w:w="1250" w:type="dxa"/>
            <w:tcBorders>
              <w:top w:val="nil"/>
              <w:left w:val="nil"/>
              <w:bottom w:val="single" w:sz="4" w:space="0" w:color="auto"/>
              <w:right w:val="nil"/>
            </w:tcBorders>
            <w:shd w:val="clear" w:color="auto" w:fill="auto"/>
            <w:noWrap/>
            <w:vAlign w:val="bottom"/>
            <w:hideMark/>
          </w:tcPr>
          <w:p w14:paraId="68FB73EA" w14:textId="77777777" w:rsidR="00F166B1" w:rsidRPr="00730B1E" w:rsidRDefault="00F166B1" w:rsidP="00F166B1">
            <w:pPr>
              <w:spacing w:line="240" w:lineRule="auto"/>
              <w:jc w:val="center"/>
              <w:rPr>
                <w:rFonts w:eastAsia="Times New Roman"/>
                <w:szCs w:val="24"/>
                <w:lang w:eastAsia="cs-CZ"/>
              </w:rPr>
            </w:pPr>
            <w:r w:rsidRPr="00730B1E">
              <w:rPr>
                <w:rFonts w:eastAsia="Times New Roman"/>
                <w:szCs w:val="24"/>
                <w:lang w:eastAsia="cs-CZ"/>
              </w:rPr>
              <w:t>339</w:t>
            </w:r>
          </w:p>
        </w:tc>
        <w:tc>
          <w:tcPr>
            <w:tcW w:w="1930" w:type="dxa"/>
            <w:tcBorders>
              <w:top w:val="nil"/>
              <w:left w:val="nil"/>
              <w:bottom w:val="single" w:sz="4" w:space="0" w:color="auto"/>
              <w:right w:val="nil"/>
            </w:tcBorders>
            <w:shd w:val="clear" w:color="auto" w:fill="auto"/>
            <w:noWrap/>
            <w:vAlign w:val="center"/>
            <w:hideMark/>
          </w:tcPr>
          <w:p w14:paraId="119AC7BB" w14:textId="77777777" w:rsidR="00F166B1" w:rsidRPr="00730B1E" w:rsidRDefault="00F166B1" w:rsidP="00F166B1">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r>
      <w:tr w:rsidR="00B64E96" w:rsidRPr="00730B1E" w14:paraId="4196B179" w14:textId="77777777" w:rsidTr="00F166B1">
        <w:trPr>
          <w:trHeight w:val="330"/>
        </w:trPr>
        <w:tc>
          <w:tcPr>
            <w:tcW w:w="2780" w:type="dxa"/>
            <w:tcBorders>
              <w:top w:val="nil"/>
              <w:left w:val="nil"/>
              <w:bottom w:val="double" w:sz="6" w:space="0" w:color="auto"/>
              <w:right w:val="nil"/>
            </w:tcBorders>
            <w:shd w:val="clear" w:color="auto" w:fill="auto"/>
            <w:noWrap/>
            <w:vAlign w:val="bottom"/>
            <w:hideMark/>
          </w:tcPr>
          <w:p w14:paraId="13CF2D54" w14:textId="77777777" w:rsidR="00F166B1" w:rsidRPr="00730B1E" w:rsidRDefault="00F166B1" w:rsidP="00F166B1">
            <w:pPr>
              <w:spacing w:line="240" w:lineRule="auto"/>
              <w:jc w:val="left"/>
              <w:rPr>
                <w:rFonts w:eastAsia="Times New Roman"/>
                <w:szCs w:val="24"/>
                <w:lang w:eastAsia="cs-CZ"/>
              </w:rPr>
            </w:pPr>
            <w:r w:rsidRPr="00730B1E">
              <w:rPr>
                <w:rFonts w:eastAsia="Times New Roman"/>
                <w:szCs w:val="24"/>
                <w:lang w:eastAsia="cs-CZ"/>
              </w:rPr>
              <w:t>KS Ostrava</w:t>
            </w:r>
          </w:p>
        </w:tc>
        <w:tc>
          <w:tcPr>
            <w:tcW w:w="1250" w:type="dxa"/>
            <w:tcBorders>
              <w:top w:val="nil"/>
              <w:left w:val="nil"/>
              <w:bottom w:val="double" w:sz="6" w:space="0" w:color="auto"/>
              <w:right w:val="nil"/>
            </w:tcBorders>
            <w:shd w:val="clear" w:color="auto" w:fill="auto"/>
            <w:noWrap/>
            <w:vAlign w:val="bottom"/>
            <w:hideMark/>
          </w:tcPr>
          <w:p w14:paraId="0E0AB820" w14:textId="77777777" w:rsidR="00F166B1" w:rsidRPr="00730B1E" w:rsidRDefault="00F166B1" w:rsidP="00F166B1">
            <w:pPr>
              <w:spacing w:line="240" w:lineRule="auto"/>
              <w:jc w:val="center"/>
              <w:rPr>
                <w:rFonts w:eastAsia="Times New Roman"/>
                <w:szCs w:val="24"/>
                <w:lang w:eastAsia="cs-CZ"/>
              </w:rPr>
            </w:pPr>
            <w:r w:rsidRPr="00730B1E">
              <w:rPr>
                <w:rFonts w:eastAsia="Times New Roman"/>
                <w:szCs w:val="24"/>
                <w:lang w:eastAsia="cs-CZ"/>
              </w:rPr>
              <w:t>210</w:t>
            </w:r>
          </w:p>
        </w:tc>
        <w:tc>
          <w:tcPr>
            <w:tcW w:w="1930" w:type="dxa"/>
            <w:tcBorders>
              <w:top w:val="nil"/>
              <w:left w:val="nil"/>
              <w:bottom w:val="double" w:sz="6" w:space="0" w:color="auto"/>
              <w:right w:val="nil"/>
            </w:tcBorders>
            <w:shd w:val="clear" w:color="auto" w:fill="auto"/>
            <w:noWrap/>
            <w:vAlign w:val="center"/>
            <w:hideMark/>
          </w:tcPr>
          <w:p w14:paraId="4C46577A" w14:textId="77777777" w:rsidR="00F166B1" w:rsidRPr="00730B1E" w:rsidRDefault="00F166B1" w:rsidP="00F166B1">
            <w:pPr>
              <w:spacing w:line="240" w:lineRule="auto"/>
              <w:jc w:val="center"/>
              <w:rPr>
                <w:rFonts w:eastAsia="Times New Roman"/>
                <w:sz w:val="20"/>
                <w:szCs w:val="20"/>
                <w:lang w:eastAsia="cs-CZ"/>
              </w:rPr>
            </w:pPr>
            <w:r w:rsidRPr="00730B1E">
              <w:rPr>
                <w:rFonts w:eastAsia="Times New Roman"/>
                <w:sz w:val="20"/>
                <w:szCs w:val="20"/>
                <w:lang w:eastAsia="cs-CZ"/>
              </w:rPr>
              <w:t xml:space="preserve">+22 %  </w:t>
            </w:r>
          </w:p>
        </w:tc>
      </w:tr>
      <w:tr w:rsidR="00B64E96" w:rsidRPr="00730B1E" w14:paraId="5A1CFE9B" w14:textId="77777777" w:rsidTr="00F166B1">
        <w:trPr>
          <w:trHeight w:val="345"/>
        </w:trPr>
        <w:tc>
          <w:tcPr>
            <w:tcW w:w="2780" w:type="dxa"/>
            <w:tcBorders>
              <w:top w:val="nil"/>
              <w:left w:val="nil"/>
              <w:bottom w:val="double" w:sz="6" w:space="0" w:color="auto"/>
              <w:right w:val="nil"/>
            </w:tcBorders>
            <w:shd w:val="clear" w:color="auto" w:fill="auto"/>
            <w:noWrap/>
            <w:vAlign w:val="bottom"/>
            <w:hideMark/>
          </w:tcPr>
          <w:p w14:paraId="4D2333BE" w14:textId="77777777" w:rsidR="00F166B1" w:rsidRPr="00730B1E" w:rsidRDefault="00F166B1" w:rsidP="00F166B1">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250" w:type="dxa"/>
            <w:tcBorders>
              <w:top w:val="nil"/>
              <w:left w:val="nil"/>
              <w:bottom w:val="double" w:sz="6" w:space="0" w:color="auto"/>
              <w:right w:val="nil"/>
            </w:tcBorders>
            <w:shd w:val="clear" w:color="auto" w:fill="auto"/>
            <w:noWrap/>
            <w:vAlign w:val="bottom"/>
            <w:hideMark/>
          </w:tcPr>
          <w:p w14:paraId="5A84D01F" w14:textId="77777777" w:rsidR="00F166B1" w:rsidRPr="00730B1E" w:rsidRDefault="00F166B1" w:rsidP="00F166B1">
            <w:pPr>
              <w:spacing w:line="240" w:lineRule="auto"/>
              <w:jc w:val="center"/>
              <w:rPr>
                <w:rFonts w:eastAsia="Times New Roman"/>
                <w:b/>
                <w:bCs/>
                <w:szCs w:val="24"/>
                <w:lang w:eastAsia="cs-CZ"/>
              </w:rPr>
            </w:pPr>
            <w:r w:rsidRPr="00730B1E">
              <w:rPr>
                <w:rFonts w:eastAsia="Times New Roman"/>
                <w:b/>
                <w:bCs/>
                <w:szCs w:val="24"/>
                <w:lang w:eastAsia="cs-CZ"/>
              </w:rPr>
              <w:t>245</w:t>
            </w:r>
          </w:p>
        </w:tc>
        <w:tc>
          <w:tcPr>
            <w:tcW w:w="1930" w:type="dxa"/>
            <w:tcBorders>
              <w:top w:val="nil"/>
              <w:left w:val="nil"/>
              <w:bottom w:val="double" w:sz="6" w:space="0" w:color="auto"/>
              <w:right w:val="nil"/>
            </w:tcBorders>
            <w:shd w:val="clear" w:color="auto" w:fill="auto"/>
            <w:noWrap/>
            <w:vAlign w:val="center"/>
            <w:hideMark/>
          </w:tcPr>
          <w:p w14:paraId="343115C5" w14:textId="77777777" w:rsidR="00F166B1" w:rsidRPr="00730B1E" w:rsidRDefault="00F166B1" w:rsidP="00F166B1">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+20 %  </w:t>
            </w:r>
          </w:p>
        </w:tc>
      </w:tr>
      <w:tr w:rsidR="00B64E96" w:rsidRPr="00730B1E" w14:paraId="3F174AC0" w14:textId="77777777" w:rsidTr="00F166B1">
        <w:trPr>
          <w:trHeight w:val="330"/>
        </w:trPr>
        <w:tc>
          <w:tcPr>
            <w:tcW w:w="2780" w:type="dxa"/>
            <w:tcBorders>
              <w:top w:val="nil"/>
              <w:left w:val="nil"/>
              <w:bottom w:val="nil"/>
              <w:right w:val="nil"/>
            </w:tcBorders>
            <w:shd w:val="clear" w:color="auto" w:fill="auto"/>
            <w:noWrap/>
            <w:vAlign w:val="bottom"/>
            <w:hideMark/>
          </w:tcPr>
          <w:p w14:paraId="25606A8F" w14:textId="77777777" w:rsidR="00F166B1" w:rsidRPr="00730B1E" w:rsidRDefault="00F166B1" w:rsidP="00F166B1">
            <w:pPr>
              <w:spacing w:line="240" w:lineRule="auto"/>
              <w:jc w:val="center"/>
              <w:rPr>
                <w:rFonts w:eastAsia="Times New Roman"/>
                <w:b/>
                <w:bCs/>
                <w:sz w:val="20"/>
                <w:szCs w:val="20"/>
                <w:lang w:eastAsia="cs-CZ"/>
              </w:rPr>
            </w:pPr>
          </w:p>
        </w:tc>
        <w:tc>
          <w:tcPr>
            <w:tcW w:w="1250" w:type="dxa"/>
            <w:tcBorders>
              <w:top w:val="nil"/>
              <w:left w:val="nil"/>
              <w:bottom w:val="nil"/>
              <w:right w:val="nil"/>
            </w:tcBorders>
            <w:shd w:val="clear" w:color="auto" w:fill="auto"/>
            <w:noWrap/>
            <w:vAlign w:val="bottom"/>
            <w:hideMark/>
          </w:tcPr>
          <w:p w14:paraId="7EE4B927" w14:textId="77777777" w:rsidR="00F166B1" w:rsidRPr="00DF07F3" w:rsidRDefault="00F166B1" w:rsidP="00F166B1">
            <w:pPr>
              <w:spacing w:line="240" w:lineRule="auto"/>
              <w:jc w:val="left"/>
              <w:rPr>
                <w:sz w:val="20"/>
              </w:rPr>
            </w:pPr>
          </w:p>
        </w:tc>
        <w:tc>
          <w:tcPr>
            <w:tcW w:w="1930" w:type="dxa"/>
            <w:tcBorders>
              <w:top w:val="nil"/>
              <w:left w:val="nil"/>
              <w:bottom w:val="nil"/>
              <w:right w:val="nil"/>
            </w:tcBorders>
            <w:shd w:val="clear" w:color="auto" w:fill="auto"/>
            <w:noWrap/>
            <w:vAlign w:val="bottom"/>
            <w:hideMark/>
          </w:tcPr>
          <w:p w14:paraId="279FF8C4" w14:textId="77777777" w:rsidR="00F166B1" w:rsidRPr="00DF07F3" w:rsidRDefault="00F166B1" w:rsidP="00F166B1">
            <w:pPr>
              <w:spacing w:line="240" w:lineRule="auto"/>
              <w:jc w:val="left"/>
              <w:rPr>
                <w:sz w:val="20"/>
              </w:rPr>
            </w:pPr>
          </w:p>
        </w:tc>
      </w:tr>
    </w:tbl>
    <w:p w14:paraId="108E928D" w14:textId="5C8DF3A1" w:rsidR="008430BD" w:rsidRPr="00730B1E" w:rsidRDefault="008430BD" w:rsidP="008430BD">
      <w:pPr>
        <w:pStyle w:val="Nadpis3"/>
        <w:numPr>
          <w:ilvl w:val="2"/>
          <w:numId w:val="1"/>
        </w:numPr>
        <w:rPr>
          <w:color w:val="auto"/>
        </w:rPr>
      </w:pPr>
      <w:bookmarkStart w:id="806" w:name="_Toc106092757"/>
      <w:bookmarkStart w:id="807" w:name="_Toc169250833"/>
      <w:bookmarkStart w:id="808" w:name="_Toc174080869"/>
      <w:r w:rsidRPr="00730B1E">
        <w:rPr>
          <w:color w:val="auto"/>
        </w:rPr>
        <w:t>Další statistiky</w:t>
      </w:r>
      <w:bookmarkEnd w:id="806"/>
      <w:bookmarkEnd w:id="807"/>
      <w:bookmarkEnd w:id="808"/>
    </w:p>
    <w:p w14:paraId="7F9FABF1" w14:textId="1A3F55A9" w:rsidR="00034F1B" w:rsidRPr="00730B1E" w:rsidRDefault="00034F1B" w:rsidP="00034F1B">
      <w:pPr>
        <w:pStyle w:val="OdstavecASR"/>
      </w:pPr>
      <w:r w:rsidRPr="00730B1E">
        <w:t xml:space="preserve">U krajských soudů uvádíme stejné </w:t>
      </w:r>
      <w:r w:rsidRPr="00730B1E">
        <w:rPr>
          <w:iCs/>
        </w:rPr>
        <w:t xml:space="preserve">další </w:t>
      </w:r>
      <w:r w:rsidRPr="00730B1E">
        <w:t>dvě</w:t>
      </w:r>
      <w:r w:rsidRPr="00730B1E">
        <w:rPr>
          <w:iCs/>
        </w:rPr>
        <w:t xml:space="preserve"> statistiky</w:t>
      </w:r>
      <w:r w:rsidRPr="00730B1E">
        <w:t xml:space="preserve"> jako u soudů okresních, tj. míru odvolání a míru změny rozsudku. Díky tomu je tyto statistiky možné porovnat mezi okresními a krajskými soudy. Dále je uveden podíl vybraných sporů (</w:t>
      </w:r>
      <w:r w:rsidRPr="00730B1E">
        <w:rPr>
          <w:i/>
          <w:iCs/>
        </w:rPr>
        <w:t>zrušení a jmenování likvidátora u jiných korporací [spolky, odborové organizace atd.]</w:t>
      </w:r>
      <w:r w:rsidRPr="00730B1E">
        <w:t xml:space="preserve"> a </w:t>
      </w:r>
      <w:r w:rsidRPr="00730B1E">
        <w:rPr>
          <w:i/>
          <w:iCs/>
        </w:rPr>
        <w:t>právní vztahy související se zrušením a likvidací obchodní korporace</w:t>
      </w:r>
      <w:r w:rsidRPr="00730B1E">
        <w:t>) v obchodní agendě.</w:t>
      </w:r>
      <w:r w:rsidR="00766F1D" w:rsidRPr="00730B1E">
        <w:t xml:space="preserve"> Nakonec je stejně jako u okresních soudů krátce prozkoumána výše přiznaných nároků.</w:t>
      </w:r>
    </w:p>
    <w:p w14:paraId="2B942959" w14:textId="77777777" w:rsidR="00034F1B" w:rsidRPr="00730B1E" w:rsidRDefault="00034F1B" w:rsidP="00034F1B">
      <w:pPr>
        <w:pStyle w:val="OdstavecASR"/>
        <w:keepNext/>
        <w:outlineLvl w:val="3"/>
        <w:rPr>
          <w:b/>
        </w:rPr>
      </w:pPr>
      <w:r w:rsidRPr="00730B1E">
        <w:rPr>
          <w:b/>
        </w:rPr>
        <w:t>Míra odvolání</w:t>
      </w:r>
    </w:p>
    <w:p w14:paraId="189977B2" w14:textId="76C6EBE9" w:rsidR="009A68E8" w:rsidRPr="00730B1E" w:rsidRDefault="009A68E8" w:rsidP="009A68E8">
      <w:pPr>
        <w:pStyle w:val="OdstavecASR"/>
      </w:pPr>
      <w:r w:rsidRPr="00730B1E">
        <w:t xml:space="preserve">Vypočtená míra odvolání byla již v letech 2017 až 2020 ovlivněna především očištěním dat o věci s předmětem sporu </w:t>
      </w:r>
      <w:r w:rsidRPr="00730B1E">
        <w:rPr>
          <w:i/>
        </w:rPr>
        <w:t>právní vztahy související se zrušením a likvidací obchodních korporací</w:t>
      </w:r>
      <w:r w:rsidRPr="00730B1E">
        <w:t xml:space="preserve"> (viz podkapitola </w:t>
      </w:r>
      <w:r w:rsidRPr="00730B1E">
        <w:fldChar w:fldCharType="begin"/>
      </w:r>
      <w:r w:rsidRPr="00730B1E">
        <w:instrText xml:space="preserve"> REF _Ref103764802 \r \h  \* MERGEFORMAT </w:instrText>
      </w:r>
      <w:r w:rsidRPr="00730B1E">
        <w:fldChar w:fldCharType="separate"/>
      </w:r>
      <w:r w:rsidR="00056825">
        <w:t>3.2.1</w:t>
      </w:r>
      <w:r w:rsidRPr="00730B1E">
        <w:fldChar w:fldCharType="end"/>
      </w:r>
      <w:r w:rsidRPr="00730B1E">
        <w:t xml:space="preserve">). Od roku 2021 byla míra odvolání rovněž očištěna o věci s předmětem sporu </w:t>
      </w:r>
      <w:r w:rsidRPr="00730B1E">
        <w:rPr>
          <w:i/>
          <w:iCs/>
        </w:rPr>
        <w:t>zrušení a jmenování likvidátora u jiných korporací (spolky, odborové organizace atd.)</w:t>
      </w:r>
      <w:r w:rsidRPr="00730B1E">
        <w:t xml:space="preserve">; více opět viz podkapitola </w:t>
      </w:r>
      <w:r w:rsidRPr="00730B1E">
        <w:fldChar w:fldCharType="begin"/>
      </w:r>
      <w:r w:rsidRPr="00730B1E">
        <w:instrText xml:space="preserve"> REF _Ref103764829 \r \h  \* MERGEFORMAT </w:instrText>
      </w:r>
      <w:r w:rsidRPr="00730B1E">
        <w:fldChar w:fldCharType="separate"/>
      </w:r>
      <w:r w:rsidR="00056825">
        <w:t>3.2.1</w:t>
      </w:r>
      <w:r w:rsidRPr="00730B1E">
        <w:fldChar w:fldCharType="end"/>
      </w:r>
      <w:r w:rsidRPr="00730B1E">
        <w:t>. Za účelem srovnání opět došlo ke změně i zpětně.</w:t>
      </w:r>
    </w:p>
    <w:p w14:paraId="5291AF4B" w14:textId="61AEE79D" w:rsidR="009A68E8" w:rsidRPr="00730B1E" w:rsidRDefault="009A68E8" w:rsidP="009A68E8">
      <w:pPr>
        <w:pStyle w:val="Podnadpis"/>
        <w:rPr>
          <w:color w:val="auto"/>
        </w:rPr>
      </w:pPr>
      <w:bookmarkStart w:id="809" w:name="_Toc515871471"/>
      <w:bookmarkStart w:id="810" w:name="_Toc11133238"/>
      <w:bookmarkStart w:id="811" w:name="_Toc43931217"/>
      <w:bookmarkStart w:id="812" w:name="_Toc75952350"/>
      <w:bookmarkStart w:id="813" w:name="_Toc106106807"/>
      <w:bookmarkStart w:id="814" w:name="_Toc109802130"/>
      <w:bookmarkStart w:id="815" w:name="_Toc144104288"/>
      <w:bookmarkStart w:id="816" w:name="_Toc169251100"/>
      <w:bookmarkStart w:id="817" w:name="_Toc174080786"/>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43</w:t>
      </w:r>
      <w:r w:rsidRPr="00730B1E">
        <w:rPr>
          <w:color w:val="auto"/>
        </w:rPr>
        <w:fldChar w:fldCharType="end"/>
      </w:r>
      <w:r w:rsidRPr="00730B1E">
        <w:rPr>
          <w:color w:val="auto"/>
        </w:rPr>
        <w:t>: KS – míra odvolání dle soudů v civilním řízení</w:t>
      </w:r>
      <w:bookmarkEnd w:id="809"/>
      <w:bookmarkEnd w:id="810"/>
      <w:bookmarkEnd w:id="811"/>
      <w:bookmarkEnd w:id="812"/>
      <w:bookmarkEnd w:id="813"/>
      <w:bookmarkEnd w:id="814"/>
      <w:bookmarkEnd w:id="815"/>
      <w:r w:rsidR="00F77E72" w:rsidRPr="00730B1E">
        <w:rPr>
          <w:color w:val="auto"/>
        </w:rPr>
        <w:t>, 2023</w:t>
      </w:r>
      <w:bookmarkEnd w:id="816"/>
      <w:bookmarkEnd w:id="817"/>
    </w:p>
    <w:tbl>
      <w:tblPr>
        <w:tblW w:w="6300" w:type="dxa"/>
        <w:tblCellMar>
          <w:left w:w="70" w:type="dxa"/>
          <w:right w:w="70" w:type="dxa"/>
        </w:tblCellMar>
        <w:tblLook w:val="04A0" w:firstRow="1" w:lastRow="0" w:firstColumn="1" w:lastColumn="0" w:noHBand="0" w:noVBand="1"/>
      </w:tblPr>
      <w:tblGrid>
        <w:gridCol w:w="2780"/>
        <w:gridCol w:w="1717"/>
        <w:gridCol w:w="1803"/>
      </w:tblGrid>
      <w:tr w:rsidR="00B64E96" w:rsidRPr="00730B1E" w14:paraId="7C0D41A3" w14:textId="77777777" w:rsidTr="009A68E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821A90F" w14:textId="77777777" w:rsidR="009A68E8" w:rsidRPr="00730B1E" w:rsidRDefault="009A68E8" w:rsidP="009A68E8">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0E5F60B2" w14:textId="77777777" w:rsidR="009A68E8" w:rsidRPr="00730B1E" w:rsidRDefault="009A68E8" w:rsidP="009A68E8">
            <w:pPr>
              <w:spacing w:line="240" w:lineRule="auto"/>
              <w:jc w:val="center"/>
              <w:rPr>
                <w:rFonts w:eastAsia="Times New Roman"/>
                <w:b/>
                <w:bCs/>
                <w:szCs w:val="24"/>
                <w:lang w:eastAsia="cs-CZ"/>
              </w:rPr>
            </w:pPr>
            <w:r w:rsidRPr="00730B1E">
              <w:rPr>
                <w:rFonts w:eastAsia="Times New Roman"/>
                <w:b/>
                <w:bCs/>
                <w:szCs w:val="24"/>
                <w:lang w:eastAsia="cs-CZ"/>
              </w:rPr>
              <w:t xml:space="preserve">Míra odvolání </w:t>
            </w:r>
          </w:p>
        </w:tc>
      </w:tr>
      <w:tr w:rsidR="00B64E96" w:rsidRPr="00730B1E" w14:paraId="1391CF41" w14:textId="77777777" w:rsidTr="009A68E8">
        <w:trPr>
          <w:trHeight w:val="330"/>
        </w:trPr>
        <w:tc>
          <w:tcPr>
            <w:tcW w:w="2780" w:type="dxa"/>
            <w:tcBorders>
              <w:top w:val="nil"/>
              <w:left w:val="nil"/>
              <w:bottom w:val="single" w:sz="4" w:space="0" w:color="auto"/>
              <w:right w:val="nil"/>
            </w:tcBorders>
            <w:shd w:val="clear" w:color="auto" w:fill="auto"/>
            <w:noWrap/>
            <w:vAlign w:val="bottom"/>
            <w:hideMark/>
          </w:tcPr>
          <w:p w14:paraId="239BF42A" w14:textId="77777777" w:rsidR="009A68E8" w:rsidRPr="00730B1E" w:rsidRDefault="009A68E8" w:rsidP="009A68E8">
            <w:pPr>
              <w:spacing w:line="240" w:lineRule="auto"/>
              <w:jc w:val="left"/>
              <w:rPr>
                <w:rFonts w:eastAsia="Times New Roman"/>
                <w:szCs w:val="24"/>
                <w:lang w:eastAsia="cs-CZ"/>
              </w:rPr>
            </w:pPr>
            <w:r w:rsidRPr="00730B1E">
              <w:rPr>
                <w:rFonts w:eastAsia="Times New Roman"/>
                <w:szCs w:val="24"/>
                <w:lang w:eastAsia="cs-CZ"/>
              </w:rPr>
              <w:t>MS Praha</w:t>
            </w:r>
          </w:p>
        </w:tc>
        <w:tc>
          <w:tcPr>
            <w:tcW w:w="1717" w:type="dxa"/>
            <w:tcBorders>
              <w:top w:val="nil"/>
              <w:left w:val="nil"/>
              <w:bottom w:val="single" w:sz="4" w:space="0" w:color="auto"/>
              <w:right w:val="nil"/>
            </w:tcBorders>
            <w:shd w:val="clear" w:color="auto" w:fill="auto"/>
            <w:noWrap/>
            <w:vAlign w:val="bottom"/>
            <w:hideMark/>
          </w:tcPr>
          <w:p w14:paraId="30F2C31B" w14:textId="6F908AE6" w:rsidR="009A68E8" w:rsidRPr="00730B1E" w:rsidRDefault="009A68E8" w:rsidP="009A68E8">
            <w:pPr>
              <w:spacing w:line="240" w:lineRule="auto"/>
              <w:jc w:val="center"/>
              <w:rPr>
                <w:rFonts w:eastAsia="Times New Roman"/>
                <w:szCs w:val="24"/>
                <w:lang w:eastAsia="cs-CZ"/>
              </w:rPr>
            </w:pPr>
            <w:r w:rsidRPr="00730B1E">
              <w:rPr>
                <w:rFonts w:eastAsia="Times New Roman"/>
                <w:szCs w:val="24"/>
                <w:lang w:eastAsia="cs-CZ"/>
              </w:rPr>
              <w:t>18</w:t>
            </w:r>
            <w:r w:rsidR="0015363E" w:rsidRPr="00730B1E">
              <w:rPr>
                <w:rFonts w:eastAsia="Times New Roman"/>
                <w:szCs w:val="24"/>
                <w:lang w:eastAsia="cs-CZ"/>
              </w:rPr>
              <w:t>,</w:t>
            </w:r>
            <w:r w:rsidRPr="00730B1E">
              <w:rPr>
                <w:rFonts w:eastAsia="Times New Roman"/>
                <w:szCs w:val="24"/>
                <w:lang w:eastAsia="cs-CZ"/>
              </w:rPr>
              <w:t>77 %</w:t>
            </w:r>
          </w:p>
        </w:tc>
        <w:tc>
          <w:tcPr>
            <w:tcW w:w="1803" w:type="dxa"/>
            <w:tcBorders>
              <w:top w:val="nil"/>
              <w:left w:val="nil"/>
              <w:bottom w:val="single" w:sz="4" w:space="0" w:color="auto"/>
              <w:right w:val="nil"/>
            </w:tcBorders>
            <w:shd w:val="clear" w:color="auto" w:fill="auto"/>
            <w:noWrap/>
            <w:vAlign w:val="center"/>
            <w:hideMark/>
          </w:tcPr>
          <w:p w14:paraId="6C33A019" w14:textId="05D2F798" w:rsidR="009A68E8" w:rsidRPr="00730B1E" w:rsidRDefault="009A68E8" w:rsidP="009A68E8">
            <w:pPr>
              <w:spacing w:line="240" w:lineRule="auto"/>
              <w:jc w:val="center"/>
              <w:rPr>
                <w:rFonts w:eastAsia="Times New Roman"/>
                <w:sz w:val="20"/>
                <w:szCs w:val="20"/>
                <w:lang w:eastAsia="cs-CZ"/>
              </w:rPr>
            </w:pPr>
            <w:r w:rsidRPr="00730B1E">
              <w:rPr>
                <w:rFonts w:eastAsia="Times New Roman"/>
                <w:sz w:val="20"/>
                <w:szCs w:val="20"/>
                <w:lang w:eastAsia="cs-CZ"/>
              </w:rPr>
              <w:t>-13,0 p.b.</w:t>
            </w:r>
          </w:p>
        </w:tc>
      </w:tr>
      <w:tr w:rsidR="00B64E96" w:rsidRPr="00730B1E" w14:paraId="29BA3F89" w14:textId="77777777" w:rsidTr="009A68E8">
        <w:trPr>
          <w:trHeight w:val="315"/>
        </w:trPr>
        <w:tc>
          <w:tcPr>
            <w:tcW w:w="2780" w:type="dxa"/>
            <w:tcBorders>
              <w:top w:val="nil"/>
              <w:left w:val="nil"/>
              <w:bottom w:val="single" w:sz="4" w:space="0" w:color="auto"/>
              <w:right w:val="nil"/>
            </w:tcBorders>
            <w:shd w:val="clear" w:color="auto" w:fill="auto"/>
            <w:noWrap/>
            <w:vAlign w:val="bottom"/>
            <w:hideMark/>
          </w:tcPr>
          <w:p w14:paraId="5BC8A0F1" w14:textId="77777777" w:rsidR="009A68E8" w:rsidRPr="00730B1E" w:rsidRDefault="009A68E8" w:rsidP="009A68E8">
            <w:pPr>
              <w:spacing w:line="240" w:lineRule="auto"/>
              <w:jc w:val="left"/>
              <w:rPr>
                <w:rFonts w:eastAsia="Times New Roman"/>
                <w:szCs w:val="24"/>
                <w:lang w:eastAsia="cs-CZ"/>
              </w:rPr>
            </w:pPr>
            <w:r w:rsidRPr="00730B1E">
              <w:rPr>
                <w:rFonts w:eastAsia="Times New Roman"/>
                <w:szCs w:val="24"/>
                <w:lang w:eastAsia="cs-CZ"/>
              </w:rPr>
              <w:t>KS Praha</w:t>
            </w:r>
          </w:p>
        </w:tc>
        <w:tc>
          <w:tcPr>
            <w:tcW w:w="1717" w:type="dxa"/>
            <w:tcBorders>
              <w:top w:val="nil"/>
              <w:left w:val="nil"/>
              <w:bottom w:val="single" w:sz="4" w:space="0" w:color="auto"/>
              <w:right w:val="nil"/>
            </w:tcBorders>
            <w:shd w:val="clear" w:color="auto" w:fill="auto"/>
            <w:noWrap/>
            <w:vAlign w:val="bottom"/>
            <w:hideMark/>
          </w:tcPr>
          <w:p w14:paraId="3AD31D76" w14:textId="4A68051F" w:rsidR="009A68E8" w:rsidRPr="00730B1E" w:rsidRDefault="009A68E8" w:rsidP="009A68E8">
            <w:pPr>
              <w:spacing w:line="240" w:lineRule="auto"/>
              <w:jc w:val="center"/>
              <w:rPr>
                <w:rFonts w:eastAsia="Times New Roman"/>
                <w:szCs w:val="24"/>
                <w:lang w:eastAsia="cs-CZ"/>
              </w:rPr>
            </w:pPr>
            <w:r w:rsidRPr="00730B1E">
              <w:rPr>
                <w:rFonts w:eastAsia="Times New Roman"/>
                <w:szCs w:val="24"/>
                <w:lang w:eastAsia="cs-CZ"/>
              </w:rPr>
              <w:t>24</w:t>
            </w:r>
            <w:r w:rsidR="0015363E" w:rsidRPr="00730B1E">
              <w:rPr>
                <w:rFonts w:eastAsia="Times New Roman"/>
                <w:szCs w:val="24"/>
                <w:lang w:eastAsia="cs-CZ"/>
              </w:rPr>
              <w:t>,</w:t>
            </w:r>
            <w:r w:rsidRPr="00730B1E">
              <w:rPr>
                <w:rFonts w:eastAsia="Times New Roman"/>
                <w:szCs w:val="24"/>
                <w:lang w:eastAsia="cs-CZ"/>
              </w:rPr>
              <w:t>05 %</w:t>
            </w:r>
          </w:p>
        </w:tc>
        <w:tc>
          <w:tcPr>
            <w:tcW w:w="1803" w:type="dxa"/>
            <w:tcBorders>
              <w:top w:val="nil"/>
              <w:left w:val="nil"/>
              <w:bottom w:val="single" w:sz="4" w:space="0" w:color="auto"/>
              <w:right w:val="nil"/>
            </w:tcBorders>
            <w:shd w:val="clear" w:color="auto" w:fill="auto"/>
            <w:noWrap/>
            <w:vAlign w:val="center"/>
            <w:hideMark/>
          </w:tcPr>
          <w:p w14:paraId="501DFE86" w14:textId="553475B5" w:rsidR="009A68E8" w:rsidRPr="00730B1E" w:rsidRDefault="009A68E8" w:rsidP="009A68E8">
            <w:pPr>
              <w:spacing w:line="240" w:lineRule="auto"/>
              <w:jc w:val="center"/>
              <w:rPr>
                <w:rFonts w:eastAsia="Times New Roman"/>
                <w:sz w:val="20"/>
                <w:szCs w:val="20"/>
                <w:lang w:eastAsia="cs-CZ"/>
              </w:rPr>
            </w:pPr>
            <w:r w:rsidRPr="00730B1E">
              <w:rPr>
                <w:rFonts w:eastAsia="Times New Roman"/>
                <w:sz w:val="20"/>
                <w:szCs w:val="20"/>
                <w:lang w:eastAsia="cs-CZ"/>
              </w:rPr>
              <w:t>-4,0 p.b.</w:t>
            </w:r>
          </w:p>
        </w:tc>
      </w:tr>
      <w:tr w:rsidR="00B64E96" w:rsidRPr="00730B1E" w14:paraId="35F65D86" w14:textId="77777777" w:rsidTr="009A68E8">
        <w:trPr>
          <w:trHeight w:val="315"/>
        </w:trPr>
        <w:tc>
          <w:tcPr>
            <w:tcW w:w="2780" w:type="dxa"/>
            <w:tcBorders>
              <w:top w:val="nil"/>
              <w:left w:val="nil"/>
              <w:bottom w:val="single" w:sz="4" w:space="0" w:color="auto"/>
              <w:right w:val="nil"/>
            </w:tcBorders>
            <w:shd w:val="clear" w:color="auto" w:fill="auto"/>
            <w:noWrap/>
            <w:vAlign w:val="bottom"/>
            <w:hideMark/>
          </w:tcPr>
          <w:p w14:paraId="692430FA" w14:textId="77777777" w:rsidR="009A68E8" w:rsidRPr="00730B1E" w:rsidRDefault="009A68E8" w:rsidP="009A68E8">
            <w:pPr>
              <w:spacing w:line="240" w:lineRule="auto"/>
              <w:jc w:val="left"/>
              <w:rPr>
                <w:rFonts w:eastAsia="Times New Roman"/>
                <w:szCs w:val="24"/>
                <w:lang w:eastAsia="cs-CZ"/>
              </w:rPr>
            </w:pPr>
            <w:r w:rsidRPr="00730B1E">
              <w:rPr>
                <w:rFonts w:eastAsia="Times New Roman"/>
                <w:szCs w:val="24"/>
                <w:lang w:eastAsia="cs-CZ"/>
              </w:rPr>
              <w:t>KS Č. Budějovice</w:t>
            </w:r>
          </w:p>
        </w:tc>
        <w:tc>
          <w:tcPr>
            <w:tcW w:w="1717" w:type="dxa"/>
            <w:tcBorders>
              <w:top w:val="nil"/>
              <w:left w:val="nil"/>
              <w:bottom w:val="single" w:sz="4" w:space="0" w:color="auto"/>
              <w:right w:val="nil"/>
            </w:tcBorders>
            <w:shd w:val="clear" w:color="auto" w:fill="auto"/>
            <w:noWrap/>
            <w:vAlign w:val="bottom"/>
            <w:hideMark/>
          </w:tcPr>
          <w:p w14:paraId="2C77C83B" w14:textId="7BF0639F" w:rsidR="009A68E8" w:rsidRPr="00730B1E" w:rsidRDefault="009A68E8" w:rsidP="009A68E8">
            <w:pPr>
              <w:spacing w:line="240" w:lineRule="auto"/>
              <w:jc w:val="center"/>
              <w:rPr>
                <w:rFonts w:eastAsia="Times New Roman"/>
                <w:szCs w:val="24"/>
                <w:lang w:eastAsia="cs-CZ"/>
              </w:rPr>
            </w:pPr>
            <w:r w:rsidRPr="00730B1E">
              <w:rPr>
                <w:rFonts w:eastAsia="Times New Roman"/>
                <w:szCs w:val="24"/>
                <w:lang w:eastAsia="cs-CZ"/>
              </w:rPr>
              <w:t>37</w:t>
            </w:r>
            <w:r w:rsidR="0015363E" w:rsidRPr="00730B1E">
              <w:rPr>
                <w:rFonts w:eastAsia="Times New Roman"/>
                <w:szCs w:val="24"/>
                <w:lang w:eastAsia="cs-CZ"/>
              </w:rPr>
              <w:t>,</w:t>
            </w:r>
            <w:r w:rsidRPr="00730B1E">
              <w:rPr>
                <w:rFonts w:eastAsia="Times New Roman"/>
                <w:szCs w:val="24"/>
                <w:lang w:eastAsia="cs-CZ"/>
              </w:rPr>
              <w:t>72 %</w:t>
            </w:r>
          </w:p>
        </w:tc>
        <w:tc>
          <w:tcPr>
            <w:tcW w:w="1803" w:type="dxa"/>
            <w:tcBorders>
              <w:top w:val="nil"/>
              <w:left w:val="nil"/>
              <w:bottom w:val="single" w:sz="4" w:space="0" w:color="auto"/>
              <w:right w:val="nil"/>
            </w:tcBorders>
            <w:shd w:val="clear" w:color="auto" w:fill="auto"/>
            <w:noWrap/>
            <w:vAlign w:val="center"/>
            <w:hideMark/>
          </w:tcPr>
          <w:p w14:paraId="0A493802" w14:textId="567A24FF" w:rsidR="009A68E8" w:rsidRPr="00730B1E" w:rsidRDefault="009A68E8" w:rsidP="009A68E8">
            <w:pPr>
              <w:spacing w:line="240" w:lineRule="auto"/>
              <w:jc w:val="center"/>
              <w:rPr>
                <w:rFonts w:eastAsia="Times New Roman"/>
                <w:sz w:val="20"/>
                <w:szCs w:val="20"/>
                <w:lang w:eastAsia="cs-CZ"/>
              </w:rPr>
            </w:pPr>
            <w:r w:rsidRPr="00730B1E">
              <w:rPr>
                <w:rFonts w:eastAsia="Times New Roman"/>
                <w:sz w:val="20"/>
                <w:szCs w:val="20"/>
                <w:lang w:eastAsia="cs-CZ"/>
              </w:rPr>
              <w:t>+11,6 p.b.</w:t>
            </w:r>
          </w:p>
        </w:tc>
      </w:tr>
      <w:tr w:rsidR="00B64E96" w:rsidRPr="00730B1E" w14:paraId="230AF86D" w14:textId="77777777" w:rsidTr="009A68E8">
        <w:trPr>
          <w:trHeight w:val="315"/>
        </w:trPr>
        <w:tc>
          <w:tcPr>
            <w:tcW w:w="2780" w:type="dxa"/>
            <w:tcBorders>
              <w:top w:val="nil"/>
              <w:left w:val="nil"/>
              <w:bottom w:val="single" w:sz="4" w:space="0" w:color="auto"/>
              <w:right w:val="nil"/>
            </w:tcBorders>
            <w:shd w:val="clear" w:color="auto" w:fill="auto"/>
            <w:noWrap/>
            <w:vAlign w:val="bottom"/>
            <w:hideMark/>
          </w:tcPr>
          <w:p w14:paraId="476EAB61" w14:textId="77777777" w:rsidR="009A68E8" w:rsidRPr="00730B1E" w:rsidRDefault="009A68E8" w:rsidP="009A68E8">
            <w:pPr>
              <w:spacing w:line="240" w:lineRule="auto"/>
              <w:jc w:val="left"/>
              <w:rPr>
                <w:rFonts w:eastAsia="Times New Roman"/>
                <w:szCs w:val="24"/>
                <w:lang w:eastAsia="cs-CZ"/>
              </w:rPr>
            </w:pPr>
            <w:r w:rsidRPr="00730B1E">
              <w:rPr>
                <w:rFonts w:eastAsia="Times New Roman"/>
                <w:szCs w:val="24"/>
                <w:lang w:eastAsia="cs-CZ"/>
              </w:rPr>
              <w:t>KS Plzeň</w:t>
            </w:r>
          </w:p>
        </w:tc>
        <w:tc>
          <w:tcPr>
            <w:tcW w:w="1717" w:type="dxa"/>
            <w:tcBorders>
              <w:top w:val="nil"/>
              <w:left w:val="nil"/>
              <w:bottom w:val="single" w:sz="4" w:space="0" w:color="auto"/>
              <w:right w:val="nil"/>
            </w:tcBorders>
            <w:shd w:val="clear" w:color="auto" w:fill="auto"/>
            <w:noWrap/>
            <w:vAlign w:val="bottom"/>
            <w:hideMark/>
          </w:tcPr>
          <w:p w14:paraId="7BB18FF0" w14:textId="153A9196" w:rsidR="009A68E8" w:rsidRPr="00730B1E" w:rsidRDefault="009A68E8" w:rsidP="009A68E8">
            <w:pPr>
              <w:spacing w:line="240" w:lineRule="auto"/>
              <w:jc w:val="center"/>
              <w:rPr>
                <w:rFonts w:eastAsia="Times New Roman"/>
                <w:szCs w:val="24"/>
                <w:lang w:eastAsia="cs-CZ"/>
              </w:rPr>
            </w:pPr>
            <w:r w:rsidRPr="00730B1E">
              <w:rPr>
                <w:rFonts w:eastAsia="Times New Roman"/>
                <w:szCs w:val="24"/>
                <w:lang w:eastAsia="cs-CZ"/>
              </w:rPr>
              <w:t>18</w:t>
            </w:r>
            <w:r w:rsidR="0015363E" w:rsidRPr="00730B1E">
              <w:rPr>
                <w:rFonts w:eastAsia="Times New Roman"/>
                <w:szCs w:val="24"/>
                <w:lang w:eastAsia="cs-CZ"/>
              </w:rPr>
              <w:t>,</w:t>
            </w:r>
            <w:r w:rsidRPr="00730B1E">
              <w:rPr>
                <w:rFonts w:eastAsia="Times New Roman"/>
                <w:szCs w:val="24"/>
                <w:lang w:eastAsia="cs-CZ"/>
              </w:rPr>
              <w:t>60 %</w:t>
            </w:r>
          </w:p>
        </w:tc>
        <w:tc>
          <w:tcPr>
            <w:tcW w:w="1803" w:type="dxa"/>
            <w:tcBorders>
              <w:top w:val="nil"/>
              <w:left w:val="nil"/>
              <w:bottom w:val="single" w:sz="4" w:space="0" w:color="auto"/>
              <w:right w:val="nil"/>
            </w:tcBorders>
            <w:shd w:val="clear" w:color="auto" w:fill="auto"/>
            <w:noWrap/>
            <w:vAlign w:val="center"/>
            <w:hideMark/>
          </w:tcPr>
          <w:p w14:paraId="65EBD303" w14:textId="027A2BFC" w:rsidR="009A68E8" w:rsidRPr="00730B1E" w:rsidRDefault="009A68E8" w:rsidP="009A68E8">
            <w:pPr>
              <w:spacing w:line="240" w:lineRule="auto"/>
              <w:jc w:val="center"/>
              <w:rPr>
                <w:rFonts w:eastAsia="Times New Roman"/>
                <w:sz w:val="20"/>
                <w:szCs w:val="20"/>
                <w:lang w:eastAsia="cs-CZ"/>
              </w:rPr>
            </w:pPr>
            <w:r w:rsidRPr="00730B1E">
              <w:rPr>
                <w:rFonts w:eastAsia="Times New Roman"/>
                <w:sz w:val="20"/>
                <w:szCs w:val="20"/>
                <w:lang w:eastAsia="cs-CZ"/>
              </w:rPr>
              <w:t>-3,2 p.b.</w:t>
            </w:r>
          </w:p>
        </w:tc>
      </w:tr>
      <w:tr w:rsidR="00B64E96" w:rsidRPr="00730B1E" w14:paraId="76DF9016" w14:textId="77777777" w:rsidTr="009A68E8">
        <w:trPr>
          <w:trHeight w:val="315"/>
        </w:trPr>
        <w:tc>
          <w:tcPr>
            <w:tcW w:w="2780" w:type="dxa"/>
            <w:tcBorders>
              <w:top w:val="nil"/>
              <w:left w:val="nil"/>
              <w:bottom w:val="single" w:sz="4" w:space="0" w:color="auto"/>
              <w:right w:val="nil"/>
            </w:tcBorders>
            <w:shd w:val="clear" w:color="auto" w:fill="auto"/>
            <w:noWrap/>
            <w:vAlign w:val="bottom"/>
            <w:hideMark/>
          </w:tcPr>
          <w:p w14:paraId="76E93B5F" w14:textId="77777777" w:rsidR="009A68E8" w:rsidRPr="00730B1E" w:rsidRDefault="009A68E8" w:rsidP="009A68E8">
            <w:pPr>
              <w:spacing w:line="240" w:lineRule="auto"/>
              <w:jc w:val="left"/>
              <w:rPr>
                <w:rFonts w:eastAsia="Times New Roman"/>
                <w:szCs w:val="24"/>
                <w:lang w:eastAsia="cs-CZ"/>
              </w:rPr>
            </w:pPr>
            <w:r w:rsidRPr="00730B1E">
              <w:rPr>
                <w:rFonts w:eastAsia="Times New Roman"/>
                <w:szCs w:val="24"/>
                <w:lang w:eastAsia="cs-CZ"/>
              </w:rPr>
              <w:t>KS Ústí n. Labem</w:t>
            </w:r>
          </w:p>
        </w:tc>
        <w:tc>
          <w:tcPr>
            <w:tcW w:w="1717" w:type="dxa"/>
            <w:tcBorders>
              <w:top w:val="nil"/>
              <w:left w:val="nil"/>
              <w:bottom w:val="single" w:sz="4" w:space="0" w:color="auto"/>
              <w:right w:val="nil"/>
            </w:tcBorders>
            <w:shd w:val="clear" w:color="auto" w:fill="auto"/>
            <w:noWrap/>
            <w:vAlign w:val="bottom"/>
            <w:hideMark/>
          </w:tcPr>
          <w:p w14:paraId="6C979A2E" w14:textId="4793438C" w:rsidR="009A68E8" w:rsidRPr="00730B1E" w:rsidRDefault="009A68E8" w:rsidP="009A68E8">
            <w:pPr>
              <w:spacing w:line="240" w:lineRule="auto"/>
              <w:jc w:val="center"/>
              <w:rPr>
                <w:rFonts w:eastAsia="Times New Roman"/>
                <w:szCs w:val="24"/>
                <w:lang w:eastAsia="cs-CZ"/>
              </w:rPr>
            </w:pPr>
            <w:r w:rsidRPr="00730B1E">
              <w:rPr>
                <w:rFonts w:eastAsia="Times New Roman"/>
                <w:szCs w:val="24"/>
                <w:lang w:eastAsia="cs-CZ"/>
              </w:rPr>
              <w:t>14</w:t>
            </w:r>
            <w:r w:rsidR="0015363E" w:rsidRPr="00730B1E">
              <w:rPr>
                <w:rFonts w:eastAsia="Times New Roman"/>
                <w:szCs w:val="24"/>
                <w:lang w:eastAsia="cs-CZ"/>
              </w:rPr>
              <w:t>,</w:t>
            </w:r>
            <w:r w:rsidRPr="00730B1E">
              <w:rPr>
                <w:rFonts w:eastAsia="Times New Roman"/>
                <w:szCs w:val="24"/>
                <w:lang w:eastAsia="cs-CZ"/>
              </w:rPr>
              <w:t>98 %</w:t>
            </w:r>
          </w:p>
        </w:tc>
        <w:tc>
          <w:tcPr>
            <w:tcW w:w="1803" w:type="dxa"/>
            <w:tcBorders>
              <w:top w:val="nil"/>
              <w:left w:val="nil"/>
              <w:bottom w:val="single" w:sz="4" w:space="0" w:color="auto"/>
              <w:right w:val="nil"/>
            </w:tcBorders>
            <w:shd w:val="clear" w:color="auto" w:fill="auto"/>
            <w:noWrap/>
            <w:vAlign w:val="center"/>
            <w:hideMark/>
          </w:tcPr>
          <w:p w14:paraId="0F02BB7E" w14:textId="3133A750" w:rsidR="009A68E8" w:rsidRPr="00730B1E" w:rsidRDefault="009A68E8" w:rsidP="009A68E8">
            <w:pPr>
              <w:spacing w:line="240" w:lineRule="auto"/>
              <w:jc w:val="center"/>
              <w:rPr>
                <w:rFonts w:eastAsia="Times New Roman"/>
                <w:sz w:val="20"/>
                <w:szCs w:val="20"/>
                <w:lang w:eastAsia="cs-CZ"/>
              </w:rPr>
            </w:pPr>
            <w:r w:rsidRPr="00730B1E">
              <w:rPr>
                <w:rFonts w:eastAsia="Times New Roman"/>
                <w:sz w:val="20"/>
                <w:szCs w:val="20"/>
                <w:lang w:eastAsia="cs-CZ"/>
              </w:rPr>
              <w:t>-4,1 p.b.</w:t>
            </w:r>
          </w:p>
        </w:tc>
      </w:tr>
      <w:tr w:rsidR="00B64E96" w:rsidRPr="00730B1E" w14:paraId="5A4CD31E" w14:textId="77777777" w:rsidTr="009A68E8">
        <w:trPr>
          <w:trHeight w:val="315"/>
        </w:trPr>
        <w:tc>
          <w:tcPr>
            <w:tcW w:w="2780" w:type="dxa"/>
            <w:tcBorders>
              <w:top w:val="nil"/>
              <w:left w:val="nil"/>
              <w:bottom w:val="single" w:sz="4" w:space="0" w:color="auto"/>
              <w:right w:val="nil"/>
            </w:tcBorders>
            <w:shd w:val="clear" w:color="auto" w:fill="auto"/>
            <w:noWrap/>
            <w:vAlign w:val="bottom"/>
            <w:hideMark/>
          </w:tcPr>
          <w:p w14:paraId="79A7887C" w14:textId="77777777" w:rsidR="009A68E8" w:rsidRPr="00730B1E" w:rsidRDefault="009A68E8" w:rsidP="009A68E8">
            <w:pPr>
              <w:spacing w:line="240" w:lineRule="auto"/>
              <w:jc w:val="left"/>
              <w:rPr>
                <w:rFonts w:eastAsia="Times New Roman"/>
                <w:szCs w:val="24"/>
                <w:lang w:eastAsia="cs-CZ"/>
              </w:rPr>
            </w:pPr>
            <w:r w:rsidRPr="00730B1E">
              <w:rPr>
                <w:rFonts w:eastAsia="Times New Roman"/>
                <w:szCs w:val="24"/>
                <w:lang w:eastAsia="cs-CZ"/>
              </w:rPr>
              <w:t>KS Hr. Králové</w:t>
            </w:r>
          </w:p>
        </w:tc>
        <w:tc>
          <w:tcPr>
            <w:tcW w:w="1717" w:type="dxa"/>
            <w:tcBorders>
              <w:top w:val="nil"/>
              <w:left w:val="nil"/>
              <w:bottom w:val="single" w:sz="4" w:space="0" w:color="auto"/>
              <w:right w:val="nil"/>
            </w:tcBorders>
            <w:shd w:val="clear" w:color="auto" w:fill="auto"/>
            <w:noWrap/>
            <w:vAlign w:val="bottom"/>
            <w:hideMark/>
          </w:tcPr>
          <w:p w14:paraId="2B2BFDDA" w14:textId="66E31977" w:rsidR="009A68E8" w:rsidRPr="00730B1E" w:rsidRDefault="009A68E8" w:rsidP="009A68E8">
            <w:pPr>
              <w:spacing w:line="240" w:lineRule="auto"/>
              <w:jc w:val="center"/>
              <w:rPr>
                <w:rFonts w:eastAsia="Times New Roman"/>
                <w:szCs w:val="24"/>
                <w:lang w:eastAsia="cs-CZ"/>
              </w:rPr>
            </w:pPr>
            <w:r w:rsidRPr="00730B1E">
              <w:rPr>
                <w:rFonts w:eastAsia="Times New Roman"/>
                <w:szCs w:val="24"/>
                <w:lang w:eastAsia="cs-CZ"/>
              </w:rPr>
              <w:t>16</w:t>
            </w:r>
            <w:r w:rsidR="0015363E" w:rsidRPr="00730B1E">
              <w:rPr>
                <w:rFonts w:eastAsia="Times New Roman"/>
                <w:szCs w:val="24"/>
                <w:lang w:eastAsia="cs-CZ"/>
              </w:rPr>
              <w:t>,</w:t>
            </w:r>
            <w:r w:rsidRPr="00730B1E">
              <w:rPr>
                <w:rFonts w:eastAsia="Times New Roman"/>
                <w:szCs w:val="24"/>
                <w:lang w:eastAsia="cs-CZ"/>
              </w:rPr>
              <w:t>59 %</w:t>
            </w:r>
          </w:p>
        </w:tc>
        <w:tc>
          <w:tcPr>
            <w:tcW w:w="1803" w:type="dxa"/>
            <w:tcBorders>
              <w:top w:val="nil"/>
              <w:left w:val="nil"/>
              <w:bottom w:val="single" w:sz="4" w:space="0" w:color="auto"/>
              <w:right w:val="nil"/>
            </w:tcBorders>
            <w:shd w:val="clear" w:color="auto" w:fill="auto"/>
            <w:noWrap/>
            <w:vAlign w:val="center"/>
            <w:hideMark/>
          </w:tcPr>
          <w:p w14:paraId="51B650F6" w14:textId="005686A5" w:rsidR="009A68E8" w:rsidRPr="00730B1E" w:rsidRDefault="009A68E8" w:rsidP="009A68E8">
            <w:pPr>
              <w:spacing w:line="240" w:lineRule="auto"/>
              <w:jc w:val="center"/>
              <w:rPr>
                <w:rFonts w:eastAsia="Times New Roman"/>
                <w:sz w:val="20"/>
                <w:szCs w:val="20"/>
                <w:lang w:eastAsia="cs-CZ"/>
              </w:rPr>
            </w:pPr>
            <w:r w:rsidRPr="00730B1E">
              <w:rPr>
                <w:rFonts w:eastAsia="Times New Roman"/>
                <w:sz w:val="20"/>
                <w:szCs w:val="20"/>
                <w:lang w:eastAsia="cs-CZ"/>
              </w:rPr>
              <w:t>-6,4 p.b.</w:t>
            </w:r>
          </w:p>
        </w:tc>
      </w:tr>
      <w:tr w:rsidR="00B64E96" w:rsidRPr="00730B1E" w14:paraId="542F07A3" w14:textId="77777777" w:rsidTr="009A68E8">
        <w:trPr>
          <w:trHeight w:val="315"/>
        </w:trPr>
        <w:tc>
          <w:tcPr>
            <w:tcW w:w="2780" w:type="dxa"/>
            <w:tcBorders>
              <w:top w:val="nil"/>
              <w:left w:val="nil"/>
              <w:bottom w:val="single" w:sz="4" w:space="0" w:color="auto"/>
              <w:right w:val="nil"/>
            </w:tcBorders>
            <w:shd w:val="clear" w:color="auto" w:fill="auto"/>
            <w:noWrap/>
            <w:vAlign w:val="bottom"/>
            <w:hideMark/>
          </w:tcPr>
          <w:p w14:paraId="504C195D" w14:textId="77777777" w:rsidR="009A68E8" w:rsidRPr="00730B1E" w:rsidRDefault="009A68E8" w:rsidP="009A68E8">
            <w:pPr>
              <w:spacing w:line="240" w:lineRule="auto"/>
              <w:jc w:val="left"/>
              <w:rPr>
                <w:rFonts w:eastAsia="Times New Roman"/>
                <w:szCs w:val="24"/>
                <w:lang w:eastAsia="cs-CZ"/>
              </w:rPr>
            </w:pPr>
            <w:r w:rsidRPr="00730B1E">
              <w:rPr>
                <w:rFonts w:eastAsia="Times New Roman"/>
                <w:szCs w:val="24"/>
                <w:lang w:eastAsia="cs-CZ"/>
              </w:rPr>
              <w:t>KS Brno</w:t>
            </w:r>
          </w:p>
        </w:tc>
        <w:tc>
          <w:tcPr>
            <w:tcW w:w="1717" w:type="dxa"/>
            <w:tcBorders>
              <w:top w:val="nil"/>
              <w:left w:val="nil"/>
              <w:bottom w:val="single" w:sz="4" w:space="0" w:color="auto"/>
              <w:right w:val="nil"/>
            </w:tcBorders>
            <w:shd w:val="clear" w:color="auto" w:fill="auto"/>
            <w:noWrap/>
            <w:vAlign w:val="bottom"/>
            <w:hideMark/>
          </w:tcPr>
          <w:p w14:paraId="1275DB1B" w14:textId="1CCD2E62" w:rsidR="009A68E8" w:rsidRPr="00730B1E" w:rsidRDefault="009A68E8" w:rsidP="009A68E8">
            <w:pPr>
              <w:spacing w:line="240" w:lineRule="auto"/>
              <w:jc w:val="center"/>
              <w:rPr>
                <w:rFonts w:eastAsia="Times New Roman"/>
                <w:szCs w:val="24"/>
                <w:lang w:eastAsia="cs-CZ"/>
              </w:rPr>
            </w:pPr>
            <w:r w:rsidRPr="00730B1E">
              <w:rPr>
                <w:rFonts w:eastAsia="Times New Roman"/>
                <w:szCs w:val="24"/>
                <w:lang w:eastAsia="cs-CZ"/>
              </w:rPr>
              <w:t>12</w:t>
            </w:r>
            <w:r w:rsidR="0015363E" w:rsidRPr="00730B1E">
              <w:rPr>
                <w:rFonts w:eastAsia="Times New Roman"/>
                <w:szCs w:val="24"/>
                <w:lang w:eastAsia="cs-CZ"/>
              </w:rPr>
              <w:t>,</w:t>
            </w:r>
            <w:r w:rsidRPr="00730B1E">
              <w:rPr>
                <w:rFonts w:eastAsia="Times New Roman"/>
                <w:szCs w:val="24"/>
                <w:lang w:eastAsia="cs-CZ"/>
              </w:rPr>
              <w:t>96 %</w:t>
            </w:r>
          </w:p>
        </w:tc>
        <w:tc>
          <w:tcPr>
            <w:tcW w:w="1803" w:type="dxa"/>
            <w:tcBorders>
              <w:top w:val="nil"/>
              <w:left w:val="nil"/>
              <w:bottom w:val="single" w:sz="4" w:space="0" w:color="auto"/>
              <w:right w:val="nil"/>
            </w:tcBorders>
            <w:shd w:val="clear" w:color="auto" w:fill="auto"/>
            <w:noWrap/>
            <w:vAlign w:val="center"/>
            <w:hideMark/>
          </w:tcPr>
          <w:p w14:paraId="4E6357E0" w14:textId="2505A671" w:rsidR="009A68E8" w:rsidRPr="00730B1E" w:rsidRDefault="009A68E8" w:rsidP="009A68E8">
            <w:pPr>
              <w:spacing w:line="240" w:lineRule="auto"/>
              <w:jc w:val="center"/>
              <w:rPr>
                <w:rFonts w:eastAsia="Times New Roman"/>
                <w:sz w:val="20"/>
                <w:szCs w:val="20"/>
                <w:lang w:eastAsia="cs-CZ"/>
              </w:rPr>
            </w:pPr>
            <w:r w:rsidRPr="00730B1E">
              <w:rPr>
                <w:rFonts w:eastAsia="Times New Roman"/>
                <w:sz w:val="20"/>
                <w:szCs w:val="20"/>
                <w:lang w:eastAsia="cs-CZ"/>
              </w:rPr>
              <w:t>-4,1 p.b.</w:t>
            </w:r>
          </w:p>
        </w:tc>
      </w:tr>
      <w:tr w:rsidR="00B64E96" w:rsidRPr="00730B1E" w14:paraId="4E887E9C" w14:textId="77777777" w:rsidTr="009A68E8">
        <w:trPr>
          <w:trHeight w:val="330"/>
        </w:trPr>
        <w:tc>
          <w:tcPr>
            <w:tcW w:w="2780" w:type="dxa"/>
            <w:tcBorders>
              <w:top w:val="nil"/>
              <w:left w:val="nil"/>
              <w:bottom w:val="double" w:sz="6" w:space="0" w:color="auto"/>
              <w:right w:val="nil"/>
            </w:tcBorders>
            <w:shd w:val="clear" w:color="auto" w:fill="auto"/>
            <w:noWrap/>
            <w:vAlign w:val="bottom"/>
            <w:hideMark/>
          </w:tcPr>
          <w:p w14:paraId="2B44DB32" w14:textId="77777777" w:rsidR="009A68E8" w:rsidRPr="00730B1E" w:rsidRDefault="009A68E8" w:rsidP="009A68E8">
            <w:pPr>
              <w:spacing w:line="240" w:lineRule="auto"/>
              <w:jc w:val="left"/>
              <w:rPr>
                <w:rFonts w:eastAsia="Times New Roman"/>
                <w:szCs w:val="24"/>
                <w:lang w:eastAsia="cs-CZ"/>
              </w:rPr>
            </w:pPr>
            <w:r w:rsidRPr="00730B1E">
              <w:rPr>
                <w:rFonts w:eastAsia="Times New Roman"/>
                <w:szCs w:val="24"/>
                <w:lang w:eastAsia="cs-CZ"/>
              </w:rPr>
              <w:t>KS Ostrava</w:t>
            </w:r>
          </w:p>
        </w:tc>
        <w:tc>
          <w:tcPr>
            <w:tcW w:w="1717" w:type="dxa"/>
            <w:tcBorders>
              <w:top w:val="nil"/>
              <w:left w:val="nil"/>
              <w:bottom w:val="double" w:sz="6" w:space="0" w:color="auto"/>
              <w:right w:val="nil"/>
            </w:tcBorders>
            <w:shd w:val="clear" w:color="auto" w:fill="auto"/>
            <w:noWrap/>
            <w:vAlign w:val="bottom"/>
            <w:hideMark/>
          </w:tcPr>
          <w:p w14:paraId="0B99E4FC" w14:textId="7380EF5C" w:rsidR="009A68E8" w:rsidRPr="00730B1E" w:rsidRDefault="009A68E8" w:rsidP="009A68E8">
            <w:pPr>
              <w:spacing w:line="240" w:lineRule="auto"/>
              <w:jc w:val="center"/>
              <w:rPr>
                <w:rFonts w:eastAsia="Times New Roman"/>
                <w:szCs w:val="24"/>
                <w:lang w:eastAsia="cs-CZ"/>
              </w:rPr>
            </w:pPr>
            <w:r w:rsidRPr="00730B1E">
              <w:rPr>
                <w:rFonts w:eastAsia="Times New Roman"/>
                <w:szCs w:val="24"/>
                <w:lang w:eastAsia="cs-CZ"/>
              </w:rPr>
              <w:t>15</w:t>
            </w:r>
            <w:r w:rsidR="0015363E" w:rsidRPr="00730B1E">
              <w:rPr>
                <w:rFonts w:eastAsia="Times New Roman"/>
                <w:szCs w:val="24"/>
                <w:lang w:eastAsia="cs-CZ"/>
              </w:rPr>
              <w:t>,</w:t>
            </w:r>
            <w:r w:rsidRPr="00730B1E">
              <w:rPr>
                <w:rFonts w:eastAsia="Times New Roman"/>
                <w:szCs w:val="24"/>
                <w:lang w:eastAsia="cs-CZ"/>
              </w:rPr>
              <w:t>06 %</w:t>
            </w:r>
          </w:p>
        </w:tc>
        <w:tc>
          <w:tcPr>
            <w:tcW w:w="1803" w:type="dxa"/>
            <w:tcBorders>
              <w:top w:val="nil"/>
              <w:left w:val="nil"/>
              <w:bottom w:val="nil"/>
              <w:right w:val="nil"/>
            </w:tcBorders>
            <w:shd w:val="clear" w:color="auto" w:fill="auto"/>
            <w:noWrap/>
            <w:vAlign w:val="center"/>
            <w:hideMark/>
          </w:tcPr>
          <w:p w14:paraId="29F24687" w14:textId="35FADE2C" w:rsidR="009A68E8" w:rsidRPr="00730B1E" w:rsidRDefault="009A68E8" w:rsidP="009A68E8">
            <w:pPr>
              <w:spacing w:line="240" w:lineRule="auto"/>
              <w:jc w:val="center"/>
              <w:rPr>
                <w:rFonts w:eastAsia="Times New Roman"/>
                <w:sz w:val="20"/>
                <w:szCs w:val="20"/>
                <w:lang w:eastAsia="cs-CZ"/>
              </w:rPr>
            </w:pPr>
            <w:r w:rsidRPr="00730B1E">
              <w:rPr>
                <w:rFonts w:eastAsia="Times New Roman"/>
                <w:sz w:val="20"/>
                <w:szCs w:val="20"/>
                <w:lang w:eastAsia="cs-CZ"/>
              </w:rPr>
              <w:t>+3,0 p.b.</w:t>
            </w:r>
          </w:p>
        </w:tc>
      </w:tr>
      <w:tr w:rsidR="00B64E96" w:rsidRPr="00730B1E" w14:paraId="2DE0232D" w14:textId="77777777" w:rsidTr="009A68E8">
        <w:trPr>
          <w:trHeight w:val="345"/>
        </w:trPr>
        <w:tc>
          <w:tcPr>
            <w:tcW w:w="2780" w:type="dxa"/>
            <w:tcBorders>
              <w:top w:val="nil"/>
              <w:left w:val="nil"/>
              <w:bottom w:val="double" w:sz="6" w:space="0" w:color="auto"/>
              <w:right w:val="nil"/>
            </w:tcBorders>
            <w:shd w:val="clear" w:color="auto" w:fill="auto"/>
            <w:noWrap/>
            <w:vAlign w:val="bottom"/>
            <w:hideMark/>
          </w:tcPr>
          <w:p w14:paraId="656E1125" w14:textId="77777777" w:rsidR="009A68E8" w:rsidRPr="00730B1E" w:rsidRDefault="009A68E8" w:rsidP="009A68E8">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17" w:type="dxa"/>
            <w:tcBorders>
              <w:top w:val="nil"/>
              <w:left w:val="nil"/>
              <w:bottom w:val="double" w:sz="6" w:space="0" w:color="auto"/>
              <w:right w:val="nil"/>
            </w:tcBorders>
            <w:shd w:val="clear" w:color="auto" w:fill="auto"/>
            <w:noWrap/>
            <w:vAlign w:val="bottom"/>
            <w:hideMark/>
          </w:tcPr>
          <w:p w14:paraId="4A94968D" w14:textId="1D6A8EA3" w:rsidR="009A68E8" w:rsidRPr="00730B1E" w:rsidRDefault="009A68E8" w:rsidP="009A68E8">
            <w:pPr>
              <w:spacing w:line="240" w:lineRule="auto"/>
              <w:jc w:val="center"/>
              <w:rPr>
                <w:rFonts w:eastAsia="Times New Roman"/>
                <w:b/>
                <w:bCs/>
                <w:szCs w:val="24"/>
                <w:lang w:eastAsia="cs-CZ"/>
              </w:rPr>
            </w:pPr>
            <w:r w:rsidRPr="00730B1E">
              <w:rPr>
                <w:rFonts w:eastAsia="Times New Roman"/>
                <w:b/>
                <w:bCs/>
                <w:szCs w:val="24"/>
                <w:lang w:eastAsia="cs-CZ"/>
              </w:rPr>
              <w:t>17</w:t>
            </w:r>
            <w:r w:rsidR="0015363E" w:rsidRPr="00730B1E">
              <w:rPr>
                <w:rFonts w:eastAsia="Times New Roman"/>
                <w:b/>
                <w:bCs/>
                <w:szCs w:val="24"/>
                <w:lang w:eastAsia="cs-CZ"/>
              </w:rPr>
              <w:t>,</w:t>
            </w:r>
            <w:r w:rsidRPr="00730B1E">
              <w:rPr>
                <w:rFonts w:eastAsia="Times New Roman"/>
                <w:b/>
                <w:bCs/>
                <w:szCs w:val="24"/>
                <w:lang w:eastAsia="cs-CZ"/>
              </w:rPr>
              <w:t>85 %</w:t>
            </w:r>
          </w:p>
        </w:tc>
        <w:tc>
          <w:tcPr>
            <w:tcW w:w="1803" w:type="dxa"/>
            <w:tcBorders>
              <w:top w:val="double" w:sz="6" w:space="0" w:color="auto"/>
              <w:left w:val="nil"/>
              <w:bottom w:val="double" w:sz="6" w:space="0" w:color="auto"/>
              <w:right w:val="nil"/>
            </w:tcBorders>
            <w:shd w:val="clear" w:color="auto" w:fill="auto"/>
            <w:noWrap/>
            <w:vAlign w:val="center"/>
            <w:hideMark/>
          </w:tcPr>
          <w:p w14:paraId="41607E75" w14:textId="0C797B7E" w:rsidR="009A68E8" w:rsidRPr="00730B1E" w:rsidRDefault="009A68E8" w:rsidP="009A68E8">
            <w:pPr>
              <w:spacing w:line="240" w:lineRule="auto"/>
              <w:jc w:val="center"/>
              <w:rPr>
                <w:rFonts w:eastAsia="Times New Roman"/>
                <w:b/>
                <w:bCs/>
                <w:sz w:val="20"/>
                <w:szCs w:val="20"/>
                <w:lang w:eastAsia="cs-CZ"/>
              </w:rPr>
            </w:pPr>
            <w:r w:rsidRPr="00730B1E">
              <w:rPr>
                <w:rFonts w:eastAsia="Times New Roman"/>
                <w:b/>
                <w:bCs/>
                <w:sz w:val="20"/>
                <w:szCs w:val="20"/>
                <w:lang w:eastAsia="cs-CZ"/>
              </w:rPr>
              <w:t>-6,2 p.b.</w:t>
            </w:r>
          </w:p>
        </w:tc>
      </w:tr>
      <w:tr w:rsidR="00B64E96" w:rsidRPr="00730B1E" w14:paraId="72369A27" w14:textId="77777777" w:rsidTr="009A68E8">
        <w:trPr>
          <w:trHeight w:val="330"/>
        </w:trPr>
        <w:tc>
          <w:tcPr>
            <w:tcW w:w="2780" w:type="dxa"/>
            <w:tcBorders>
              <w:top w:val="nil"/>
              <w:left w:val="nil"/>
              <w:bottom w:val="nil"/>
              <w:right w:val="nil"/>
            </w:tcBorders>
            <w:shd w:val="clear" w:color="auto" w:fill="auto"/>
            <w:noWrap/>
            <w:vAlign w:val="bottom"/>
            <w:hideMark/>
          </w:tcPr>
          <w:p w14:paraId="0AB23291" w14:textId="77777777" w:rsidR="009A68E8" w:rsidRPr="00730B1E" w:rsidRDefault="009A68E8" w:rsidP="009A68E8">
            <w:pPr>
              <w:spacing w:line="240" w:lineRule="auto"/>
              <w:jc w:val="right"/>
              <w:rPr>
                <w:rFonts w:eastAsia="Times New Roman"/>
                <w:b/>
                <w:bCs/>
                <w:sz w:val="20"/>
                <w:szCs w:val="20"/>
                <w:lang w:eastAsia="cs-CZ"/>
              </w:rPr>
            </w:pPr>
          </w:p>
        </w:tc>
        <w:tc>
          <w:tcPr>
            <w:tcW w:w="1717" w:type="dxa"/>
            <w:tcBorders>
              <w:top w:val="nil"/>
              <w:left w:val="nil"/>
              <w:bottom w:val="nil"/>
              <w:right w:val="nil"/>
            </w:tcBorders>
            <w:shd w:val="clear" w:color="auto" w:fill="auto"/>
            <w:noWrap/>
            <w:vAlign w:val="bottom"/>
            <w:hideMark/>
          </w:tcPr>
          <w:p w14:paraId="714AA782" w14:textId="77777777" w:rsidR="009A68E8" w:rsidRPr="00DF07F3" w:rsidRDefault="009A68E8" w:rsidP="009A68E8">
            <w:pPr>
              <w:spacing w:line="240" w:lineRule="auto"/>
              <w:jc w:val="left"/>
              <w:rPr>
                <w:sz w:val="20"/>
              </w:rPr>
            </w:pPr>
          </w:p>
        </w:tc>
        <w:tc>
          <w:tcPr>
            <w:tcW w:w="1803" w:type="dxa"/>
            <w:tcBorders>
              <w:top w:val="nil"/>
              <w:left w:val="nil"/>
              <w:bottom w:val="nil"/>
              <w:right w:val="nil"/>
            </w:tcBorders>
            <w:shd w:val="clear" w:color="auto" w:fill="auto"/>
            <w:noWrap/>
            <w:vAlign w:val="bottom"/>
            <w:hideMark/>
          </w:tcPr>
          <w:p w14:paraId="58092754" w14:textId="77777777" w:rsidR="009A68E8" w:rsidRPr="00DF07F3" w:rsidRDefault="009A68E8" w:rsidP="009A68E8">
            <w:pPr>
              <w:spacing w:line="240" w:lineRule="auto"/>
              <w:jc w:val="left"/>
              <w:rPr>
                <w:sz w:val="20"/>
              </w:rPr>
            </w:pPr>
          </w:p>
        </w:tc>
      </w:tr>
    </w:tbl>
    <w:p w14:paraId="305390EE" w14:textId="06E121BC" w:rsidR="0015363E" w:rsidRPr="00730B1E" w:rsidRDefault="0015363E" w:rsidP="0015363E">
      <w:pPr>
        <w:pStyle w:val="OdstavecASR"/>
      </w:pPr>
      <w:r w:rsidRPr="00730B1E">
        <w:t xml:space="preserve">V tabulce výše vidíme značné rozdíly mezi jednotlivými soudy. Zároveň se míra odvolání skokově snížila u MS v Praze, a naopak se skokově zvýšila u KS v Českých Budějovicích. I u některých dalších soudů došlo k nemalým změnám. Na úrovni jednotlivých soudů tak není míra odvolání </w:t>
      </w:r>
      <w:r w:rsidRPr="00730B1E">
        <w:lastRenderedPageBreak/>
        <w:t>stabilní. Tento rok změny na úrovni jednotlivých soudů vyústily v pokles o 6 procentních bodů na celorepublikové úrovni.</w:t>
      </w:r>
    </w:p>
    <w:p w14:paraId="4FB2C717" w14:textId="5E314668" w:rsidR="0015363E" w:rsidRPr="00730B1E" w:rsidRDefault="0015363E" w:rsidP="0015363E">
      <w:pPr>
        <w:pStyle w:val="OdstavecASR"/>
      </w:pPr>
      <w:r w:rsidRPr="00730B1E">
        <w:t>Při srovnání s tabulkou 14 vidíme, že u krajských soudů byl</w:t>
      </w:r>
      <w:r w:rsidR="003567E9" w:rsidRPr="00730B1E">
        <w:t>a</w:t>
      </w:r>
      <w:r w:rsidRPr="00730B1E">
        <w:t xml:space="preserve"> míra odvolání téměř třikrát vyšší než u soudů okresních. To souvisí s náročností a závažností vyřizované agendy.</w:t>
      </w:r>
    </w:p>
    <w:p w14:paraId="100A6556" w14:textId="77777777" w:rsidR="003535B6" w:rsidRPr="00730B1E" w:rsidRDefault="003535B6" w:rsidP="003535B6">
      <w:pPr>
        <w:pStyle w:val="Podnadpis"/>
        <w:outlineLvl w:val="3"/>
        <w:rPr>
          <w:color w:val="auto"/>
          <w:spacing w:val="0"/>
        </w:rPr>
      </w:pPr>
      <w:bookmarkStart w:id="818" w:name="_Toc515871472"/>
      <w:bookmarkStart w:id="819" w:name="_Toc11133239"/>
      <w:bookmarkStart w:id="820" w:name="_Toc43931218"/>
      <w:r w:rsidRPr="00730B1E">
        <w:rPr>
          <w:color w:val="auto"/>
          <w:spacing w:val="0"/>
        </w:rPr>
        <w:t>Míra změny rozsudku</w:t>
      </w:r>
    </w:p>
    <w:p w14:paraId="5E5ED1DD" w14:textId="5652F220" w:rsidR="0015363E" w:rsidRPr="00730B1E" w:rsidRDefault="0015363E" w:rsidP="0015363E">
      <w:pPr>
        <w:pStyle w:val="Podnadpis"/>
        <w:rPr>
          <w:color w:val="auto"/>
        </w:rPr>
      </w:pPr>
      <w:bookmarkStart w:id="821" w:name="_Toc75952351"/>
      <w:bookmarkStart w:id="822" w:name="_Toc106106808"/>
      <w:bookmarkStart w:id="823" w:name="_Toc109802131"/>
      <w:bookmarkStart w:id="824" w:name="_Toc144104289"/>
      <w:bookmarkStart w:id="825" w:name="_Toc169251101"/>
      <w:bookmarkStart w:id="826" w:name="_Toc174080787"/>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44</w:t>
      </w:r>
      <w:r w:rsidRPr="00730B1E">
        <w:rPr>
          <w:color w:val="auto"/>
        </w:rPr>
        <w:fldChar w:fldCharType="end"/>
      </w:r>
      <w:r w:rsidRPr="00730B1E">
        <w:rPr>
          <w:color w:val="auto"/>
        </w:rPr>
        <w:t>: KS – míra změny rozsudku dle soudů v civilním řízení</w:t>
      </w:r>
      <w:bookmarkEnd w:id="821"/>
      <w:bookmarkEnd w:id="822"/>
      <w:bookmarkEnd w:id="823"/>
      <w:bookmarkEnd w:id="824"/>
      <w:r w:rsidR="00F77E72" w:rsidRPr="00730B1E">
        <w:rPr>
          <w:color w:val="auto"/>
        </w:rPr>
        <w:t>, 2023</w:t>
      </w:r>
      <w:bookmarkEnd w:id="825"/>
      <w:bookmarkEnd w:id="826"/>
    </w:p>
    <w:tbl>
      <w:tblPr>
        <w:tblW w:w="6980" w:type="dxa"/>
        <w:tblCellMar>
          <w:left w:w="70" w:type="dxa"/>
          <w:right w:w="70" w:type="dxa"/>
        </w:tblCellMar>
        <w:tblLook w:val="04A0" w:firstRow="1" w:lastRow="0" w:firstColumn="1" w:lastColumn="0" w:noHBand="0" w:noVBand="1"/>
      </w:tblPr>
      <w:tblGrid>
        <w:gridCol w:w="2780"/>
        <w:gridCol w:w="2158"/>
        <w:gridCol w:w="2042"/>
      </w:tblGrid>
      <w:tr w:rsidR="00B64E96" w:rsidRPr="00730B1E" w14:paraId="0CCC33D3" w14:textId="77777777" w:rsidTr="002B0AD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1CEE75D" w14:textId="77777777" w:rsidR="002B0AD8" w:rsidRPr="00730B1E" w:rsidRDefault="002B0AD8" w:rsidP="002B0AD8">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198E8D37" w14:textId="77777777" w:rsidR="002B0AD8" w:rsidRPr="00730B1E" w:rsidRDefault="002B0AD8" w:rsidP="002B0AD8">
            <w:pPr>
              <w:spacing w:line="240" w:lineRule="auto"/>
              <w:jc w:val="center"/>
              <w:rPr>
                <w:rFonts w:eastAsia="Times New Roman"/>
                <w:b/>
                <w:bCs/>
                <w:szCs w:val="24"/>
                <w:lang w:eastAsia="cs-CZ"/>
              </w:rPr>
            </w:pPr>
            <w:r w:rsidRPr="00730B1E">
              <w:rPr>
                <w:rFonts w:eastAsia="Times New Roman"/>
                <w:b/>
                <w:bCs/>
                <w:szCs w:val="24"/>
                <w:lang w:eastAsia="cs-CZ"/>
              </w:rPr>
              <w:t>Míra změny rozsudku</w:t>
            </w:r>
          </w:p>
        </w:tc>
      </w:tr>
      <w:tr w:rsidR="00B64E96" w:rsidRPr="00730B1E" w14:paraId="75C1346A" w14:textId="77777777" w:rsidTr="002B0AD8">
        <w:trPr>
          <w:trHeight w:val="330"/>
        </w:trPr>
        <w:tc>
          <w:tcPr>
            <w:tcW w:w="2780" w:type="dxa"/>
            <w:tcBorders>
              <w:top w:val="nil"/>
              <w:left w:val="nil"/>
              <w:bottom w:val="single" w:sz="4" w:space="0" w:color="auto"/>
              <w:right w:val="nil"/>
            </w:tcBorders>
            <w:shd w:val="clear" w:color="auto" w:fill="auto"/>
            <w:noWrap/>
            <w:vAlign w:val="bottom"/>
            <w:hideMark/>
          </w:tcPr>
          <w:p w14:paraId="10ECEC03" w14:textId="77777777" w:rsidR="002B0AD8" w:rsidRPr="00730B1E" w:rsidRDefault="002B0AD8" w:rsidP="002B0AD8">
            <w:pPr>
              <w:spacing w:line="240" w:lineRule="auto"/>
              <w:jc w:val="left"/>
              <w:rPr>
                <w:rFonts w:eastAsia="Times New Roman"/>
                <w:szCs w:val="24"/>
                <w:lang w:eastAsia="cs-CZ"/>
              </w:rPr>
            </w:pPr>
            <w:r w:rsidRPr="00730B1E">
              <w:rPr>
                <w:rFonts w:eastAsia="Times New Roman"/>
                <w:szCs w:val="24"/>
                <w:lang w:eastAsia="cs-CZ"/>
              </w:rPr>
              <w:t>MS Praha</w:t>
            </w:r>
          </w:p>
        </w:tc>
        <w:tc>
          <w:tcPr>
            <w:tcW w:w="2158" w:type="dxa"/>
            <w:tcBorders>
              <w:top w:val="nil"/>
              <w:left w:val="nil"/>
              <w:bottom w:val="single" w:sz="4" w:space="0" w:color="auto"/>
              <w:right w:val="nil"/>
            </w:tcBorders>
            <w:shd w:val="clear" w:color="auto" w:fill="auto"/>
            <w:noWrap/>
            <w:vAlign w:val="bottom"/>
            <w:hideMark/>
          </w:tcPr>
          <w:p w14:paraId="6C26F811" w14:textId="7805CB51" w:rsidR="002B0AD8" w:rsidRPr="00730B1E" w:rsidRDefault="002B0AD8" w:rsidP="002B0AD8">
            <w:pPr>
              <w:spacing w:line="240" w:lineRule="auto"/>
              <w:jc w:val="center"/>
              <w:rPr>
                <w:rFonts w:eastAsia="Times New Roman"/>
                <w:szCs w:val="24"/>
                <w:lang w:eastAsia="cs-CZ"/>
              </w:rPr>
            </w:pPr>
            <w:r w:rsidRPr="00730B1E">
              <w:rPr>
                <w:rFonts w:eastAsia="Times New Roman"/>
                <w:szCs w:val="24"/>
                <w:lang w:eastAsia="cs-CZ"/>
              </w:rPr>
              <w:t>44,24 %</w:t>
            </w:r>
          </w:p>
        </w:tc>
        <w:tc>
          <w:tcPr>
            <w:tcW w:w="2042" w:type="dxa"/>
            <w:tcBorders>
              <w:top w:val="nil"/>
              <w:left w:val="nil"/>
              <w:bottom w:val="single" w:sz="4" w:space="0" w:color="auto"/>
              <w:right w:val="nil"/>
            </w:tcBorders>
            <w:shd w:val="clear" w:color="auto" w:fill="auto"/>
            <w:noWrap/>
            <w:vAlign w:val="center"/>
            <w:hideMark/>
          </w:tcPr>
          <w:p w14:paraId="2E07A13C" w14:textId="52A2DBBD" w:rsidR="002B0AD8" w:rsidRPr="00730B1E" w:rsidRDefault="002B0AD8" w:rsidP="002B0AD8">
            <w:pPr>
              <w:spacing w:line="240" w:lineRule="auto"/>
              <w:jc w:val="center"/>
              <w:rPr>
                <w:rFonts w:eastAsia="Times New Roman"/>
                <w:sz w:val="20"/>
                <w:szCs w:val="20"/>
                <w:lang w:eastAsia="cs-CZ"/>
              </w:rPr>
            </w:pPr>
            <w:r w:rsidRPr="00730B1E">
              <w:rPr>
                <w:rFonts w:eastAsia="Times New Roman"/>
                <w:sz w:val="20"/>
                <w:szCs w:val="20"/>
                <w:lang w:eastAsia="cs-CZ"/>
              </w:rPr>
              <w:t>-3,9 p.b.</w:t>
            </w:r>
          </w:p>
        </w:tc>
      </w:tr>
      <w:tr w:rsidR="00B64E96" w:rsidRPr="00730B1E" w14:paraId="17EE3C1B" w14:textId="77777777" w:rsidTr="002B0AD8">
        <w:trPr>
          <w:trHeight w:val="315"/>
        </w:trPr>
        <w:tc>
          <w:tcPr>
            <w:tcW w:w="2780" w:type="dxa"/>
            <w:tcBorders>
              <w:top w:val="nil"/>
              <w:left w:val="nil"/>
              <w:bottom w:val="single" w:sz="4" w:space="0" w:color="auto"/>
              <w:right w:val="nil"/>
            </w:tcBorders>
            <w:shd w:val="clear" w:color="auto" w:fill="auto"/>
            <w:noWrap/>
            <w:vAlign w:val="bottom"/>
            <w:hideMark/>
          </w:tcPr>
          <w:p w14:paraId="1004BA80" w14:textId="77777777" w:rsidR="002B0AD8" w:rsidRPr="00730B1E" w:rsidRDefault="002B0AD8" w:rsidP="002B0AD8">
            <w:pPr>
              <w:spacing w:line="240" w:lineRule="auto"/>
              <w:jc w:val="left"/>
              <w:rPr>
                <w:rFonts w:eastAsia="Times New Roman"/>
                <w:szCs w:val="24"/>
                <w:lang w:eastAsia="cs-CZ"/>
              </w:rPr>
            </w:pPr>
            <w:r w:rsidRPr="00730B1E">
              <w:rPr>
                <w:rFonts w:eastAsia="Times New Roman"/>
                <w:szCs w:val="24"/>
                <w:lang w:eastAsia="cs-CZ"/>
              </w:rPr>
              <w:t>KS Praha</w:t>
            </w:r>
          </w:p>
        </w:tc>
        <w:tc>
          <w:tcPr>
            <w:tcW w:w="2158" w:type="dxa"/>
            <w:tcBorders>
              <w:top w:val="nil"/>
              <w:left w:val="nil"/>
              <w:bottom w:val="single" w:sz="4" w:space="0" w:color="auto"/>
              <w:right w:val="nil"/>
            </w:tcBorders>
            <w:shd w:val="clear" w:color="auto" w:fill="auto"/>
            <w:noWrap/>
            <w:vAlign w:val="bottom"/>
            <w:hideMark/>
          </w:tcPr>
          <w:p w14:paraId="20737ADF" w14:textId="2773C5C5" w:rsidR="002B0AD8" w:rsidRPr="00730B1E" w:rsidRDefault="002B0AD8" w:rsidP="002B0AD8">
            <w:pPr>
              <w:spacing w:line="240" w:lineRule="auto"/>
              <w:jc w:val="center"/>
              <w:rPr>
                <w:rFonts w:eastAsia="Times New Roman"/>
                <w:szCs w:val="24"/>
                <w:lang w:eastAsia="cs-CZ"/>
              </w:rPr>
            </w:pPr>
            <w:r w:rsidRPr="00730B1E">
              <w:rPr>
                <w:rFonts w:eastAsia="Times New Roman"/>
                <w:szCs w:val="24"/>
                <w:lang w:eastAsia="cs-CZ"/>
              </w:rPr>
              <w:t>40,00 %</w:t>
            </w:r>
          </w:p>
        </w:tc>
        <w:tc>
          <w:tcPr>
            <w:tcW w:w="2042" w:type="dxa"/>
            <w:tcBorders>
              <w:top w:val="nil"/>
              <w:left w:val="nil"/>
              <w:bottom w:val="single" w:sz="4" w:space="0" w:color="auto"/>
              <w:right w:val="nil"/>
            </w:tcBorders>
            <w:shd w:val="clear" w:color="auto" w:fill="auto"/>
            <w:noWrap/>
            <w:vAlign w:val="center"/>
            <w:hideMark/>
          </w:tcPr>
          <w:p w14:paraId="093D8399" w14:textId="1B90E7FD" w:rsidR="002B0AD8" w:rsidRPr="00730B1E" w:rsidRDefault="002B0AD8" w:rsidP="002B0AD8">
            <w:pPr>
              <w:spacing w:line="240" w:lineRule="auto"/>
              <w:jc w:val="center"/>
              <w:rPr>
                <w:rFonts w:eastAsia="Times New Roman"/>
                <w:sz w:val="20"/>
                <w:szCs w:val="20"/>
                <w:lang w:eastAsia="cs-CZ"/>
              </w:rPr>
            </w:pPr>
            <w:r w:rsidRPr="00730B1E">
              <w:rPr>
                <w:rFonts w:eastAsia="Times New Roman"/>
                <w:sz w:val="20"/>
                <w:szCs w:val="20"/>
                <w:lang w:eastAsia="cs-CZ"/>
              </w:rPr>
              <w:t>-17,0 p.b.</w:t>
            </w:r>
          </w:p>
        </w:tc>
      </w:tr>
      <w:tr w:rsidR="00B64E96" w:rsidRPr="00730B1E" w14:paraId="59AB89DE" w14:textId="77777777" w:rsidTr="002B0AD8">
        <w:trPr>
          <w:trHeight w:val="315"/>
        </w:trPr>
        <w:tc>
          <w:tcPr>
            <w:tcW w:w="2780" w:type="dxa"/>
            <w:tcBorders>
              <w:top w:val="nil"/>
              <w:left w:val="nil"/>
              <w:bottom w:val="single" w:sz="4" w:space="0" w:color="auto"/>
              <w:right w:val="nil"/>
            </w:tcBorders>
            <w:shd w:val="clear" w:color="auto" w:fill="auto"/>
            <w:noWrap/>
            <w:vAlign w:val="bottom"/>
            <w:hideMark/>
          </w:tcPr>
          <w:p w14:paraId="2984A224" w14:textId="77777777" w:rsidR="002B0AD8" w:rsidRPr="00730B1E" w:rsidRDefault="002B0AD8" w:rsidP="002B0AD8">
            <w:pPr>
              <w:spacing w:line="240" w:lineRule="auto"/>
              <w:jc w:val="left"/>
              <w:rPr>
                <w:rFonts w:eastAsia="Times New Roman"/>
                <w:szCs w:val="24"/>
                <w:lang w:eastAsia="cs-CZ"/>
              </w:rPr>
            </w:pPr>
            <w:r w:rsidRPr="00730B1E">
              <w:rPr>
                <w:rFonts w:eastAsia="Times New Roman"/>
                <w:szCs w:val="24"/>
                <w:lang w:eastAsia="cs-CZ"/>
              </w:rPr>
              <w:t>KS Č. Budějovice</w:t>
            </w:r>
          </w:p>
        </w:tc>
        <w:tc>
          <w:tcPr>
            <w:tcW w:w="2158" w:type="dxa"/>
            <w:tcBorders>
              <w:top w:val="nil"/>
              <w:left w:val="nil"/>
              <w:bottom w:val="single" w:sz="4" w:space="0" w:color="auto"/>
              <w:right w:val="nil"/>
            </w:tcBorders>
            <w:shd w:val="clear" w:color="auto" w:fill="auto"/>
            <w:noWrap/>
            <w:vAlign w:val="bottom"/>
            <w:hideMark/>
          </w:tcPr>
          <w:p w14:paraId="604CF9BF" w14:textId="2FC984C6" w:rsidR="002B0AD8" w:rsidRPr="00730B1E" w:rsidRDefault="002B0AD8" w:rsidP="002B0AD8">
            <w:pPr>
              <w:spacing w:line="240" w:lineRule="auto"/>
              <w:jc w:val="center"/>
              <w:rPr>
                <w:rFonts w:eastAsia="Times New Roman"/>
                <w:szCs w:val="24"/>
                <w:lang w:eastAsia="cs-CZ"/>
              </w:rPr>
            </w:pPr>
            <w:r w:rsidRPr="00730B1E">
              <w:rPr>
                <w:rFonts w:eastAsia="Times New Roman"/>
                <w:szCs w:val="24"/>
                <w:lang w:eastAsia="cs-CZ"/>
              </w:rPr>
              <w:t>41,51 %</w:t>
            </w:r>
          </w:p>
        </w:tc>
        <w:tc>
          <w:tcPr>
            <w:tcW w:w="2042" w:type="dxa"/>
            <w:tcBorders>
              <w:top w:val="nil"/>
              <w:left w:val="nil"/>
              <w:bottom w:val="single" w:sz="4" w:space="0" w:color="auto"/>
              <w:right w:val="nil"/>
            </w:tcBorders>
            <w:shd w:val="clear" w:color="auto" w:fill="auto"/>
            <w:noWrap/>
            <w:vAlign w:val="center"/>
            <w:hideMark/>
          </w:tcPr>
          <w:p w14:paraId="0415F6D9" w14:textId="7AA3D289" w:rsidR="002B0AD8" w:rsidRPr="00730B1E" w:rsidRDefault="002B0AD8" w:rsidP="002B0AD8">
            <w:pPr>
              <w:spacing w:line="240" w:lineRule="auto"/>
              <w:jc w:val="center"/>
              <w:rPr>
                <w:rFonts w:eastAsia="Times New Roman"/>
                <w:sz w:val="20"/>
                <w:szCs w:val="20"/>
                <w:lang w:eastAsia="cs-CZ"/>
              </w:rPr>
            </w:pPr>
            <w:r w:rsidRPr="00730B1E">
              <w:rPr>
                <w:rFonts w:eastAsia="Times New Roman"/>
                <w:sz w:val="20"/>
                <w:szCs w:val="20"/>
                <w:lang w:eastAsia="cs-CZ"/>
              </w:rPr>
              <w:t>-13,8 p.b.</w:t>
            </w:r>
          </w:p>
        </w:tc>
      </w:tr>
      <w:tr w:rsidR="00B64E96" w:rsidRPr="00730B1E" w14:paraId="6BF826F0" w14:textId="77777777" w:rsidTr="002B0AD8">
        <w:trPr>
          <w:trHeight w:val="315"/>
        </w:trPr>
        <w:tc>
          <w:tcPr>
            <w:tcW w:w="2780" w:type="dxa"/>
            <w:tcBorders>
              <w:top w:val="nil"/>
              <w:left w:val="nil"/>
              <w:bottom w:val="single" w:sz="4" w:space="0" w:color="auto"/>
              <w:right w:val="nil"/>
            </w:tcBorders>
            <w:shd w:val="clear" w:color="auto" w:fill="auto"/>
            <w:noWrap/>
            <w:vAlign w:val="bottom"/>
            <w:hideMark/>
          </w:tcPr>
          <w:p w14:paraId="24D4FBD7" w14:textId="77777777" w:rsidR="002B0AD8" w:rsidRPr="00730B1E" w:rsidRDefault="002B0AD8" w:rsidP="002B0AD8">
            <w:pPr>
              <w:spacing w:line="240" w:lineRule="auto"/>
              <w:jc w:val="left"/>
              <w:rPr>
                <w:rFonts w:eastAsia="Times New Roman"/>
                <w:szCs w:val="24"/>
                <w:lang w:eastAsia="cs-CZ"/>
              </w:rPr>
            </w:pPr>
            <w:r w:rsidRPr="00730B1E">
              <w:rPr>
                <w:rFonts w:eastAsia="Times New Roman"/>
                <w:szCs w:val="24"/>
                <w:lang w:eastAsia="cs-CZ"/>
              </w:rPr>
              <w:t>KS Plzeň</w:t>
            </w:r>
          </w:p>
        </w:tc>
        <w:tc>
          <w:tcPr>
            <w:tcW w:w="2158" w:type="dxa"/>
            <w:tcBorders>
              <w:top w:val="nil"/>
              <w:left w:val="nil"/>
              <w:bottom w:val="single" w:sz="4" w:space="0" w:color="auto"/>
              <w:right w:val="nil"/>
            </w:tcBorders>
            <w:shd w:val="clear" w:color="auto" w:fill="auto"/>
            <w:noWrap/>
            <w:vAlign w:val="bottom"/>
            <w:hideMark/>
          </w:tcPr>
          <w:p w14:paraId="19CE3A0E" w14:textId="1154E8C0" w:rsidR="002B0AD8" w:rsidRPr="00730B1E" w:rsidRDefault="002B0AD8" w:rsidP="002B0AD8">
            <w:pPr>
              <w:spacing w:line="240" w:lineRule="auto"/>
              <w:jc w:val="center"/>
              <w:rPr>
                <w:rFonts w:eastAsia="Times New Roman"/>
                <w:szCs w:val="24"/>
                <w:lang w:eastAsia="cs-CZ"/>
              </w:rPr>
            </w:pPr>
            <w:r w:rsidRPr="00730B1E">
              <w:rPr>
                <w:rFonts w:eastAsia="Times New Roman"/>
                <w:szCs w:val="24"/>
                <w:lang w:eastAsia="cs-CZ"/>
              </w:rPr>
              <w:t>47,06 %</w:t>
            </w:r>
          </w:p>
        </w:tc>
        <w:tc>
          <w:tcPr>
            <w:tcW w:w="2042" w:type="dxa"/>
            <w:tcBorders>
              <w:top w:val="nil"/>
              <w:left w:val="nil"/>
              <w:bottom w:val="single" w:sz="4" w:space="0" w:color="auto"/>
              <w:right w:val="nil"/>
            </w:tcBorders>
            <w:shd w:val="clear" w:color="auto" w:fill="auto"/>
            <w:noWrap/>
            <w:vAlign w:val="center"/>
            <w:hideMark/>
          </w:tcPr>
          <w:p w14:paraId="1795E17D" w14:textId="5A08BB4E" w:rsidR="002B0AD8" w:rsidRPr="00730B1E" w:rsidRDefault="002B0AD8" w:rsidP="002B0AD8">
            <w:pPr>
              <w:spacing w:line="240" w:lineRule="auto"/>
              <w:jc w:val="center"/>
              <w:rPr>
                <w:rFonts w:eastAsia="Times New Roman"/>
                <w:sz w:val="20"/>
                <w:szCs w:val="20"/>
                <w:lang w:eastAsia="cs-CZ"/>
              </w:rPr>
            </w:pPr>
            <w:r w:rsidRPr="00730B1E">
              <w:rPr>
                <w:rFonts w:eastAsia="Times New Roman"/>
                <w:sz w:val="20"/>
                <w:szCs w:val="20"/>
                <w:lang w:eastAsia="cs-CZ"/>
              </w:rPr>
              <w:t>-1,9 p.b.</w:t>
            </w:r>
          </w:p>
        </w:tc>
      </w:tr>
      <w:tr w:rsidR="00B64E96" w:rsidRPr="00730B1E" w14:paraId="2000F1AC" w14:textId="77777777" w:rsidTr="002B0AD8">
        <w:trPr>
          <w:trHeight w:val="315"/>
        </w:trPr>
        <w:tc>
          <w:tcPr>
            <w:tcW w:w="2780" w:type="dxa"/>
            <w:tcBorders>
              <w:top w:val="nil"/>
              <w:left w:val="nil"/>
              <w:bottom w:val="single" w:sz="4" w:space="0" w:color="auto"/>
              <w:right w:val="nil"/>
            </w:tcBorders>
            <w:shd w:val="clear" w:color="auto" w:fill="auto"/>
            <w:noWrap/>
            <w:vAlign w:val="bottom"/>
            <w:hideMark/>
          </w:tcPr>
          <w:p w14:paraId="29FABDAD" w14:textId="77777777" w:rsidR="002B0AD8" w:rsidRPr="00730B1E" w:rsidRDefault="002B0AD8" w:rsidP="002B0AD8">
            <w:pPr>
              <w:spacing w:line="240" w:lineRule="auto"/>
              <w:jc w:val="left"/>
              <w:rPr>
                <w:rFonts w:eastAsia="Times New Roman"/>
                <w:szCs w:val="24"/>
                <w:lang w:eastAsia="cs-CZ"/>
              </w:rPr>
            </w:pPr>
            <w:r w:rsidRPr="00730B1E">
              <w:rPr>
                <w:rFonts w:eastAsia="Times New Roman"/>
                <w:szCs w:val="24"/>
                <w:lang w:eastAsia="cs-CZ"/>
              </w:rPr>
              <w:t>KS Ústí n. Labem</w:t>
            </w:r>
          </w:p>
        </w:tc>
        <w:tc>
          <w:tcPr>
            <w:tcW w:w="2158" w:type="dxa"/>
            <w:tcBorders>
              <w:top w:val="nil"/>
              <w:left w:val="nil"/>
              <w:bottom w:val="single" w:sz="4" w:space="0" w:color="auto"/>
              <w:right w:val="nil"/>
            </w:tcBorders>
            <w:shd w:val="clear" w:color="auto" w:fill="auto"/>
            <w:noWrap/>
            <w:vAlign w:val="bottom"/>
            <w:hideMark/>
          </w:tcPr>
          <w:p w14:paraId="134B4C53" w14:textId="048FF9ED" w:rsidR="002B0AD8" w:rsidRPr="00730B1E" w:rsidRDefault="002B0AD8" w:rsidP="002B0AD8">
            <w:pPr>
              <w:spacing w:line="240" w:lineRule="auto"/>
              <w:jc w:val="center"/>
              <w:rPr>
                <w:rFonts w:eastAsia="Times New Roman"/>
                <w:szCs w:val="24"/>
                <w:lang w:eastAsia="cs-CZ"/>
              </w:rPr>
            </w:pPr>
            <w:r w:rsidRPr="00730B1E">
              <w:rPr>
                <w:rFonts w:eastAsia="Times New Roman"/>
                <w:szCs w:val="24"/>
                <w:lang w:eastAsia="cs-CZ"/>
              </w:rPr>
              <w:t>43,10 %</w:t>
            </w:r>
          </w:p>
        </w:tc>
        <w:tc>
          <w:tcPr>
            <w:tcW w:w="2042" w:type="dxa"/>
            <w:tcBorders>
              <w:top w:val="nil"/>
              <w:left w:val="nil"/>
              <w:bottom w:val="single" w:sz="4" w:space="0" w:color="auto"/>
              <w:right w:val="nil"/>
            </w:tcBorders>
            <w:shd w:val="clear" w:color="auto" w:fill="auto"/>
            <w:noWrap/>
            <w:vAlign w:val="center"/>
            <w:hideMark/>
          </w:tcPr>
          <w:p w14:paraId="4ABBC1A7" w14:textId="415D6E42" w:rsidR="002B0AD8" w:rsidRPr="00730B1E" w:rsidRDefault="002B0AD8" w:rsidP="002B0AD8">
            <w:pPr>
              <w:spacing w:line="240" w:lineRule="auto"/>
              <w:jc w:val="center"/>
              <w:rPr>
                <w:rFonts w:eastAsia="Times New Roman"/>
                <w:sz w:val="20"/>
                <w:szCs w:val="20"/>
                <w:lang w:eastAsia="cs-CZ"/>
              </w:rPr>
            </w:pPr>
            <w:r w:rsidRPr="00730B1E">
              <w:rPr>
                <w:rFonts w:eastAsia="Times New Roman"/>
                <w:sz w:val="20"/>
                <w:szCs w:val="20"/>
                <w:lang w:eastAsia="cs-CZ"/>
              </w:rPr>
              <w:t>-3,3 p.b.</w:t>
            </w:r>
          </w:p>
        </w:tc>
      </w:tr>
      <w:tr w:rsidR="00B64E96" w:rsidRPr="00730B1E" w14:paraId="311DA788" w14:textId="77777777" w:rsidTr="002B0AD8">
        <w:trPr>
          <w:trHeight w:val="315"/>
        </w:trPr>
        <w:tc>
          <w:tcPr>
            <w:tcW w:w="2780" w:type="dxa"/>
            <w:tcBorders>
              <w:top w:val="nil"/>
              <w:left w:val="nil"/>
              <w:bottom w:val="single" w:sz="4" w:space="0" w:color="auto"/>
              <w:right w:val="nil"/>
            </w:tcBorders>
            <w:shd w:val="clear" w:color="auto" w:fill="auto"/>
            <w:noWrap/>
            <w:vAlign w:val="bottom"/>
            <w:hideMark/>
          </w:tcPr>
          <w:p w14:paraId="5F440A55" w14:textId="77777777" w:rsidR="002B0AD8" w:rsidRPr="00730B1E" w:rsidRDefault="002B0AD8" w:rsidP="002B0AD8">
            <w:pPr>
              <w:spacing w:line="240" w:lineRule="auto"/>
              <w:jc w:val="left"/>
              <w:rPr>
                <w:rFonts w:eastAsia="Times New Roman"/>
                <w:szCs w:val="24"/>
                <w:lang w:eastAsia="cs-CZ"/>
              </w:rPr>
            </w:pPr>
            <w:r w:rsidRPr="00730B1E">
              <w:rPr>
                <w:rFonts w:eastAsia="Times New Roman"/>
                <w:szCs w:val="24"/>
                <w:lang w:eastAsia="cs-CZ"/>
              </w:rPr>
              <w:t>KS Hr. Králové</w:t>
            </w:r>
          </w:p>
        </w:tc>
        <w:tc>
          <w:tcPr>
            <w:tcW w:w="2158" w:type="dxa"/>
            <w:tcBorders>
              <w:top w:val="nil"/>
              <w:left w:val="nil"/>
              <w:bottom w:val="single" w:sz="4" w:space="0" w:color="auto"/>
              <w:right w:val="nil"/>
            </w:tcBorders>
            <w:shd w:val="clear" w:color="auto" w:fill="auto"/>
            <w:noWrap/>
            <w:vAlign w:val="bottom"/>
            <w:hideMark/>
          </w:tcPr>
          <w:p w14:paraId="504D3738" w14:textId="4B93765B" w:rsidR="002B0AD8" w:rsidRPr="00730B1E" w:rsidRDefault="002B0AD8" w:rsidP="002B0AD8">
            <w:pPr>
              <w:spacing w:line="240" w:lineRule="auto"/>
              <w:jc w:val="center"/>
              <w:rPr>
                <w:rFonts w:eastAsia="Times New Roman"/>
                <w:szCs w:val="24"/>
                <w:lang w:eastAsia="cs-CZ"/>
              </w:rPr>
            </w:pPr>
            <w:r w:rsidRPr="00730B1E">
              <w:rPr>
                <w:rFonts w:eastAsia="Times New Roman"/>
                <w:szCs w:val="24"/>
                <w:lang w:eastAsia="cs-CZ"/>
              </w:rPr>
              <w:t>55,74 %</w:t>
            </w:r>
          </w:p>
        </w:tc>
        <w:tc>
          <w:tcPr>
            <w:tcW w:w="2042" w:type="dxa"/>
            <w:tcBorders>
              <w:top w:val="nil"/>
              <w:left w:val="nil"/>
              <w:bottom w:val="single" w:sz="4" w:space="0" w:color="auto"/>
              <w:right w:val="nil"/>
            </w:tcBorders>
            <w:shd w:val="clear" w:color="auto" w:fill="auto"/>
            <w:noWrap/>
            <w:vAlign w:val="center"/>
            <w:hideMark/>
          </w:tcPr>
          <w:p w14:paraId="3D4C3F1A" w14:textId="3186E52B" w:rsidR="002B0AD8" w:rsidRPr="00730B1E" w:rsidRDefault="002B0AD8" w:rsidP="002B0AD8">
            <w:pPr>
              <w:spacing w:line="240" w:lineRule="auto"/>
              <w:jc w:val="center"/>
              <w:rPr>
                <w:rFonts w:eastAsia="Times New Roman"/>
                <w:sz w:val="20"/>
                <w:szCs w:val="20"/>
                <w:lang w:eastAsia="cs-CZ"/>
              </w:rPr>
            </w:pPr>
            <w:r w:rsidRPr="00730B1E">
              <w:rPr>
                <w:rFonts w:eastAsia="Times New Roman"/>
                <w:sz w:val="20"/>
                <w:szCs w:val="20"/>
                <w:lang w:eastAsia="cs-CZ"/>
              </w:rPr>
              <w:t>-3,6 p.b.</w:t>
            </w:r>
          </w:p>
        </w:tc>
      </w:tr>
      <w:tr w:rsidR="00B64E96" w:rsidRPr="00730B1E" w14:paraId="3B6C0F47" w14:textId="77777777" w:rsidTr="002B0AD8">
        <w:trPr>
          <w:trHeight w:val="315"/>
        </w:trPr>
        <w:tc>
          <w:tcPr>
            <w:tcW w:w="2780" w:type="dxa"/>
            <w:tcBorders>
              <w:top w:val="nil"/>
              <w:left w:val="nil"/>
              <w:bottom w:val="single" w:sz="4" w:space="0" w:color="auto"/>
              <w:right w:val="nil"/>
            </w:tcBorders>
            <w:shd w:val="clear" w:color="auto" w:fill="auto"/>
            <w:noWrap/>
            <w:vAlign w:val="bottom"/>
            <w:hideMark/>
          </w:tcPr>
          <w:p w14:paraId="59B0D323" w14:textId="77777777" w:rsidR="002B0AD8" w:rsidRPr="00730B1E" w:rsidRDefault="002B0AD8" w:rsidP="002B0AD8">
            <w:pPr>
              <w:spacing w:line="240" w:lineRule="auto"/>
              <w:jc w:val="left"/>
              <w:rPr>
                <w:rFonts w:eastAsia="Times New Roman"/>
                <w:szCs w:val="24"/>
                <w:lang w:eastAsia="cs-CZ"/>
              </w:rPr>
            </w:pPr>
            <w:r w:rsidRPr="00730B1E">
              <w:rPr>
                <w:rFonts w:eastAsia="Times New Roman"/>
                <w:szCs w:val="24"/>
                <w:lang w:eastAsia="cs-CZ"/>
              </w:rPr>
              <w:t>KS Brno</w:t>
            </w:r>
          </w:p>
        </w:tc>
        <w:tc>
          <w:tcPr>
            <w:tcW w:w="2158" w:type="dxa"/>
            <w:tcBorders>
              <w:top w:val="nil"/>
              <w:left w:val="nil"/>
              <w:bottom w:val="single" w:sz="4" w:space="0" w:color="auto"/>
              <w:right w:val="nil"/>
            </w:tcBorders>
            <w:shd w:val="clear" w:color="auto" w:fill="auto"/>
            <w:noWrap/>
            <w:vAlign w:val="bottom"/>
            <w:hideMark/>
          </w:tcPr>
          <w:p w14:paraId="6FA0D189" w14:textId="1F4BC014" w:rsidR="002B0AD8" w:rsidRPr="00730B1E" w:rsidRDefault="002B0AD8" w:rsidP="002B0AD8">
            <w:pPr>
              <w:spacing w:line="240" w:lineRule="auto"/>
              <w:jc w:val="center"/>
              <w:rPr>
                <w:rFonts w:eastAsia="Times New Roman"/>
                <w:szCs w:val="24"/>
                <w:lang w:eastAsia="cs-CZ"/>
              </w:rPr>
            </w:pPr>
            <w:r w:rsidRPr="00730B1E">
              <w:rPr>
                <w:rFonts w:eastAsia="Times New Roman"/>
                <w:szCs w:val="24"/>
                <w:lang w:eastAsia="cs-CZ"/>
              </w:rPr>
              <w:t>40,63 %</w:t>
            </w:r>
          </w:p>
        </w:tc>
        <w:tc>
          <w:tcPr>
            <w:tcW w:w="2042" w:type="dxa"/>
            <w:tcBorders>
              <w:top w:val="nil"/>
              <w:left w:val="nil"/>
              <w:bottom w:val="single" w:sz="4" w:space="0" w:color="auto"/>
              <w:right w:val="nil"/>
            </w:tcBorders>
            <w:shd w:val="clear" w:color="auto" w:fill="auto"/>
            <w:noWrap/>
            <w:vAlign w:val="center"/>
            <w:hideMark/>
          </w:tcPr>
          <w:p w14:paraId="07935D39" w14:textId="203B2F33" w:rsidR="002B0AD8" w:rsidRPr="00730B1E" w:rsidRDefault="002B0AD8" w:rsidP="002B0AD8">
            <w:pPr>
              <w:spacing w:line="240" w:lineRule="auto"/>
              <w:jc w:val="center"/>
              <w:rPr>
                <w:rFonts w:eastAsia="Times New Roman"/>
                <w:sz w:val="20"/>
                <w:szCs w:val="20"/>
                <w:lang w:eastAsia="cs-CZ"/>
              </w:rPr>
            </w:pPr>
            <w:r w:rsidRPr="00730B1E">
              <w:rPr>
                <w:rFonts w:eastAsia="Times New Roman"/>
                <w:sz w:val="20"/>
                <w:szCs w:val="20"/>
                <w:lang w:eastAsia="cs-CZ"/>
              </w:rPr>
              <w:t>-5,3 p.b.</w:t>
            </w:r>
          </w:p>
        </w:tc>
      </w:tr>
      <w:tr w:rsidR="00B64E96" w:rsidRPr="00730B1E" w14:paraId="4BA4F0EC" w14:textId="77777777" w:rsidTr="002B0AD8">
        <w:trPr>
          <w:trHeight w:val="330"/>
        </w:trPr>
        <w:tc>
          <w:tcPr>
            <w:tcW w:w="2780" w:type="dxa"/>
            <w:tcBorders>
              <w:top w:val="nil"/>
              <w:left w:val="nil"/>
              <w:bottom w:val="double" w:sz="6" w:space="0" w:color="auto"/>
              <w:right w:val="nil"/>
            </w:tcBorders>
            <w:shd w:val="clear" w:color="auto" w:fill="auto"/>
            <w:noWrap/>
            <w:vAlign w:val="bottom"/>
            <w:hideMark/>
          </w:tcPr>
          <w:p w14:paraId="3B92D9C8" w14:textId="77777777" w:rsidR="002B0AD8" w:rsidRPr="00730B1E" w:rsidRDefault="002B0AD8" w:rsidP="002B0AD8">
            <w:pPr>
              <w:spacing w:line="240" w:lineRule="auto"/>
              <w:jc w:val="left"/>
              <w:rPr>
                <w:rFonts w:eastAsia="Times New Roman"/>
                <w:szCs w:val="24"/>
                <w:lang w:eastAsia="cs-CZ"/>
              </w:rPr>
            </w:pPr>
            <w:r w:rsidRPr="00730B1E">
              <w:rPr>
                <w:rFonts w:eastAsia="Times New Roman"/>
                <w:szCs w:val="24"/>
                <w:lang w:eastAsia="cs-CZ"/>
              </w:rPr>
              <w:t>KS Ostrava</w:t>
            </w:r>
          </w:p>
        </w:tc>
        <w:tc>
          <w:tcPr>
            <w:tcW w:w="2158" w:type="dxa"/>
            <w:tcBorders>
              <w:top w:val="nil"/>
              <w:left w:val="nil"/>
              <w:bottom w:val="double" w:sz="6" w:space="0" w:color="auto"/>
              <w:right w:val="nil"/>
            </w:tcBorders>
            <w:shd w:val="clear" w:color="auto" w:fill="auto"/>
            <w:noWrap/>
            <w:vAlign w:val="bottom"/>
            <w:hideMark/>
          </w:tcPr>
          <w:p w14:paraId="0BB98FF9" w14:textId="04F2A425" w:rsidR="002B0AD8" w:rsidRPr="00730B1E" w:rsidRDefault="002B0AD8" w:rsidP="002B0AD8">
            <w:pPr>
              <w:spacing w:line="240" w:lineRule="auto"/>
              <w:jc w:val="center"/>
              <w:rPr>
                <w:rFonts w:eastAsia="Times New Roman"/>
                <w:szCs w:val="24"/>
                <w:lang w:eastAsia="cs-CZ"/>
              </w:rPr>
            </w:pPr>
            <w:r w:rsidRPr="00730B1E">
              <w:rPr>
                <w:rFonts w:eastAsia="Times New Roman"/>
                <w:szCs w:val="24"/>
                <w:lang w:eastAsia="cs-CZ"/>
              </w:rPr>
              <w:t>35,87 %</w:t>
            </w:r>
          </w:p>
        </w:tc>
        <w:tc>
          <w:tcPr>
            <w:tcW w:w="2042" w:type="dxa"/>
            <w:tcBorders>
              <w:top w:val="nil"/>
              <w:left w:val="nil"/>
              <w:bottom w:val="nil"/>
              <w:right w:val="nil"/>
            </w:tcBorders>
            <w:shd w:val="clear" w:color="auto" w:fill="auto"/>
            <w:noWrap/>
            <w:vAlign w:val="center"/>
            <w:hideMark/>
          </w:tcPr>
          <w:p w14:paraId="68D4ED6A" w14:textId="0C23E391" w:rsidR="002B0AD8" w:rsidRPr="00730B1E" w:rsidRDefault="002B0AD8" w:rsidP="002B0AD8">
            <w:pPr>
              <w:spacing w:line="240" w:lineRule="auto"/>
              <w:jc w:val="center"/>
              <w:rPr>
                <w:rFonts w:eastAsia="Times New Roman"/>
                <w:sz w:val="20"/>
                <w:szCs w:val="20"/>
                <w:lang w:eastAsia="cs-CZ"/>
              </w:rPr>
            </w:pPr>
            <w:r w:rsidRPr="00730B1E">
              <w:rPr>
                <w:rFonts w:eastAsia="Times New Roman"/>
                <w:sz w:val="20"/>
                <w:szCs w:val="20"/>
                <w:lang w:eastAsia="cs-CZ"/>
              </w:rPr>
              <w:t>-14,8 p.b.</w:t>
            </w:r>
          </w:p>
        </w:tc>
      </w:tr>
      <w:tr w:rsidR="00B64E96" w:rsidRPr="00730B1E" w14:paraId="6A92E325" w14:textId="77777777" w:rsidTr="002B0AD8">
        <w:trPr>
          <w:trHeight w:val="345"/>
        </w:trPr>
        <w:tc>
          <w:tcPr>
            <w:tcW w:w="2780" w:type="dxa"/>
            <w:tcBorders>
              <w:top w:val="nil"/>
              <w:left w:val="nil"/>
              <w:bottom w:val="double" w:sz="6" w:space="0" w:color="auto"/>
              <w:right w:val="nil"/>
            </w:tcBorders>
            <w:shd w:val="clear" w:color="auto" w:fill="auto"/>
            <w:noWrap/>
            <w:vAlign w:val="bottom"/>
            <w:hideMark/>
          </w:tcPr>
          <w:p w14:paraId="11BB596A" w14:textId="77777777" w:rsidR="002B0AD8" w:rsidRPr="00730B1E" w:rsidRDefault="002B0AD8" w:rsidP="002B0AD8">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2158" w:type="dxa"/>
            <w:tcBorders>
              <w:top w:val="nil"/>
              <w:left w:val="nil"/>
              <w:bottom w:val="double" w:sz="6" w:space="0" w:color="auto"/>
              <w:right w:val="nil"/>
            </w:tcBorders>
            <w:shd w:val="clear" w:color="auto" w:fill="auto"/>
            <w:noWrap/>
            <w:vAlign w:val="bottom"/>
            <w:hideMark/>
          </w:tcPr>
          <w:p w14:paraId="5B61FC84" w14:textId="08FA0345" w:rsidR="002B0AD8" w:rsidRPr="00730B1E" w:rsidRDefault="002B0AD8" w:rsidP="002B0AD8">
            <w:pPr>
              <w:spacing w:line="240" w:lineRule="auto"/>
              <w:jc w:val="center"/>
              <w:rPr>
                <w:rFonts w:eastAsia="Times New Roman"/>
                <w:b/>
                <w:bCs/>
                <w:szCs w:val="24"/>
                <w:lang w:eastAsia="cs-CZ"/>
              </w:rPr>
            </w:pPr>
            <w:r w:rsidRPr="00730B1E">
              <w:rPr>
                <w:rFonts w:eastAsia="Times New Roman"/>
                <w:b/>
                <w:bCs/>
                <w:szCs w:val="24"/>
                <w:lang w:eastAsia="cs-CZ"/>
              </w:rPr>
              <w:t>43,45 %</w:t>
            </w:r>
          </w:p>
        </w:tc>
        <w:tc>
          <w:tcPr>
            <w:tcW w:w="2042" w:type="dxa"/>
            <w:tcBorders>
              <w:top w:val="double" w:sz="6" w:space="0" w:color="auto"/>
              <w:left w:val="nil"/>
              <w:bottom w:val="double" w:sz="6" w:space="0" w:color="auto"/>
              <w:right w:val="nil"/>
            </w:tcBorders>
            <w:shd w:val="clear" w:color="auto" w:fill="auto"/>
            <w:noWrap/>
            <w:vAlign w:val="center"/>
            <w:hideMark/>
          </w:tcPr>
          <w:p w14:paraId="592138F5" w14:textId="7A9A270D" w:rsidR="002B0AD8" w:rsidRPr="00730B1E" w:rsidRDefault="002B0AD8" w:rsidP="002B0AD8">
            <w:pPr>
              <w:spacing w:line="240" w:lineRule="auto"/>
              <w:jc w:val="center"/>
              <w:rPr>
                <w:rFonts w:eastAsia="Times New Roman"/>
                <w:b/>
                <w:bCs/>
                <w:sz w:val="20"/>
                <w:szCs w:val="20"/>
                <w:lang w:eastAsia="cs-CZ"/>
              </w:rPr>
            </w:pPr>
            <w:r w:rsidRPr="00730B1E">
              <w:rPr>
                <w:rFonts w:eastAsia="Times New Roman"/>
                <w:b/>
                <w:bCs/>
                <w:sz w:val="20"/>
                <w:szCs w:val="20"/>
                <w:lang w:eastAsia="cs-CZ"/>
              </w:rPr>
              <w:t>-5.4 p.b.</w:t>
            </w:r>
          </w:p>
        </w:tc>
      </w:tr>
      <w:tr w:rsidR="00B64E96" w:rsidRPr="00730B1E" w14:paraId="0D335F00" w14:textId="77777777" w:rsidTr="002B0AD8">
        <w:trPr>
          <w:trHeight w:val="330"/>
        </w:trPr>
        <w:tc>
          <w:tcPr>
            <w:tcW w:w="2780" w:type="dxa"/>
            <w:tcBorders>
              <w:top w:val="nil"/>
              <w:left w:val="nil"/>
              <w:bottom w:val="nil"/>
              <w:right w:val="nil"/>
            </w:tcBorders>
            <w:shd w:val="clear" w:color="auto" w:fill="auto"/>
            <w:noWrap/>
            <w:vAlign w:val="bottom"/>
            <w:hideMark/>
          </w:tcPr>
          <w:p w14:paraId="202101F9" w14:textId="77777777" w:rsidR="002B0AD8" w:rsidRPr="00730B1E" w:rsidRDefault="002B0AD8" w:rsidP="002B0AD8">
            <w:pPr>
              <w:spacing w:line="240" w:lineRule="auto"/>
              <w:jc w:val="right"/>
              <w:rPr>
                <w:rFonts w:eastAsia="Times New Roman"/>
                <w:b/>
                <w:bCs/>
                <w:sz w:val="20"/>
                <w:szCs w:val="20"/>
                <w:lang w:eastAsia="cs-CZ"/>
              </w:rPr>
            </w:pPr>
          </w:p>
        </w:tc>
        <w:tc>
          <w:tcPr>
            <w:tcW w:w="2158" w:type="dxa"/>
            <w:tcBorders>
              <w:top w:val="nil"/>
              <w:left w:val="nil"/>
              <w:bottom w:val="nil"/>
              <w:right w:val="nil"/>
            </w:tcBorders>
            <w:shd w:val="clear" w:color="auto" w:fill="auto"/>
            <w:noWrap/>
            <w:vAlign w:val="bottom"/>
            <w:hideMark/>
          </w:tcPr>
          <w:p w14:paraId="2D5566C7" w14:textId="77777777" w:rsidR="002B0AD8" w:rsidRPr="00DF07F3" w:rsidRDefault="002B0AD8" w:rsidP="002B0AD8">
            <w:pPr>
              <w:spacing w:line="240" w:lineRule="auto"/>
              <w:jc w:val="left"/>
              <w:rPr>
                <w:sz w:val="20"/>
              </w:rPr>
            </w:pPr>
          </w:p>
        </w:tc>
        <w:tc>
          <w:tcPr>
            <w:tcW w:w="2042" w:type="dxa"/>
            <w:tcBorders>
              <w:top w:val="nil"/>
              <w:left w:val="nil"/>
              <w:bottom w:val="nil"/>
              <w:right w:val="nil"/>
            </w:tcBorders>
            <w:shd w:val="clear" w:color="auto" w:fill="auto"/>
            <w:noWrap/>
            <w:vAlign w:val="bottom"/>
            <w:hideMark/>
          </w:tcPr>
          <w:p w14:paraId="4054B869" w14:textId="77777777" w:rsidR="002B0AD8" w:rsidRPr="00DF07F3" w:rsidRDefault="002B0AD8" w:rsidP="002B0AD8">
            <w:pPr>
              <w:spacing w:line="240" w:lineRule="auto"/>
              <w:jc w:val="left"/>
              <w:rPr>
                <w:sz w:val="20"/>
              </w:rPr>
            </w:pPr>
          </w:p>
        </w:tc>
      </w:tr>
    </w:tbl>
    <w:p w14:paraId="79B6018D" w14:textId="7147E3F3" w:rsidR="00014A1F" w:rsidRPr="00730B1E" w:rsidRDefault="00014A1F" w:rsidP="00014A1F">
      <w:pPr>
        <w:pStyle w:val="OdstavecASR"/>
      </w:pPr>
      <w:r w:rsidRPr="00730B1E">
        <w:t xml:space="preserve">Rozdíly mezi jednotlivými soudy v míře změny rozsudku jsou rovněž poměrně vysoké. Rozdíly jsou často velké i u soudů mezi jednotlivými lety (viz především KS Praha, KS Č. Budějovice a KS Ostrava). Míra změny rozsudku </w:t>
      </w:r>
      <w:r w:rsidR="00CD3A2B" w:rsidRPr="00730B1E">
        <w:t xml:space="preserve">byla </w:t>
      </w:r>
      <w:r w:rsidRPr="00730B1E">
        <w:t>v roce 2023 v zásadě shodná s mírou změny rozsudku u</w:t>
      </w:r>
      <w:r w:rsidR="00D82ADA" w:rsidRPr="00730B1E">
        <w:t> </w:t>
      </w:r>
      <w:r w:rsidRPr="00730B1E">
        <w:t>okresních soudů.</w:t>
      </w:r>
      <w:r w:rsidR="00933615" w:rsidRPr="00730B1E">
        <w:t xml:space="preserve"> Dlouhodobě se míra změny rozsudku u KS spíše snižuje, jak je vidět na přehledu jednotlivých roků níže (druhý činitel ve vzorci).</w:t>
      </w:r>
    </w:p>
    <w:p w14:paraId="78E00D0B" w14:textId="5BFFE363" w:rsidR="00DF5311" w:rsidRPr="00730B1E" w:rsidRDefault="00DF5311" w:rsidP="00014A1F">
      <w:pPr>
        <w:pStyle w:val="OdstavecASR"/>
      </w:pPr>
      <w:r w:rsidRPr="00730B1E">
        <w:t xml:space="preserve">Vynásobením míry odvolání a míry změny rozsudku dostaneme podíl věcí, ve kterých odvolací soud nakonec změnil rozhodnutí soudu I. stupně ke všem prvostupňovým rozhodnutím. Tento ukazatel se nazývá </w:t>
      </w:r>
      <w:r w:rsidRPr="00730B1E">
        <w:rPr>
          <w:i/>
        </w:rPr>
        <w:t>míra celkové změny rozsudku</w:t>
      </w:r>
      <w:r w:rsidRPr="00730B1E">
        <w:t>.</w:t>
      </w:r>
    </w:p>
    <w:p w14:paraId="56668398" w14:textId="77777777" w:rsidR="00014A1F" w:rsidRPr="00730B1E" w:rsidRDefault="00014A1F" w:rsidP="00014A1F">
      <w:pPr>
        <w:pStyle w:val="OdstavecASR"/>
      </w:pPr>
      <w:r w:rsidRPr="00730B1E">
        <w:t>Celková míra změny rozsudku je nejvyšší u KS v Hradci Králové. Nejnižší je nově u KS v Brně.</w:t>
      </w:r>
    </w:p>
    <w:p w14:paraId="35D34459" w14:textId="77777777" w:rsidR="00014A1F" w:rsidRPr="00730B1E" w:rsidRDefault="00014A1F" w:rsidP="00014A1F">
      <w:pPr>
        <w:pStyle w:val="OdstavecASR"/>
      </w:pPr>
      <w:r w:rsidRPr="00730B1E">
        <w:t>Nakonec ještě krátce porovnáme posledních sedm let. Údaje o míře odvolání, míře změny rozsudku i celkové míře změny rozsudku jsou následující:</w:t>
      </w:r>
    </w:p>
    <w:p w14:paraId="04F1D3EA" w14:textId="77777777" w:rsidR="00014A1F" w:rsidRPr="00730B1E" w:rsidRDefault="00014A1F" w:rsidP="00014A1F">
      <w:pPr>
        <w:pStyle w:val="OdstavecASR"/>
      </w:pPr>
      <w:r w:rsidRPr="00730B1E">
        <w:t>2016: 15,62 % × 50,51 % = 7,90 %</w:t>
      </w:r>
    </w:p>
    <w:p w14:paraId="4C5B79B8" w14:textId="77777777" w:rsidR="00014A1F" w:rsidRPr="00730B1E" w:rsidRDefault="00014A1F" w:rsidP="00014A1F">
      <w:pPr>
        <w:pStyle w:val="OdstavecASR"/>
      </w:pPr>
      <w:r w:rsidRPr="00730B1E">
        <w:t>2017: 19,67 % × 50,34 % = 9,90 %</w:t>
      </w:r>
    </w:p>
    <w:p w14:paraId="6C596D25" w14:textId="77777777" w:rsidR="00014A1F" w:rsidRPr="00730B1E" w:rsidRDefault="00014A1F" w:rsidP="00014A1F">
      <w:pPr>
        <w:pStyle w:val="OdstavecASR"/>
      </w:pPr>
      <w:r w:rsidRPr="00730B1E">
        <w:t>2018: 24,88 % × 50,76 % = 12,63 %</w:t>
      </w:r>
    </w:p>
    <w:p w14:paraId="3DBD1476" w14:textId="77777777" w:rsidR="00014A1F" w:rsidRPr="00730B1E" w:rsidRDefault="00014A1F" w:rsidP="00014A1F">
      <w:pPr>
        <w:pStyle w:val="OdstavecASR"/>
      </w:pPr>
      <w:r w:rsidRPr="00730B1E">
        <w:t>2019: 24,20 % × 51,81 % = 12,54 %</w:t>
      </w:r>
    </w:p>
    <w:p w14:paraId="19C6BBA0" w14:textId="77777777" w:rsidR="00014A1F" w:rsidRPr="00730B1E" w:rsidRDefault="00014A1F" w:rsidP="00014A1F">
      <w:pPr>
        <w:pStyle w:val="OdstavecASR"/>
      </w:pPr>
      <w:r w:rsidRPr="00730B1E">
        <w:t>2020: 23,64 % × 53,03 % = 12,54 %</w:t>
      </w:r>
    </w:p>
    <w:p w14:paraId="7818AAE9" w14:textId="77777777" w:rsidR="00014A1F" w:rsidRPr="00730B1E" w:rsidRDefault="00014A1F" w:rsidP="00014A1F">
      <w:pPr>
        <w:pStyle w:val="OdstavecASR"/>
      </w:pPr>
      <w:r w:rsidRPr="00730B1E">
        <w:t>2021: 23,97 % × 47,65 % = 11,42 %</w:t>
      </w:r>
    </w:p>
    <w:p w14:paraId="656198EA" w14:textId="77777777" w:rsidR="00014A1F" w:rsidRPr="00730B1E" w:rsidRDefault="00014A1F" w:rsidP="00014A1F">
      <w:pPr>
        <w:pStyle w:val="OdstavecASR"/>
      </w:pPr>
      <w:r w:rsidRPr="00730B1E">
        <w:t>2022: 24,08 % × 48,84 % = 11,76 %</w:t>
      </w:r>
    </w:p>
    <w:p w14:paraId="6B16A5A6" w14:textId="77777777" w:rsidR="00766F1D" w:rsidRPr="00730B1E" w:rsidRDefault="00766F1D" w:rsidP="00766F1D">
      <w:pPr>
        <w:pStyle w:val="OdstavecASR"/>
      </w:pPr>
      <w:r w:rsidRPr="00730B1E">
        <w:t>2023: 17,85 % × 43,45 % = 7,76 %</w:t>
      </w:r>
    </w:p>
    <w:p w14:paraId="5EDDB508" w14:textId="3AE954FA" w:rsidR="00766F1D" w:rsidRPr="00730B1E" w:rsidRDefault="00766F1D" w:rsidP="00766F1D">
      <w:pPr>
        <w:pStyle w:val="OdstavecASR"/>
      </w:pPr>
      <w:r w:rsidRPr="00730B1E">
        <w:t xml:space="preserve">Míra celkové změny rozsudku se v letech 2016 až 2018 zvýšila více než o polovinu. Mezi roky 2018 a 2020 zůstala téměř konstantní a v roce 2021 mírně klesla. V roce 2022 pak velmi mírně klesla. </w:t>
      </w:r>
      <w:bookmarkStart w:id="827" w:name="_Hlk160788333"/>
      <w:r w:rsidRPr="00730B1E">
        <w:lastRenderedPageBreak/>
        <w:t>V roce 2023 došlo k prudkému poklesu a celková míra změny rozsudku se dostala na úroveň roku 2016. Pro připomenutí tento ukazatel znamená, že téměř u 8 % pravomocných rozhodnutí krajských soudů v civilních věcech došlo ke změně rozsudku.</w:t>
      </w:r>
      <w:bookmarkEnd w:id="827"/>
      <w:r w:rsidR="00DF5311" w:rsidRPr="00730B1E">
        <w:t xml:space="preserve"> U OS je tento ukazatel asi 3 %.</w:t>
      </w:r>
    </w:p>
    <w:bookmarkEnd w:id="818"/>
    <w:bookmarkEnd w:id="819"/>
    <w:bookmarkEnd w:id="820"/>
    <w:p w14:paraId="71D5D07B" w14:textId="23450182" w:rsidR="00A93256" w:rsidRPr="00730B1E" w:rsidRDefault="00A93256" w:rsidP="00A93256">
      <w:pPr>
        <w:pStyle w:val="OdstavecASR"/>
        <w:keepNext/>
        <w:outlineLvl w:val="3"/>
        <w:rPr>
          <w:b/>
        </w:rPr>
      </w:pPr>
      <w:r w:rsidRPr="00730B1E">
        <w:rPr>
          <w:b/>
        </w:rPr>
        <w:t>Podíl vybraných předmětů sporů</w:t>
      </w:r>
    </w:p>
    <w:p w14:paraId="0841D89A" w14:textId="164D2C1F" w:rsidR="00766F1D" w:rsidRPr="00730B1E" w:rsidRDefault="00766F1D" w:rsidP="00766F1D">
      <w:pPr>
        <w:pStyle w:val="OdstavecASR"/>
      </w:pPr>
      <w:r w:rsidRPr="00730B1E">
        <w:t xml:space="preserve">Výše uvádíme, že data očišťujeme o vybrané předměty sporů – </w:t>
      </w:r>
      <w:r w:rsidRPr="00730B1E">
        <w:rPr>
          <w:i/>
          <w:iCs/>
        </w:rPr>
        <w:t xml:space="preserve">zrušení a jmenování likvidátora u jiných korporací </w:t>
      </w:r>
      <w:r w:rsidR="00246C50" w:rsidRPr="00730B1E">
        <w:rPr>
          <w:i/>
          <w:iCs/>
        </w:rPr>
        <w:t>(</w:t>
      </w:r>
      <w:r w:rsidRPr="00730B1E">
        <w:rPr>
          <w:i/>
          <w:iCs/>
        </w:rPr>
        <w:t>spolky, odborové organizace atd.</w:t>
      </w:r>
      <w:r w:rsidR="00246C50" w:rsidRPr="00730B1E">
        <w:rPr>
          <w:i/>
          <w:iCs/>
        </w:rPr>
        <w:t>)</w:t>
      </w:r>
      <w:r w:rsidRPr="00730B1E">
        <w:t xml:space="preserve"> a </w:t>
      </w:r>
      <w:r w:rsidRPr="00730B1E">
        <w:rPr>
          <w:i/>
          <w:iCs/>
        </w:rPr>
        <w:t>právní vztahy související se zrušením a likvidací obchodní korporace</w:t>
      </w:r>
      <w:r w:rsidRPr="00730B1E">
        <w:t xml:space="preserve">. Je to </w:t>
      </w:r>
      <w:r w:rsidR="00246C50" w:rsidRPr="00730B1E">
        <w:t>proto</w:t>
      </w:r>
      <w:r w:rsidRPr="00730B1E">
        <w:t xml:space="preserve">, že se nejedná o typický obchodní spor a délka řízení je u těchto sporů výrazně kratší. V některých letech a u některých soudů je těchto sporů více, jindy a jinde méně. Celkově tedy tyto spory různě působí na délky řízení a míru odvolání a zkreslují tak časové řady. </w:t>
      </w:r>
      <w:r w:rsidR="00E5732D" w:rsidRPr="00730B1E">
        <w:t>Prozkoumáme proto</w:t>
      </w:r>
      <w:r w:rsidRPr="00730B1E">
        <w:t>, jaký podíl na celkovém počtu obchodních věcí (rejstřík Cm) tyto spory vlastně tvoří.  Nejdříve je zobrazena časová řada pro ČR.</w:t>
      </w:r>
    </w:p>
    <w:p w14:paraId="611F48B6" w14:textId="0F16AD8E" w:rsidR="00766F1D" w:rsidRPr="00730B1E" w:rsidRDefault="00766F1D" w:rsidP="00766F1D">
      <w:pPr>
        <w:pStyle w:val="Podnadpis"/>
        <w:rPr>
          <w:color w:val="auto"/>
        </w:rPr>
      </w:pPr>
      <w:bookmarkStart w:id="828" w:name="_Toc144104169"/>
      <w:bookmarkStart w:id="829" w:name="_Toc169250981"/>
      <w:bookmarkStart w:id="830" w:name="_Toc17408066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62</w:t>
      </w:r>
      <w:r w:rsidRPr="00730B1E">
        <w:rPr>
          <w:color w:val="auto"/>
        </w:rPr>
        <w:fldChar w:fldCharType="end"/>
      </w:r>
      <w:r w:rsidRPr="00730B1E">
        <w:rPr>
          <w:color w:val="auto"/>
        </w:rPr>
        <w:t>: KS – podíl vybraných předmětů sporu v letech 2014–202</w:t>
      </w:r>
      <w:bookmarkEnd w:id="828"/>
      <w:r w:rsidRPr="00730B1E">
        <w:rPr>
          <w:color w:val="auto"/>
        </w:rPr>
        <w:t>3</w:t>
      </w:r>
      <w:bookmarkEnd w:id="829"/>
      <w:bookmarkEnd w:id="830"/>
    </w:p>
    <w:p w14:paraId="0AB5FF01" w14:textId="357AF7B1" w:rsidR="00766F1D" w:rsidRPr="00730B1E" w:rsidRDefault="00766F1D" w:rsidP="00766F1D">
      <w:r w:rsidRPr="00730B1E">
        <w:rPr>
          <w:noProof/>
          <w:lang w:eastAsia="cs-CZ"/>
        </w:rPr>
        <w:drawing>
          <wp:inline distT="0" distB="0" distL="0" distR="0" wp14:anchorId="7F6178E6" wp14:editId="366400AF">
            <wp:extent cx="5029200" cy="3657600"/>
            <wp:effectExtent l="0" t="0" r="0"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C6787B5" w14:textId="29AC57F2" w:rsidR="00766F1D" w:rsidRPr="00730B1E" w:rsidRDefault="00766F1D" w:rsidP="00766F1D">
      <w:pPr>
        <w:pStyle w:val="OdstavecASR"/>
      </w:pPr>
      <w:r w:rsidRPr="00730B1E">
        <w:t xml:space="preserve">Na grafu vidíme, že podíl vybraných sporů rostl velmi rychle v letech 2014 až 2017 s tím, že zdaleka největší růst zaznamenal v roce 2017 (růst asi o 28 procentních bodů), růst následně výrazně zpomalil, ale podíl stále rostl až do roku 2021, kdy dosáhl téměř 72 %. V letech 2022 a 2023 nepatrně klesl. Je pravda, že očistit data asi o 7 věcí z 10 se může zdát kontraproduktivní. Jak ale bylo již zmíněno, cílem této zprávy je měřit délku řízení v obchodní agendě a </w:t>
      </w:r>
      <w:r w:rsidRPr="00730B1E">
        <w:rPr>
          <w:i/>
          <w:iCs/>
        </w:rPr>
        <w:t>zrušení a jmenování likvidátora u jiných korporací (spolky, odborové organizace atd.)</w:t>
      </w:r>
      <w:r w:rsidRPr="00730B1E">
        <w:t xml:space="preserve"> a </w:t>
      </w:r>
      <w:r w:rsidRPr="00730B1E">
        <w:rPr>
          <w:i/>
          <w:iCs/>
        </w:rPr>
        <w:t>právní vztahy související se zrušením a likvidací obchodní korporace</w:t>
      </w:r>
      <w:r w:rsidRPr="00730B1E">
        <w:t xml:space="preserve"> typickými obchodními spory nejsou</w:t>
      </w:r>
      <w:r w:rsidR="00246C50" w:rsidRPr="00730B1E">
        <w:t>;</w:t>
      </w:r>
      <w:r w:rsidRPr="00730B1E">
        <w:t xml:space="preserve"> úprava je tedy </w:t>
      </w:r>
      <w:r w:rsidR="00246C50" w:rsidRPr="00730B1E">
        <w:t>namístě</w:t>
      </w:r>
      <w:r w:rsidRPr="00730B1E">
        <w:t>.</w:t>
      </w:r>
    </w:p>
    <w:p w14:paraId="3ACE12C1" w14:textId="564893DC" w:rsidR="00766F1D" w:rsidRPr="00730B1E" w:rsidRDefault="00766F1D" w:rsidP="00766F1D">
      <w:pPr>
        <w:pStyle w:val="OdstavecASR"/>
      </w:pPr>
      <w:r w:rsidRPr="00730B1E">
        <w:t xml:space="preserve">Podíl se rovněž </w:t>
      </w:r>
      <w:r w:rsidR="00952637" w:rsidRPr="00730B1E">
        <w:t xml:space="preserve">značně </w:t>
      </w:r>
      <w:r w:rsidRPr="00730B1E">
        <w:t>liší mezi jednotlivými soudy, jak plyne z dat za rok 202</w:t>
      </w:r>
      <w:r w:rsidR="00952637" w:rsidRPr="00730B1E">
        <w:t>3</w:t>
      </w:r>
      <w:r w:rsidRPr="00730B1E">
        <w:t xml:space="preserve"> </w:t>
      </w:r>
      <w:r w:rsidR="00246C50" w:rsidRPr="00730B1E">
        <w:t>shrnutých v </w:t>
      </w:r>
      <w:r w:rsidRPr="00730B1E">
        <w:t>tabulce níže:</w:t>
      </w:r>
    </w:p>
    <w:p w14:paraId="475A59C7" w14:textId="26AA7E13" w:rsidR="00766F1D" w:rsidRPr="00730B1E" w:rsidRDefault="00766F1D">
      <w:pPr>
        <w:spacing w:after="160" w:line="259" w:lineRule="auto"/>
        <w:jc w:val="left"/>
        <w:rPr>
          <w:b/>
        </w:rPr>
      </w:pPr>
      <w:r w:rsidRPr="00730B1E">
        <w:rPr>
          <w:b/>
        </w:rPr>
        <w:br w:type="page"/>
      </w:r>
    </w:p>
    <w:p w14:paraId="7E99A04F" w14:textId="629E830B" w:rsidR="00766F1D" w:rsidRPr="00730B1E" w:rsidRDefault="00766F1D" w:rsidP="00766F1D">
      <w:pPr>
        <w:pStyle w:val="Podnadpis"/>
        <w:rPr>
          <w:color w:val="auto"/>
        </w:rPr>
      </w:pPr>
      <w:bookmarkStart w:id="831" w:name="_Toc144104290"/>
      <w:bookmarkStart w:id="832" w:name="_Toc169251102"/>
      <w:bookmarkStart w:id="833" w:name="_Toc174080788"/>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45</w:t>
      </w:r>
      <w:r w:rsidRPr="00730B1E">
        <w:rPr>
          <w:color w:val="auto"/>
        </w:rPr>
        <w:fldChar w:fldCharType="end"/>
      </w:r>
      <w:r w:rsidRPr="00730B1E">
        <w:rPr>
          <w:color w:val="auto"/>
        </w:rPr>
        <w:t>: KS – podíl vybraných předmětů sporu v letech dle soudů</w:t>
      </w:r>
      <w:bookmarkEnd w:id="831"/>
      <w:r w:rsidR="00F77E72" w:rsidRPr="00730B1E">
        <w:rPr>
          <w:color w:val="auto"/>
        </w:rPr>
        <w:t>, 2023</w:t>
      </w:r>
      <w:bookmarkEnd w:id="832"/>
      <w:bookmarkEnd w:id="833"/>
    </w:p>
    <w:tbl>
      <w:tblPr>
        <w:tblW w:w="6300" w:type="dxa"/>
        <w:tblCellMar>
          <w:left w:w="70" w:type="dxa"/>
          <w:right w:w="70" w:type="dxa"/>
        </w:tblCellMar>
        <w:tblLook w:val="04A0" w:firstRow="1" w:lastRow="0" w:firstColumn="1" w:lastColumn="0" w:noHBand="0" w:noVBand="1"/>
      </w:tblPr>
      <w:tblGrid>
        <w:gridCol w:w="2780"/>
        <w:gridCol w:w="1794"/>
        <w:gridCol w:w="1726"/>
      </w:tblGrid>
      <w:tr w:rsidR="00B64E96" w:rsidRPr="00730B1E" w14:paraId="38A62067" w14:textId="77777777" w:rsidTr="0034077E">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FD40793" w14:textId="77777777" w:rsidR="0034077E" w:rsidRPr="00730B1E" w:rsidRDefault="0034077E" w:rsidP="0034077E">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34338C9D" w14:textId="77777777" w:rsidR="0034077E" w:rsidRPr="00730B1E" w:rsidRDefault="0034077E" w:rsidP="0034077E">
            <w:pPr>
              <w:spacing w:line="240" w:lineRule="auto"/>
              <w:jc w:val="center"/>
              <w:rPr>
                <w:rFonts w:eastAsia="Times New Roman"/>
                <w:b/>
                <w:bCs/>
                <w:szCs w:val="24"/>
                <w:lang w:eastAsia="cs-CZ"/>
              </w:rPr>
            </w:pPr>
            <w:r w:rsidRPr="00730B1E">
              <w:rPr>
                <w:rFonts w:eastAsia="Times New Roman"/>
                <w:b/>
                <w:bCs/>
                <w:szCs w:val="24"/>
                <w:lang w:eastAsia="cs-CZ"/>
              </w:rPr>
              <w:t xml:space="preserve">Podíl vybr. sporů </w:t>
            </w:r>
          </w:p>
        </w:tc>
      </w:tr>
      <w:tr w:rsidR="00B64E96" w:rsidRPr="00730B1E" w14:paraId="77CA715A" w14:textId="77777777" w:rsidTr="0034077E">
        <w:trPr>
          <w:trHeight w:val="330"/>
        </w:trPr>
        <w:tc>
          <w:tcPr>
            <w:tcW w:w="2780" w:type="dxa"/>
            <w:tcBorders>
              <w:top w:val="nil"/>
              <w:left w:val="nil"/>
              <w:bottom w:val="single" w:sz="4" w:space="0" w:color="auto"/>
              <w:right w:val="nil"/>
            </w:tcBorders>
            <w:shd w:val="clear" w:color="auto" w:fill="auto"/>
            <w:noWrap/>
            <w:vAlign w:val="bottom"/>
            <w:hideMark/>
          </w:tcPr>
          <w:p w14:paraId="5835E031" w14:textId="77777777" w:rsidR="0034077E" w:rsidRPr="00730B1E" w:rsidRDefault="0034077E" w:rsidP="0034077E">
            <w:pPr>
              <w:spacing w:line="240" w:lineRule="auto"/>
              <w:jc w:val="left"/>
              <w:rPr>
                <w:rFonts w:eastAsia="Times New Roman"/>
                <w:szCs w:val="24"/>
                <w:lang w:eastAsia="cs-CZ"/>
              </w:rPr>
            </w:pPr>
            <w:r w:rsidRPr="00730B1E">
              <w:rPr>
                <w:rFonts w:eastAsia="Times New Roman"/>
                <w:szCs w:val="24"/>
                <w:lang w:eastAsia="cs-CZ"/>
              </w:rPr>
              <w:t>MS Praha</w:t>
            </w:r>
          </w:p>
        </w:tc>
        <w:tc>
          <w:tcPr>
            <w:tcW w:w="1794" w:type="dxa"/>
            <w:tcBorders>
              <w:top w:val="nil"/>
              <w:left w:val="nil"/>
              <w:bottom w:val="single" w:sz="4" w:space="0" w:color="auto"/>
              <w:right w:val="nil"/>
            </w:tcBorders>
            <w:shd w:val="clear" w:color="auto" w:fill="auto"/>
            <w:noWrap/>
            <w:vAlign w:val="bottom"/>
            <w:hideMark/>
          </w:tcPr>
          <w:p w14:paraId="25E68A4C" w14:textId="769D9F86" w:rsidR="0034077E" w:rsidRPr="00730B1E" w:rsidRDefault="0034077E" w:rsidP="0034077E">
            <w:pPr>
              <w:spacing w:line="240" w:lineRule="auto"/>
              <w:jc w:val="center"/>
              <w:rPr>
                <w:rFonts w:eastAsia="Times New Roman"/>
                <w:szCs w:val="24"/>
                <w:lang w:eastAsia="cs-CZ"/>
              </w:rPr>
            </w:pPr>
            <w:r w:rsidRPr="00730B1E">
              <w:rPr>
                <w:rFonts w:eastAsia="Times New Roman"/>
                <w:szCs w:val="24"/>
                <w:lang w:eastAsia="cs-CZ"/>
              </w:rPr>
              <w:t>78,28 %</w:t>
            </w:r>
          </w:p>
        </w:tc>
        <w:tc>
          <w:tcPr>
            <w:tcW w:w="1726" w:type="dxa"/>
            <w:tcBorders>
              <w:top w:val="nil"/>
              <w:left w:val="nil"/>
              <w:bottom w:val="single" w:sz="4" w:space="0" w:color="auto"/>
              <w:right w:val="nil"/>
            </w:tcBorders>
            <w:shd w:val="clear" w:color="auto" w:fill="auto"/>
            <w:noWrap/>
            <w:vAlign w:val="center"/>
            <w:hideMark/>
          </w:tcPr>
          <w:p w14:paraId="18545EED" w14:textId="02A5AA27" w:rsidR="0034077E" w:rsidRPr="00730B1E" w:rsidRDefault="0034077E" w:rsidP="0034077E">
            <w:pPr>
              <w:spacing w:line="240" w:lineRule="auto"/>
              <w:jc w:val="center"/>
              <w:rPr>
                <w:rFonts w:eastAsia="Times New Roman"/>
                <w:sz w:val="20"/>
                <w:szCs w:val="20"/>
                <w:lang w:eastAsia="cs-CZ"/>
              </w:rPr>
            </w:pPr>
            <w:r w:rsidRPr="00730B1E">
              <w:rPr>
                <w:rFonts w:eastAsia="Times New Roman"/>
                <w:sz w:val="20"/>
                <w:szCs w:val="20"/>
                <w:lang w:eastAsia="cs-CZ"/>
              </w:rPr>
              <w:t>-1,6 p.b.</w:t>
            </w:r>
          </w:p>
        </w:tc>
      </w:tr>
      <w:tr w:rsidR="00B64E96" w:rsidRPr="00730B1E" w14:paraId="4E7BC5E8" w14:textId="77777777" w:rsidTr="0034077E">
        <w:trPr>
          <w:trHeight w:val="315"/>
        </w:trPr>
        <w:tc>
          <w:tcPr>
            <w:tcW w:w="2780" w:type="dxa"/>
            <w:tcBorders>
              <w:top w:val="nil"/>
              <w:left w:val="nil"/>
              <w:bottom w:val="single" w:sz="4" w:space="0" w:color="auto"/>
              <w:right w:val="nil"/>
            </w:tcBorders>
            <w:shd w:val="clear" w:color="auto" w:fill="auto"/>
            <w:noWrap/>
            <w:vAlign w:val="bottom"/>
            <w:hideMark/>
          </w:tcPr>
          <w:p w14:paraId="2C6B7FEF" w14:textId="77777777" w:rsidR="0034077E" w:rsidRPr="00730B1E" w:rsidRDefault="0034077E" w:rsidP="0034077E">
            <w:pPr>
              <w:spacing w:line="240" w:lineRule="auto"/>
              <w:jc w:val="left"/>
              <w:rPr>
                <w:rFonts w:eastAsia="Times New Roman"/>
                <w:szCs w:val="24"/>
                <w:lang w:eastAsia="cs-CZ"/>
              </w:rPr>
            </w:pPr>
            <w:r w:rsidRPr="00730B1E">
              <w:rPr>
                <w:rFonts w:eastAsia="Times New Roman"/>
                <w:szCs w:val="24"/>
                <w:lang w:eastAsia="cs-CZ"/>
              </w:rPr>
              <w:t>KS Praha</w:t>
            </w:r>
          </w:p>
        </w:tc>
        <w:tc>
          <w:tcPr>
            <w:tcW w:w="1794" w:type="dxa"/>
            <w:tcBorders>
              <w:top w:val="nil"/>
              <w:left w:val="nil"/>
              <w:bottom w:val="single" w:sz="4" w:space="0" w:color="auto"/>
              <w:right w:val="nil"/>
            </w:tcBorders>
            <w:shd w:val="clear" w:color="auto" w:fill="auto"/>
            <w:noWrap/>
            <w:vAlign w:val="bottom"/>
            <w:hideMark/>
          </w:tcPr>
          <w:p w14:paraId="3317BF94" w14:textId="7CB5146F" w:rsidR="0034077E" w:rsidRPr="00730B1E" w:rsidRDefault="0034077E" w:rsidP="0034077E">
            <w:pPr>
              <w:spacing w:line="240" w:lineRule="auto"/>
              <w:jc w:val="center"/>
              <w:rPr>
                <w:rFonts w:eastAsia="Times New Roman"/>
                <w:szCs w:val="24"/>
                <w:lang w:eastAsia="cs-CZ"/>
              </w:rPr>
            </w:pPr>
            <w:r w:rsidRPr="00730B1E">
              <w:rPr>
                <w:rFonts w:eastAsia="Times New Roman"/>
                <w:szCs w:val="24"/>
                <w:lang w:eastAsia="cs-CZ"/>
              </w:rPr>
              <w:t>0,00 %</w:t>
            </w:r>
          </w:p>
        </w:tc>
        <w:tc>
          <w:tcPr>
            <w:tcW w:w="1726" w:type="dxa"/>
            <w:tcBorders>
              <w:top w:val="nil"/>
              <w:left w:val="nil"/>
              <w:bottom w:val="single" w:sz="4" w:space="0" w:color="auto"/>
              <w:right w:val="nil"/>
            </w:tcBorders>
            <w:shd w:val="clear" w:color="auto" w:fill="auto"/>
            <w:noWrap/>
            <w:vAlign w:val="center"/>
            <w:hideMark/>
          </w:tcPr>
          <w:p w14:paraId="311D5CBF" w14:textId="69B6C903" w:rsidR="0034077E" w:rsidRPr="00730B1E" w:rsidRDefault="0034077E" w:rsidP="0034077E">
            <w:pPr>
              <w:spacing w:line="240" w:lineRule="auto"/>
              <w:jc w:val="center"/>
              <w:rPr>
                <w:rFonts w:eastAsia="Times New Roman"/>
                <w:sz w:val="20"/>
                <w:szCs w:val="20"/>
                <w:lang w:eastAsia="cs-CZ"/>
              </w:rPr>
            </w:pPr>
            <w:r w:rsidRPr="00730B1E">
              <w:rPr>
                <w:rFonts w:eastAsia="Times New Roman"/>
                <w:sz w:val="20"/>
                <w:szCs w:val="20"/>
                <w:lang w:eastAsia="cs-CZ"/>
              </w:rPr>
              <w:t>+0,0 p.b.</w:t>
            </w:r>
          </w:p>
        </w:tc>
      </w:tr>
      <w:tr w:rsidR="00B64E96" w:rsidRPr="00730B1E" w14:paraId="6E5800AD" w14:textId="77777777" w:rsidTr="0034077E">
        <w:trPr>
          <w:trHeight w:val="315"/>
        </w:trPr>
        <w:tc>
          <w:tcPr>
            <w:tcW w:w="2780" w:type="dxa"/>
            <w:tcBorders>
              <w:top w:val="nil"/>
              <w:left w:val="nil"/>
              <w:bottom w:val="single" w:sz="4" w:space="0" w:color="auto"/>
              <w:right w:val="nil"/>
            </w:tcBorders>
            <w:shd w:val="clear" w:color="auto" w:fill="auto"/>
            <w:noWrap/>
            <w:vAlign w:val="bottom"/>
            <w:hideMark/>
          </w:tcPr>
          <w:p w14:paraId="7D6429CC" w14:textId="77777777" w:rsidR="0034077E" w:rsidRPr="00730B1E" w:rsidRDefault="0034077E" w:rsidP="0034077E">
            <w:pPr>
              <w:spacing w:line="240" w:lineRule="auto"/>
              <w:jc w:val="left"/>
              <w:rPr>
                <w:rFonts w:eastAsia="Times New Roman"/>
                <w:szCs w:val="24"/>
                <w:lang w:eastAsia="cs-CZ"/>
              </w:rPr>
            </w:pPr>
            <w:r w:rsidRPr="00730B1E">
              <w:rPr>
                <w:rFonts w:eastAsia="Times New Roman"/>
                <w:szCs w:val="24"/>
                <w:lang w:eastAsia="cs-CZ"/>
              </w:rPr>
              <w:t>KS Č. Budějovice</w:t>
            </w:r>
          </w:p>
        </w:tc>
        <w:tc>
          <w:tcPr>
            <w:tcW w:w="1794" w:type="dxa"/>
            <w:tcBorders>
              <w:top w:val="nil"/>
              <w:left w:val="nil"/>
              <w:bottom w:val="single" w:sz="4" w:space="0" w:color="auto"/>
              <w:right w:val="nil"/>
            </w:tcBorders>
            <w:shd w:val="clear" w:color="auto" w:fill="auto"/>
            <w:noWrap/>
            <w:vAlign w:val="bottom"/>
            <w:hideMark/>
          </w:tcPr>
          <w:p w14:paraId="06A4731F" w14:textId="08325555" w:rsidR="0034077E" w:rsidRPr="00730B1E" w:rsidRDefault="0034077E" w:rsidP="0034077E">
            <w:pPr>
              <w:spacing w:line="240" w:lineRule="auto"/>
              <w:jc w:val="center"/>
              <w:rPr>
                <w:rFonts w:eastAsia="Times New Roman"/>
                <w:szCs w:val="24"/>
                <w:lang w:eastAsia="cs-CZ"/>
              </w:rPr>
            </w:pPr>
            <w:r w:rsidRPr="00730B1E">
              <w:rPr>
                <w:rFonts w:eastAsia="Times New Roman"/>
                <w:szCs w:val="24"/>
                <w:lang w:eastAsia="cs-CZ"/>
              </w:rPr>
              <w:t>48,38 %</w:t>
            </w:r>
          </w:p>
        </w:tc>
        <w:tc>
          <w:tcPr>
            <w:tcW w:w="1726" w:type="dxa"/>
            <w:tcBorders>
              <w:top w:val="nil"/>
              <w:left w:val="nil"/>
              <w:bottom w:val="single" w:sz="4" w:space="0" w:color="auto"/>
              <w:right w:val="nil"/>
            </w:tcBorders>
            <w:shd w:val="clear" w:color="auto" w:fill="auto"/>
            <w:noWrap/>
            <w:vAlign w:val="center"/>
            <w:hideMark/>
          </w:tcPr>
          <w:p w14:paraId="6DE1110D" w14:textId="5397793A" w:rsidR="0034077E" w:rsidRPr="00730B1E" w:rsidRDefault="0034077E" w:rsidP="0034077E">
            <w:pPr>
              <w:spacing w:line="240" w:lineRule="auto"/>
              <w:jc w:val="center"/>
              <w:rPr>
                <w:rFonts w:eastAsia="Times New Roman"/>
                <w:sz w:val="20"/>
                <w:szCs w:val="20"/>
                <w:lang w:eastAsia="cs-CZ"/>
              </w:rPr>
            </w:pPr>
            <w:r w:rsidRPr="00730B1E">
              <w:rPr>
                <w:rFonts w:eastAsia="Times New Roman"/>
                <w:sz w:val="20"/>
                <w:szCs w:val="20"/>
                <w:lang w:eastAsia="cs-CZ"/>
              </w:rPr>
              <w:t>-22,0 p.b.</w:t>
            </w:r>
          </w:p>
        </w:tc>
      </w:tr>
      <w:tr w:rsidR="00B64E96" w:rsidRPr="00730B1E" w14:paraId="001EF39E" w14:textId="77777777" w:rsidTr="0034077E">
        <w:trPr>
          <w:trHeight w:val="315"/>
        </w:trPr>
        <w:tc>
          <w:tcPr>
            <w:tcW w:w="2780" w:type="dxa"/>
            <w:tcBorders>
              <w:top w:val="nil"/>
              <w:left w:val="nil"/>
              <w:bottom w:val="single" w:sz="4" w:space="0" w:color="auto"/>
              <w:right w:val="nil"/>
            </w:tcBorders>
            <w:shd w:val="clear" w:color="auto" w:fill="auto"/>
            <w:noWrap/>
            <w:vAlign w:val="bottom"/>
            <w:hideMark/>
          </w:tcPr>
          <w:p w14:paraId="411EEED9" w14:textId="77777777" w:rsidR="0034077E" w:rsidRPr="00730B1E" w:rsidRDefault="0034077E" w:rsidP="0034077E">
            <w:pPr>
              <w:spacing w:line="240" w:lineRule="auto"/>
              <w:jc w:val="left"/>
              <w:rPr>
                <w:rFonts w:eastAsia="Times New Roman"/>
                <w:szCs w:val="24"/>
                <w:lang w:eastAsia="cs-CZ"/>
              </w:rPr>
            </w:pPr>
            <w:r w:rsidRPr="00730B1E">
              <w:rPr>
                <w:rFonts w:eastAsia="Times New Roman"/>
                <w:szCs w:val="24"/>
                <w:lang w:eastAsia="cs-CZ"/>
              </w:rPr>
              <w:t>KS Plzeň</w:t>
            </w:r>
          </w:p>
        </w:tc>
        <w:tc>
          <w:tcPr>
            <w:tcW w:w="1794" w:type="dxa"/>
            <w:tcBorders>
              <w:top w:val="nil"/>
              <w:left w:val="nil"/>
              <w:bottom w:val="single" w:sz="4" w:space="0" w:color="auto"/>
              <w:right w:val="nil"/>
            </w:tcBorders>
            <w:shd w:val="clear" w:color="auto" w:fill="auto"/>
            <w:noWrap/>
            <w:vAlign w:val="bottom"/>
            <w:hideMark/>
          </w:tcPr>
          <w:p w14:paraId="5ABDDA5D" w14:textId="3E4655D5" w:rsidR="0034077E" w:rsidRPr="00730B1E" w:rsidRDefault="0034077E" w:rsidP="0034077E">
            <w:pPr>
              <w:spacing w:line="240" w:lineRule="auto"/>
              <w:jc w:val="center"/>
              <w:rPr>
                <w:rFonts w:eastAsia="Times New Roman"/>
                <w:szCs w:val="24"/>
                <w:lang w:eastAsia="cs-CZ"/>
              </w:rPr>
            </w:pPr>
            <w:r w:rsidRPr="00730B1E">
              <w:rPr>
                <w:rFonts w:eastAsia="Times New Roman"/>
                <w:szCs w:val="24"/>
                <w:lang w:eastAsia="cs-CZ"/>
              </w:rPr>
              <w:t>51,55 %</w:t>
            </w:r>
          </w:p>
        </w:tc>
        <w:tc>
          <w:tcPr>
            <w:tcW w:w="1726" w:type="dxa"/>
            <w:tcBorders>
              <w:top w:val="nil"/>
              <w:left w:val="nil"/>
              <w:bottom w:val="single" w:sz="4" w:space="0" w:color="auto"/>
              <w:right w:val="nil"/>
            </w:tcBorders>
            <w:shd w:val="clear" w:color="auto" w:fill="auto"/>
            <w:noWrap/>
            <w:vAlign w:val="center"/>
            <w:hideMark/>
          </w:tcPr>
          <w:p w14:paraId="406F1254" w14:textId="60774E30" w:rsidR="0034077E" w:rsidRPr="00730B1E" w:rsidRDefault="0034077E" w:rsidP="0034077E">
            <w:pPr>
              <w:spacing w:line="240" w:lineRule="auto"/>
              <w:jc w:val="center"/>
              <w:rPr>
                <w:rFonts w:eastAsia="Times New Roman"/>
                <w:sz w:val="20"/>
                <w:szCs w:val="20"/>
                <w:lang w:eastAsia="cs-CZ"/>
              </w:rPr>
            </w:pPr>
            <w:r w:rsidRPr="00730B1E">
              <w:rPr>
                <w:rFonts w:eastAsia="Times New Roman"/>
                <w:sz w:val="20"/>
                <w:szCs w:val="20"/>
                <w:lang w:eastAsia="cs-CZ"/>
              </w:rPr>
              <w:t>-9,7 p.b.</w:t>
            </w:r>
          </w:p>
        </w:tc>
      </w:tr>
      <w:tr w:rsidR="00B64E96" w:rsidRPr="00730B1E" w14:paraId="5ED57FF3" w14:textId="77777777" w:rsidTr="0034077E">
        <w:trPr>
          <w:trHeight w:val="315"/>
        </w:trPr>
        <w:tc>
          <w:tcPr>
            <w:tcW w:w="2780" w:type="dxa"/>
            <w:tcBorders>
              <w:top w:val="nil"/>
              <w:left w:val="nil"/>
              <w:bottom w:val="single" w:sz="4" w:space="0" w:color="auto"/>
              <w:right w:val="nil"/>
            </w:tcBorders>
            <w:shd w:val="clear" w:color="auto" w:fill="auto"/>
            <w:noWrap/>
            <w:vAlign w:val="bottom"/>
            <w:hideMark/>
          </w:tcPr>
          <w:p w14:paraId="3E74925F" w14:textId="77777777" w:rsidR="0034077E" w:rsidRPr="00730B1E" w:rsidRDefault="0034077E" w:rsidP="0034077E">
            <w:pPr>
              <w:spacing w:line="240" w:lineRule="auto"/>
              <w:jc w:val="left"/>
              <w:rPr>
                <w:rFonts w:eastAsia="Times New Roman"/>
                <w:szCs w:val="24"/>
                <w:lang w:eastAsia="cs-CZ"/>
              </w:rPr>
            </w:pPr>
            <w:r w:rsidRPr="00730B1E">
              <w:rPr>
                <w:rFonts w:eastAsia="Times New Roman"/>
                <w:szCs w:val="24"/>
                <w:lang w:eastAsia="cs-CZ"/>
              </w:rPr>
              <w:t>KS Ústí n. Labem</w:t>
            </w:r>
          </w:p>
        </w:tc>
        <w:tc>
          <w:tcPr>
            <w:tcW w:w="1794" w:type="dxa"/>
            <w:tcBorders>
              <w:top w:val="nil"/>
              <w:left w:val="nil"/>
              <w:bottom w:val="single" w:sz="4" w:space="0" w:color="auto"/>
              <w:right w:val="nil"/>
            </w:tcBorders>
            <w:shd w:val="clear" w:color="auto" w:fill="auto"/>
            <w:noWrap/>
            <w:vAlign w:val="bottom"/>
            <w:hideMark/>
          </w:tcPr>
          <w:p w14:paraId="1920132B" w14:textId="5D2BBD08" w:rsidR="0034077E" w:rsidRPr="00730B1E" w:rsidRDefault="0034077E" w:rsidP="0034077E">
            <w:pPr>
              <w:spacing w:line="240" w:lineRule="auto"/>
              <w:jc w:val="center"/>
              <w:rPr>
                <w:rFonts w:eastAsia="Times New Roman"/>
                <w:szCs w:val="24"/>
                <w:lang w:eastAsia="cs-CZ"/>
              </w:rPr>
            </w:pPr>
            <w:r w:rsidRPr="00730B1E">
              <w:rPr>
                <w:rFonts w:eastAsia="Times New Roman"/>
                <w:szCs w:val="24"/>
                <w:lang w:eastAsia="cs-CZ"/>
              </w:rPr>
              <w:t>45,30 %</w:t>
            </w:r>
          </w:p>
        </w:tc>
        <w:tc>
          <w:tcPr>
            <w:tcW w:w="1726" w:type="dxa"/>
            <w:tcBorders>
              <w:top w:val="nil"/>
              <w:left w:val="nil"/>
              <w:bottom w:val="single" w:sz="4" w:space="0" w:color="auto"/>
              <w:right w:val="nil"/>
            </w:tcBorders>
            <w:shd w:val="clear" w:color="auto" w:fill="auto"/>
            <w:noWrap/>
            <w:vAlign w:val="center"/>
            <w:hideMark/>
          </w:tcPr>
          <w:p w14:paraId="7E8C1383" w14:textId="713D9BB3" w:rsidR="0034077E" w:rsidRPr="00730B1E" w:rsidRDefault="0034077E" w:rsidP="0034077E">
            <w:pPr>
              <w:spacing w:line="240" w:lineRule="auto"/>
              <w:jc w:val="center"/>
              <w:rPr>
                <w:rFonts w:eastAsia="Times New Roman"/>
                <w:sz w:val="20"/>
                <w:szCs w:val="20"/>
                <w:lang w:eastAsia="cs-CZ"/>
              </w:rPr>
            </w:pPr>
            <w:r w:rsidRPr="00730B1E">
              <w:rPr>
                <w:rFonts w:eastAsia="Times New Roman"/>
                <w:sz w:val="20"/>
                <w:szCs w:val="20"/>
                <w:lang w:eastAsia="cs-CZ"/>
              </w:rPr>
              <w:t>-10,8 p.b.</w:t>
            </w:r>
          </w:p>
        </w:tc>
      </w:tr>
      <w:tr w:rsidR="00B64E96" w:rsidRPr="00730B1E" w14:paraId="72BBB416" w14:textId="77777777" w:rsidTr="0034077E">
        <w:trPr>
          <w:trHeight w:val="315"/>
        </w:trPr>
        <w:tc>
          <w:tcPr>
            <w:tcW w:w="2780" w:type="dxa"/>
            <w:tcBorders>
              <w:top w:val="nil"/>
              <w:left w:val="nil"/>
              <w:bottom w:val="single" w:sz="4" w:space="0" w:color="auto"/>
              <w:right w:val="nil"/>
            </w:tcBorders>
            <w:shd w:val="clear" w:color="auto" w:fill="auto"/>
            <w:noWrap/>
            <w:vAlign w:val="bottom"/>
            <w:hideMark/>
          </w:tcPr>
          <w:p w14:paraId="3F9A74C1" w14:textId="77777777" w:rsidR="0034077E" w:rsidRPr="00730B1E" w:rsidRDefault="0034077E" w:rsidP="0034077E">
            <w:pPr>
              <w:spacing w:line="240" w:lineRule="auto"/>
              <w:jc w:val="left"/>
              <w:rPr>
                <w:rFonts w:eastAsia="Times New Roman"/>
                <w:szCs w:val="24"/>
                <w:lang w:eastAsia="cs-CZ"/>
              </w:rPr>
            </w:pPr>
            <w:r w:rsidRPr="00730B1E">
              <w:rPr>
                <w:rFonts w:eastAsia="Times New Roman"/>
                <w:szCs w:val="24"/>
                <w:lang w:eastAsia="cs-CZ"/>
              </w:rPr>
              <w:t>KS Hr. Králové</w:t>
            </w:r>
          </w:p>
        </w:tc>
        <w:tc>
          <w:tcPr>
            <w:tcW w:w="1794" w:type="dxa"/>
            <w:tcBorders>
              <w:top w:val="nil"/>
              <w:left w:val="nil"/>
              <w:bottom w:val="single" w:sz="4" w:space="0" w:color="auto"/>
              <w:right w:val="nil"/>
            </w:tcBorders>
            <w:shd w:val="clear" w:color="auto" w:fill="auto"/>
            <w:noWrap/>
            <w:vAlign w:val="bottom"/>
            <w:hideMark/>
          </w:tcPr>
          <w:p w14:paraId="237DE409" w14:textId="7B0025A4" w:rsidR="0034077E" w:rsidRPr="00730B1E" w:rsidRDefault="0034077E" w:rsidP="0034077E">
            <w:pPr>
              <w:spacing w:line="240" w:lineRule="auto"/>
              <w:jc w:val="center"/>
              <w:rPr>
                <w:rFonts w:eastAsia="Times New Roman"/>
                <w:szCs w:val="24"/>
                <w:lang w:eastAsia="cs-CZ"/>
              </w:rPr>
            </w:pPr>
            <w:r w:rsidRPr="00730B1E">
              <w:rPr>
                <w:rFonts w:eastAsia="Times New Roman"/>
                <w:szCs w:val="24"/>
                <w:lang w:eastAsia="cs-CZ"/>
              </w:rPr>
              <w:t>57,55 %</w:t>
            </w:r>
          </w:p>
        </w:tc>
        <w:tc>
          <w:tcPr>
            <w:tcW w:w="1726" w:type="dxa"/>
            <w:tcBorders>
              <w:top w:val="nil"/>
              <w:left w:val="nil"/>
              <w:bottom w:val="single" w:sz="4" w:space="0" w:color="auto"/>
              <w:right w:val="nil"/>
            </w:tcBorders>
            <w:shd w:val="clear" w:color="auto" w:fill="auto"/>
            <w:noWrap/>
            <w:vAlign w:val="center"/>
            <w:hideMark/>
          </w:tcPr>
          <w:p w14:paraId="2FA1F188" w14:textId="6C25BDBF" w:rsidR="0034077E" w:rsidRPr="00730B1E" w:rsidRDefault="0034077E" w:rsidP="0034077E">
            <w:pPr>
              <w:spacing w:line="240" w:lineRule="auto"/>
              <w:jc w:val="center"/>
              <w:rPr>
                <w:rFonts w:eastAsia="Times New Roman"/>
                <w:sz w:val="20"/>
                <w:szCs w:val="20"/>
                <w:lang w:eastAsia="cs-CZ"/>
              </w:rPr>
            </w:pPr>
            <w:r w:rsidRPr="00730B1E">
              <w:rPr>
                <w:rFonts w:eastAsia="Times New Roman"/>
                <w:sz w:val="20"/>
                <w:szCs w:val="20"/>
                <w:lang w:eastAsia="cs-CZ"/>
              </w:rPr>
              <w:t>-8,1 p.b.</w:t>
            </w:r>
          </w:p>
        </w:tc>
      </w:tr>
      <w:tr w:rsidR="00B64E96" w:rsidRPr="00730B1E" w14:paraId="5FD83EC3" w14:textId="77777777" w:rsidTr="0034077E">
        <w:trPr>
          <w:trHeight w:val="315"/>
        </w:trPr>
        <w:tc>
          <w:tcPr>
            <w:tcW w:w="2780" w:type="dxa"/>
            <w:tcBorders>
              <w:top w:val="nil"/>
              <w:left w:val="nil"/>
              <w:bottom w:val="single" w:sz="4" w:space="0" w:color="auto"/>
              <w:right w:val="nil"/>
            </w:tcBorders>
            <w:shd w:val="clear" w:color="auto" w:fill="auto"/>
            <w:noWrap/>
            <w:vAlign w:val="bottom"/>
            <w:hideMark/>
          </w:tcPr>
          <w:p w14:paraId="25F8AD59" w14:textId="77777777" w:rsidR="0034077E" w:rsidRPr="00730B1E" w:rsidRDefault="0034077E" w:rsidP="0034077E">
            <w:pPr>
              <w:spacing w:line="240" w:lineRule="auto"/>
              <w:jc w:val="left"/>
              <w:rPr>
                <w:rFonts w:eastAsia="Times New Roman"/>
                <w:szCs w:val="24"/>
                <w:lang w:eastAsia="cs-CZ"/>
              </w:rPr>
            </w:pPr>
            <w:r w:rsidRPr="00730B1E">
              <w:rPr>
                <w:rFonts w:eastAsia="Times New Roman"/>
                <w:szCs w:val="24"/>
                <w:lang w:eastAsia="cs-CZ"/>
              </w:rPr>
              <w:t>KS Brno</w:t>
            </w:r>
          </w:p>
        </w:tc>
        <w:tc>
          <w:tcPr>
            <w:tcW w:w="1794" w:type="dxa"/>
            <w:tcBorders>
              <w:top w:val="nil"/>
              <w:left w:val="nil"/>
              <w:bottom w:val="single" w:sz="4" w:space="0" w:color="auto"/>
              <w:right w:val="nil"/>
            </w:tcBorders>
            <w:shd w:val="clear" w:color="auto" w:fill="auto"/>
            <w:noWrap/>
            <w:vAlign w:val="bottom"/>
            <w:hideMark/>
          </w:tcPr>
          <w:p w14:paraId="501F04D3" w14:textId="5339D39D" w:rsidR="0034077E" w:rsidRPr="00730B1E" w:rsidRDefault="0034077E" w:rsidP="0034077E">
            <w:pPr>
              <w:spacing w:line="240" w:lineRule="auto"/>
              <w:jc w:val="center"/>
              <w:rPr>
                <w:rFonts w:eastAsia="Times New Roman"/>
                <w:szCs w:val="24"/>
                <w:lang w:eastAsia="cs-CZ"/>
              </w:rPr>
            </w:pPr>
            <w:r w:rsidRPr="00730B1E">
              <w:rPr>
                <w:rFonts w:eastAsia="Times New Roman"/>
                <w:szCs w:val="24"/>
                <w:lang w:eastAsia="cs-CZ"/>
              </w:rPr>
              <w:t>72,87 %</w:t>
            </w:r>
          </w:p>
        </w:tc>
        <w:tc>
          <w:tcPr>
            <w:tcW w:w="1726" w:type="dxa"/>
            <w:tcBorders>
              <w:top w:val="nil"/>
              <w:left w:val="nil"/>
              <w:bottom w:val="single" w:sz="4" w:space="0" w:color="auto"/>
              <w:right w:val="nil"/>
            </w:tcBorders>
            <w:shd w:val="clear" w:color="auto" w:fill="auto"/>
            <w:noWrap/>
            <w:vAlign w:val="center"/>
            <w:hideMark/>
          </w:tcPr>
          <w:p w14:paraId="5108F628" w14:textId="6E0F9128" w:rsidR="0034077E" w:rsidRPr="00730B1E" w:rsidRDefault="0034077E" w:rsidP="0034077E">
            <w:pPr>
              <w:spacing w:line="240" w:lineRule="auto"/>
              <w:jc w:val="center"/>
              <w:rPr>
                <w:rFonts w:eastAsia="Times New Roman"/>
                <w:sz w:val="20"/>
                <w:szCs w:val="20"/>
                <w:lang w:eastAsia="cs-CZ"/>
              </w:rPr>
            </w:pPr>
            <w:r w:rsidRPr="00730B1E">
              <w:rPr>
                <w:rFonts w:eastAsia="Times New Roman"/>
                <w:sz w:val="20"/>
                <w:szCs w:val="20"/>
                <w:lang w:eastAsia="cs-CZ"/>
              </w:rPr>
              <w:t>+9,3 p.b.</w:t>
            </w:r>
          </w:p>
        </w:tc>
      </w:tr>
      <w:tr w:rsidR="00B64E96" w:rsidRPr="00730B1E" w14:paraId="27772496" w14:textId="77777777" w:rsidTr="0034077E">
        <w:trPr>
          <w:trHeight w:val="330"/>
        </w:trPr>
        <w:tc>
          <w:tcPr>
            <w:tcW w:w="2780" w:type="dxa"/>
            <w:tcBorders>
              <w:top w:val="nil"/>
              <w:left w:val="nil"/>
              <w:bottom w:val="double" w:sz="6" w:space="0" w:color="auto"/>
              <w:right w:val="nil"/>
            </w:tcBorders>
            <w:shd w:val="clear" w:color="auto" w:fill="auto"/>
            <w:noWrap/>
            <w:vAlign w:val="bottom"/>
            <w:hideMark/>
          </w:tcPr>
          <w:p w14:paraId="05EC9DB4" w14:textId="77777777" w:rsidR="0034077E" w:rsidRPr="00730B1E" w:rsidRDefault="0034077E" w:rsidP="0034077E">
            <w:pPr>
              <w:spacing w:line="240" w:lineRule="auto"/>
              <w:jc w:val="left"/>
              <w:rPr>
                <w:rFonts w:eastAsia="Times New Roman"/>
                <w:szCs w:val="24"/>
                <w:lang w:eastAsia="cs-CZ"/>
              </w:rPr>
            </w:pPr>
            <w:r w:rsidRPr="00730B1E">
              <w:rPr>
                <w:rFonts w:eastAsia="Times New Roman"/>
                <w:szCs w:val="24"/>
                <w:lang w:eastAsia="cs-CZ"/>
              </w:rPr>
              <w:t>KS Ostrava</w:t>
            </w:r>
          </w:p>
        </w:tc>
        <w:tc>
          <w:tcPr>
            <w:tcW w:w="1794" w:type="dxa"/>
            <w:tcBorders>
              <w:top w:val="nil"/>
              <w:left w:val="nil"/>
              <w:bottom w:val="double" w:sz="6" w:space="0" w:color="auto"/>
              <w:right w:val="nil"/>
            </w:tcBorders>
            <w:shd w:val="clear" w:color="auto" w:fill="auto"/>
            <w:noWrap/>
            <w:vAlign w:val="bottom"/>
            <w:hideMark/>
          </w:tcPr>
          <w:p w14:paraId="616AB437" w14:textId="52999C24" w:rsidR="0034077E" w:rsidRPr="00730B1E" w:rsidRDefault="0034077E" w:rsidP="0034077E">
            <w:pPr>
              <w:spacing w:line="240" w:lineRule="auto"/>
              <w:jc w:val="center"/>
              <w:rPr>
                <w:rFonts w:eastAsia="Times New Roman"/>
                <w:szCs w:val="24"/>
                <w:lang w:eastAsia="cs-CZ"/>
              </w:rPr>
            </w:pPr>
            <w:r w:rsidRPr="00730B1E">
              <w:rPr>
                <w:rFonts w:eastAsia="Times New Roman"/>
                <w:szCs w:val="24"/>
                <w:lang w:eastAsia="cs-CZ"/>
              </w:rPr>
              <w:t>63,33 %</w:t>
            </w:r>
          </w:p>
        </w:tc>
        <w:tc>
          <w:tcPr>
            <w:tcW w:w="1726" w:type="dxa"/>
            <w:tcBorders>
              <w:top w:val="nil"/>
              <w:left w:val="nil"/>
              <w:bottom w:val="nil"/>
              <w:right w:val="nil"/>
            </w:tcBorders>
            <w:shd w:val="clear" w:color="auto" w:fill="auto"/>
            <w:noWrap/>
            <w:vAlign w:val="center"/>
            <w:hideMark/>
          </w:tcPr>
          <w:p w14:paraId="55909A2A" w14:textId="58D2AB02" w:rsidR="0034077E" w:rsidRPr="00730B1E" w:rsidRDefault="0034077E" w:rsidP="0034077E">
            <w:pPr>
              <w:spacing w:line="240" w:lineRule="auto"/>
              <w:jc w:val="center"/>
              <w:rPr>
                <w:rFonts w:eastAsia="Times New Roman"/>
                <w:sz w:val="20"/>
                <w:szCs w:val="20"/>
                <w:lang w:eastAsia="cs-CZ"/>
              </w:rPr>
            </w:pPr>
            <w:r w:rsidRPr="00730B1E">
              <w:rPr>
                <w:rFonts w:eastAsia="Times New Roman"/>
                <w:sz w:val="20"/>
                <w:szCs w:val="20"/>
                <w:lang w:eastAsia="cs-CZ"/>
              </w:rPr>
              <w:t>-0,2 p.b.</w:t>
            </w:r>
          </w:p>
        </w:tc>
      </w:tr>
      <w:tr w:rsidR="00B64E96" w:rsidRPr="00730B1E" w14:paraId="3390A788" w14:textId="77777777" w:rsidTr="0034077E">
        <w:trPr>
          <w:trHeight w:val="345"/>
        </w:trPr>
        <w:tc>
          <w:tcPr>
            <w:tcW w:w="2780" w:type="dxa"/>
            <w:tcBorders>
              <w:top w:val="nil"/>
              <w:left w:val="nil"/>
              <w:bottom w:val="double" w:sz="6" w:space="0" w:color="auto"/>
              <w:right w:val="nil"/>
            </w:tcBorders>
            <w:shd w:val="clear" w:color="auto" w:fill="auto"/>
            <w:noWrap/>
            <w:vAlign w:val="bottom"/>
            <w:hideMark/>
          </w:tcPr>
          <w:p w14:paraId="20C3547A" w14:textId="77777777" w:rsidR="0034077E" w:rsidRPr="00730B1E" w:rsidRDefault="0034077E" w:rsidP="0034077E">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94" w:type="dxa"/>
            <w:tcBorders>
              <w:top w:val="nil"/>
              <w:left w:val="nil"/>
              <w:bottom w:val="double" w:sz="6" w:space="0" w:color="auto"/>
              <w:right w:val="nil"/>
            </w:tcBorders>
            <w:shd w:val="clear" w:color="auto" w:fill="auto"/>
            <w:noWrap/>
            <w:vAlign w:val="bottom"/>
            <w:hideMark/>
          </w:tcPr>
          <w:p w14:paraId="008C98D4" w14:textId="50D11CBE" w:rsidR="0034077E" w:rsidRPr="00730B1E" w:rsidRDefault="0034077E" w:rsidP="0034077E">
            <w:pPr>
              <w:spacing w:line="240" w:lineRule="auto"/>
              <w:jc w:val="center"/>
              <w:rPr>
                <w:rFonts w:eastAsia="Times New Roman"/>
                <w:b/>
                <w:bCs/>
                <w:szCs w:val="24"/>
                <w:lang w:eastAsia="cs-CZ"/>
              </w:rPr>
            </w:pPr>
            <w:r w:rsidRPr="00730B1E">
              <w:rPr>
                <w:rFonts w:eastAsia="Times New Roman"/>
                <w:b/>
                <w:bCs/>
                <w:szCs w:val="24"/>
                <w:lang w:eastAsia="cs-CZ"/>
              </w:rPr>
              <w:t>69,71 %</w:t>
            </w:r>
          </w:p>
        </w:tc>
        <w:tc>
          <w:tcPr>
            <w:tcW w:w="1726" w:type="dxa"/>
            <w:tcBorders>
              <w:top w:val="double" w:sz="6" w:space="0" w:color="auto"/>
              <w:left w:val="nil"/>
              <w:bottom w:val="double" w:sz="6" w:space="0" w:color="auto"/>
              <w:right w:val="nil"/>
            </w:tcBorders>
            <w:shd w:val="clear" w:color="auto" w:fill="auto"/>
            <w:noWrap/>
            <w:vAlign w:val="center"/>
            <w:hideMark/>
          </w:tcPr>
          <w:p w14:paraId="2CCF9B96" w14:textId="41A40A44" w:rsidR="0034077E" w:rsidRPr="00730B1E" w:rsidRDefault="0034077E" w:rsidP="0034077E">
            <w:pPr>
              <w:spacing w:line="240" w:lineRule="auto"/>
              <w:jc w:val="center"/>
              <w:rPr>
                <w:rFonts w:eastAsia="Times New Roman"/>
                <w:b/>
                <w:bCs/>
                <w:sz w:val="20"/>
                <w:szCs w:val="20"/>
                <w:lang w:eastAsia="cs-CZ"/>
              </w:rPr>
            </w:pPr>
            <w:r w:rsidRPr="00730B1E">
              <w:rPr>
                <w:rFonts w:eastAsia="Times New Roman"/>
                <w:b/>
                <w:bCs/>
                <w:sz w:val="20"/>
                <w:szCs w:val="20"/>
                <w:lang w:eastAsia="cs-CZ"/>
              </w:rPr>
              <w:t>-1,2 p.b.</w:t>
            </w:r>
          </w:p>
        </w:tc>
      </w:tr>
      <w:tr w:rsidR="00B64E96" w:rsidRPr="00730B1E" w14:paraId="25B37DD1" w14:textId="77777777" w:rsidTr="0034077E">
        <w:trPr>
          <w:trHeight w:val="330"/>
        </w:trPr>
        <w:tc>
          <w:tcPr>
            <w:tcW w:w="2780" w:type="dxa"/>
            <w:tcBorders>
              <w:top w:val="nil"/>
              <w:left w:val="nil"/>
              <w:bottom w:val="nil"/>
              <w:right w:val="nil"/>
            </w:tcBorders>
            <w:shd w:val="clear" w:color="auto" w:fill="auto"/>
            <w:noWrap/>
            <w:vAlign w:val="bottom"/>
            <w:hideMark/>
          </w:tcPr>
          <w:p w14:paraId="4F77C9CF" w14:textId="77777777" w:rsidR="0034077E" w:rsidRPr="00730B1E" w:rsidRDefault="0034077E" w:rsidP="0034077E">
            <w:pPr>
              <w:spacing w:line="240" w:lineRule="auto"/>
              <w:jc w:val="right"/>
              <w:rPr>
                <w:rFonts w:eastAsia="Times New Roman"/>
                <w:b/>
                <w:bCs/>
                <w:sz w:val="20"/>
                <w:szCs w:val="20"/>
                <w:lang w:eastAsia="cs-CZ"/>
              </w:rPr>
            </w:pPr>
          </w:p>
        </w:tc>
        <w:tc>
          <w:tcPr>
            <w:tcW w:w="1794" w:type="dxa"/>
            <w:tcBorders>
              <w:top w:val="nil"/>
              <w:left w:val="nil"/>
              <w:bottom w:val="nil"/>
              <w:right w:val="nil"/>
            </w:tcBorders>
            <w:shd w:val="clear" w:color="auto" w:fill="auto"/>
            <w:noWrap/>
            <w:vAlign w:val="bottom"/>
            <w:hideMark/>
          </w:tcPr>
          <w:p w14:paraId="4185F1A3" w14:textId="77777777" w:rsidR="0034077E" w:rsidRPr="00DF07F3" w:rsidRDefault="0034077E" w:rsidP="0034077E">
            <w:pPr>
              <w:spacing w:line="240" w:lineRule="auto"/>
              <w:jc w:val="left"/>
              <w:rPr>
                <w:sz w:val="20"/>
              </w:rPr>
            </w:pPr>
          </w:p>
        </w:tc>
        <w:tc>
          <w:tcPr>
            <w:tcW w:w="1726" w:type="dxa"/>
            <w:tcBorders>
              <w:top w:val="nil"/>
              <w:left w:val="nil"/>
              <w:bottom w:val="nil"/>
              <w:right w:val="nil"/>
            </w:tcBorders>
            <w:shd w:val="clear" w:color="auto" w:fill="auto"/>
            <w:noWrap/>
            <w:vAlign w:val="bottom"/>
            <w:hideMark/>
          </w:tcPr>
          <w:p w14:paraId="4A93DDDF" w14:textId="77777777" w:rsidR="0034077E" w:rsidRPr="00DF07F3" w:rsidRDefault="0034077E" w:rsidP="0034077E">
            <w:pPr>
              <w:spacing w:line="240" w:lineRule="auto"/>
              <w:jc w:val="left"/>
              <w:rPr>
                <w:sz w:val="20"/>
              </w:rPr>
            </w:pPr>
          </w:p>
        </w:tc>
      </w:tr>
    </w:tbl>
    <w:p w14:paraId="72710C1F" w14:textId="70BCB2D5" w:rsidR="00952637" w:rsidRPr="00730B1E" w:rsidRDefault="00952637" w:rsidP="00952637">
      <w:r w:rsidRPr="00730B1E">
        <w:t xml:space="preserve">KS Praha nevede </w:t>
      </w:r>
      <w:r w:rsidR="00A26E6C" w:rsidRPr="00730B1E">
        <w:t xml:space="preserve">veřejné </w:t>
      </w:r>
      <w:r w:rsidRPr="00730B1E">
        <w:t>rejstřík</w:t>
      </w:r>
      <w:r w:rsidR="00A26E6C" w:rsidRPr="00730B1E">
        <w:t>y právnických a fyzických osob</w:t>
      </w:r>
      <w:r w:rsidRPr="00730B1E">
        <w:t xml:space="preserve">, a proto ani nevyřizuje věci s předmětem </w:t>
      </w:r>
      <w:r w:rsidRPr="00730B1E">
        <w:rPr>
          <w:i/>
          <w:iCs/>
        </w:rPr>
        <w:t>zrušení a jmenování likvidátora u jiných korporací (spolky, odborové organizace atd.)</w:t>
      </w:r>
      <w:r w:rsidRPr="00730B1E">
        <w:t xml:space="preserve"> a </w:t>
      </w:r>
      <w:r w:rsidRPr="00730B1E">
        <w:rPr>
          <w:i/>
          <w:iCs/>
        </w:rPr>
        <w:t xml:space="preserve">právní vztahy související se zrušením a likvidací obchodní korporace. </w:t>
      </w:r>
      <w:r w:rsidRPr="00730B1E">
        <w:t xml:space="preserve">Pro Středočeský kraj </w:t>
      </w:r>
      <w:r w:rsidR="00246C50" w:rsidRPr="00730B1E">
        <w:t>tuto agendu vyřizuje</w:t>
      </w:r>
      <w:r w:rsidRPr="00730B1E">
        <w:t xml:space="preserve"> MS Praha a zřejmě i proto (spolu s faktem, že se jedná o sídlo mnoha firem) vykazuje nejvyšší podíl těchto sporů. Čtyři z pěti obchodních věcí u tohoto soudu </w:t>
      </w:r>
      <w:r w:rsidR="00246C50" w:rsidRPr="00730B1E">
        <w:t>toti</w:t>
      </w:r>
      <w:r w:rsidR="00DF5311" w:rsidRPr="00730B1E">
        <w:t>ž</w:t>
      </w:r>
      <w:r w:rsidR="00246C50" w:rsidRPr="00730B1E">
        <w:t xml:space="preserve"> spadají do výše zmíněných kategorií</w:t>
      </w:r>
      <w:r w:rsidRPr="00730B1E">
        <w:t>. Nejnižší má tento podíl KS Ústí nad Labem – 45,30 %. Ve srovnání s loňskem zaujme KS Č</w:t>
      </w:r>
      <w:r w:rsidR="00A26E6C" w:rsidRPr="00730B1E">
        <w:t>. </w:t>
      </w:r>
      <w:r w:rsidRPr="00730B1E">
        <w:t xml:space="preserve">Budějovice, kde došlo k poklesu o 22 procentních bodů. </w:t>
      </w:r>
    </w:p>
    <w:p w14:paraId="6DEF7C25" w14:textId="77777777" w:rsidR="00952637" w:rsidRPr="00730B1E" w:rsidRDefault="00952637" w:rsidP="00DF5311">
      <w:pPr>
        <w:pStyle w:val="OdstavecASR"/>
        <w:keepNext/>
        <w:outlineLvl w:val="3"/>
        <w:rPr>
          <w:b/>
        </w:rPr>
      </w:pPr>
      <w:r w:rsidRPr="00730B1E">
        <w:rPr>
          <w:b/>
        </w:rPr>
        <w:t>Výše přiznaných nároků</w:t>
      </w:r>
    </w:p>
    <w:p w14:paraId="177A8643" w14:textId="77777777" w:rsidR="00952637" w:rsidRPr="00730B1E" w:rsidRDefault="00952637" w:rsidP="00952637">
      <w:pPr>
        <w:pStyle w:val="OdstavecASR"/>
      </w:pPr>
      <w:r w:rsidRPr="00730B1E">
        <w:t>Další tabulka zobrazuje data týkající se výše přiznaných nároků, které byly rozděleny do intervalů. Podíly jednotlivých intervalů uvádíme v procentech. Výše přiznaného nároku představuje částku, kterou soud přiznal žalobci vůči žalovanému.</w:t>
      </w:r>
    </w:p>
    <w:p w14:paraId="5AD13BAE" w14:textId="0FABB110" w:rsidR="00952637" w:rsidRPr="00730B1E" w:rsidRDefault="00952637" w:rsidP="00952637">
      <w:pPr>
        <w:pStyle w:val="Podnadpis"/>
        <w:rPr>
          <w:color w:val="auto"/>
        </w:rPr>
      </w:pPr>
      <w:bookmarkStart w:id="834" w:name="_Toc75952352"/>
      <w:bookmarkStart w:id="835" w:name="_Toc169251103"/>
      <w:bookmarkStart w:id="836" w:name="_Toc174080789"/>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46</w:t>
      </w:r>
      <w:r w:rsidRPr="00730B1E">
        <w:rPr>
          <w:color w:val="auto"/>
        </w:rPr>
        <w:fldChar w:fldCharType="end"/>
      </w:r>
      <w:r w:rsidRPr="00730B1E">
        <w:rPr>
          <w:color w:val="auto"/>
        </w:rPr>
        <w:t>: KS – výše přiznaných nároků</w:t>
      </w:r>
      <w:bookmarkEnd w:id="834"/>
      <w:r w:rsidR="00F77E72" w:rsidRPr="00730B1E">
        <w:rPr>
          <w:color w:val="auto"/>
        </w:rPr>
        <w:t>, 2023</w:t>
      </w:r>
      <w:bookmarkEnd w:id="835"/>
      <w:bookmarkEnd w:id="836"/>
    </w:p>
    <w:tbl>
      <w:tblPr>
        <w:tblW w:w="9080" w:type="dxa"/>
        <w:tblLayout w:type="fixed"/>
        <w:tblCellMar>
          <w:left w:w="70" w:type="dxa"/>
          <w:right w:w="70" w:type="dxa"/>
        </w:tblCellMar>
        <w:tblLook w:val="04A0" w:firstRow="1" w:lastRow="0" w:firstColumn="1" w:lastColumn="0" w:noHBand="0" w:noVBand="1"/>
      </w:tblPr>
      <w:tblGrid>
        <w:gridCol w:w="1960"/>
        <w:gridCol w:w="1780"/>
        <w:gridCol w:w="1780"/>
        <w:gridCol w:w="1780"/>
        <w:gridCol w:w="1780"/>
      </w:tblGrid>
      <w:tr w:rsidR="00B64E96" w:rsidRPr="00730B1E" w14:paraId="34E0A9D2" w14:textId="77777777" w:rsidTr="00DF39E6">
        <w:trPr>
          <w:trHeight w:val="330"/>
        </w:trPr>
        <w:tc>
          <w:tcPr>
            <w:tcW w:w="1960" w:type="dxa"/>
            <w:vMerge w:val="restart"/>
            <w:tcBorders>
              <w:top w:val="double" w:sz="6" w:space="0" w:color="auto"/>
              <w:left w:val="nil"/>
              <w:bottom w:val="double" w:sz="6" w:space="0" w:color="000000"/>
              <w:right w:val="nil"/>
            </w:tcBorders>
            <w:shd w:val="clear" w:color="auto" w:fill="auto"/>
            <w:noWrap/>
            <w:vAlign w:val="center"/>
            <w:hideMark/>
          </w:tcPr>
          <w:p w14:paraId="4C7C0D9D" w14:textId="77777777"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7120" w:type="dxa"/>
            <w:gridSpan w:val="4"/>
            <w:tcBorders>
              <w:top w:val="double" w:sz="6" w:space="0" w:color="auto"/>
              <w:left w:val="nil"/>
              <w:bottom w:val="nil"/>
              <w:right w:val="nil"/>
            </w:tcBorders>
            <w:shd w:val="clear" w:color="auto" w:fill="auto"/>
            <w:noWrap/>
            <w:vAlign w:val="center"/>
            <w:hideMark/>
          </w:tcPr>
          <w:p w14:paraId="4E23221E" w14:textId="77777777"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Výše přiznaného nároku v Kč</w:t>
            </w:r>
          </w:p>
        </w:tc>
      </w:tr>
      <w:tr w:rsidR="00B64E96" w:rsidRPr="00730B1E" w14:paraId="2889BA53" w14:textId="77777777" w:rsidTr="00DF39E6">
        <w:trPr>
          <w:trHeight w:val="330"/>
        </w:trPr>
        <w:tc>
          <w:tcPr>
            <w:tcW w:w="1960" w:type="dxa"/>
            <w:vMerge/>
            <w:tcBorders>
              <w:top w:val="double" w:sz="6" w:space="0" w:color="auto"/>
              <w:left w:val="nil"/>
              <w:bottom w:val="double" w:sz="6" w:space="0" w:color="000000"/>
              <w:right w:val="nil"/>
            </w:tcBorders>
            <w:vAlign w:val="center"/>
            <w:hideMark/>
          </w:tcPr>
          <w:p w14:paraId="29DFBDB9" w14:textId="77777777" w:rsidR="00172FCB" w:rsidRPr="00730B1E" w:rsidRDefault="00172FCB" w:rsidP="00172FCB">
            <w:pPr>
              <w:spacing w:line="240" w:lineRule="auto"/>
              <w:jc w:val="left"/>
              <w:rPr>
                <w:rFonts w:eastAsia="Times New Roman"/>
                <w:b/>
                <w:bCs/>
                <w:szCs w:val="24"/>
                <w:lang w:eastAsia="cs-CZ"/>
              </w:rPr>
            </w:pPr>
          </w:p>
        </w:tc>
        <w:tc>
          <w:tcPr>
            <w:tcW w:w="1780" w:type="dxa"/>
            <w:tcBorders>
              <w:top w:val="nil"/>
              <w:left w:val="nil"/>
              <w:bottom w:val="double" w:sz="6" w:space="0" w:color="auto"/>
              <w:right w:val="nil"/>
            </w:tcBorders>
            <w:shd w:val="clear" w:color="auto" w:fill="auto"/>
            <w:noWrap/>
            <w:vAlign w:val="center"/>
            <w:hideMark/>
          </w:tcPr>
          <w:p w14:paraId="077E3349" w14:textId="77777777"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1 - 20 000</w:t>
            </w:r>
          </w:p>
        </w:tc>
        <w:tc>
          <w:tcPr>
            <w:tcW w:w="1780" w:type="dxa"/>
            <w:tcBorders>
              <w:top w:val="nil"/>
              <w:left w:val="nil"/>
              <w:bottom w:val="double" w:sz="6" w:space="0" w:color="auto"/>
              <w:right w:val="nil"/>
            </w:tcBorders>
            <w:shd w:val="clear" w:color="auto" w:fill="auto"/>
            <w:noWrap/>
            <w:vAlign w:val="center"/>
            <w:hideMark/>
          </w:tcPr>
          <w:p w14:paraId="0F82192A" w14:textId="01AEEA51"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20</w:t>
            </w:r>
            <w:r w:rsidR="00623A47" w:rsidRPr="00730B1E">
              <w:rPr>
                <w:rFonts w:eastAsia="Times New Roman"/>
                <w:b/>
                <w:bCs/>
                <w:szCs w:val="24"/>
                <w:lang w:eastAsia="cs-CZ"/>
              </w:rPr>
              <w:t xml:space="preserve"> </w:t>
            </w:r>
            <w:r w:rsidRPr="00730B1E">
              <w:rPr>
                <w:rFonts w:eastAsia="Times New Roman"/>
                <w:b/>
                <w:bCs/>
                <w:szCs w:val="24"/>
                <w:lang w:eastAsia="cs-CZ"/>
              </w:rPr>
              <w:t>001 - 50 000</w:t>
            </w:r>
          </w:p>
        </w:tc>
        <w:tc>
          <w:tcPr>
            <w:tcW w:w="1780" w:type="dxa"/>
            <w:tcBorders>
              <w:top w:val="nil"/>
              <w:left w:val="nil"/>
              <w:bottom w:val="double" w:sz="6" w:space="0" w:color="auto"/>
              <w:right w:val="nil"/>
            </w:tcBorders>
            <w:shd w:val="clear" w:color="auto" w:fill="auto"/>
            <w:noWrap/>
            <w:vAlign w:val="center"/>
            <w:hideMark/>
          </w:tcPr>
          <w:p w14:paraId="0D0C2917" w14:textId="77777777"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50 001 - 100 000</w:t>
            </w:r>
          </w:p>
        </w:tc>
        <w:tc>
          <w:tcPr>
            <w:tcW w:w="1780" w:type="dxa"/>
            <w:tcBorders>
              <w:top w:val="nil"/>
              <w:left w:val="nil"/>
              <w:bottom w:val="double" w:sz="6" w:space="0" w:color="auto"/>
              <w:right w:val="nil"/>
            </w:tcBorders>
            <w:shd w:val="clear" w:color="auto" w:fill="auto"/>
            <w:noWrap/>
            <w:vAlign w:val="center"/>
            <w:hideMark/>
          </w:tcPr>
          <w:p w14:paraId="2691201D" w14:textId="77777777"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100 000 a více</w:t>
            </w:r>
          </w:p>
        </w:tc>
      </w:tr>
      <w:tr w:rsidR="00B64E96" w:rsidRPr="00730B1E" w14:paraId="01580BEF" w14:textId="77777777" w:rsidTr="00DF39E6">
        <w:trPr>
          <w:trHeight w:val="330"/>
        </w:trPr>
        <w:tc>
          <w:tcPr>
            <w:tcW w:w="1960" w:type="dxa"/>
            <w:tcBorders>
              <w:top w:val="single" w:sz="4" w:space="0" w:color="auto"/>
              <w:left w:val="nil"/>
              <w:bottom w:val="single" w:sz="4" w:space="0" w:color="auto"/>
              <w:right w:val="nil"/>
            </w:tcBorders>
            <w:shd w:val="clear" w:color="auto" w:fill="auto"/>
            <w:noWrap/>
            <w:vAlign w:val="bottom"/>
            <w:hideMark/>
          </w:tcPr>
          <w:p w14:paraId="46BDC80F" w14:textId="77777777" w:rsidR="00172FCB" w:rsidRPr="00730B1E" w:rsidRDefault="00172FCB" w:rsidP="00172FCB">
            <w:pPr>
              <w:spacing w:line="240" w:lineRule="auto"/>
              <w:jc w:val="left"/>
              <w:rPr>
                <w:rFonts w:eastAsia="Times New Roman"/>
                <w:szCs w:val="24"/>
                <w:lang w:eastAsia="cs-CZ"/>
              </w:rPr>
            </w:pPr>
            <w:r w:rsidRPr="00730B1E">
              <w:rPr>
                <w:rFonts w:eastAsia="Times New Roman"/>
                <w:szCs w:val="24"/>
                <w:lang w:eastAsia="cs-CZ"/>
              </w:rPr>
              <w:t>MS Praha</w:t>
            </w:r>
          </w:p>
        </w:tc>
        <w:tc>
          <w:tcPr>
            <w:tcW w:w="1780" w:type="dxa"/>
            <w:tcBorders>
              <w:top w:val="single" w:sz="4" w:space="0" w:color="auto"/>
              <w:left w:val="nil"/>
              <w:bottom w:val="single" w:sz="4" w:space="0" w:color="auto"/>
              <w:right w:val="nil"/>
            </w:tcBorders>
            <w:shd w:val="clear" w:color="auto" w:fill="auto"/>
            <w:noWrap/>
            <w:vAlign w:val="bottom"/>
            <w:hideMark/>
          </w:tcPr>
          <w:p w14:paraId="79B0D358" w14:textId="6E8E57E2"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12,20 %</w:t>
            </w:r>
          </w:p>
        </w:tc>
        <w:tc>
          <w:tcPr>
            <w:tcW w:w="1780" w:type="dxa"/>
            <w:tcBorders>
              <w:top w:val="single" w:sz="4" w:space="0" w:color="auto"/>
              <w:left w:val="nil"/>
              <w:bottom w:val="single" w:sz="4" w:space="0" w:color="auto"/>
              <w:right w:val="nil"/>
            </w:tcBorders>
            <w:shd w:val="clear" w:color="auto" w:fill="auto"/>
            <w:noWrap/>
            <w:vAlign w:val="bottom"/>
            <w:hideMark/>
          </w:tcPr>
          <w:p w14:paraId="0FA8C664" w14:textId="38B52943"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9,23 %</w:t>
            </w:r>
          </w:p>
        </w:tc>
        <w:tc>
          <w:tcPr>
            <w:tcW w:w="1780" w:type="dxa"/>
            <w:tcBorders>
              <w:top w:val="single" w:sz="4" w:space="0" w:color="auto"/>
              <w:left w:val="nil"/>
              <w:bottom w:val="single" w:sz="4" w:space="0" w:color="auto"/>
              <w:right w:val="nil"/>
            </w:tcBorders>
            <w:shd w:val="clear" w:color="auto" w:fill="auto"/>
            <w:noWrap/>
            <w:vAlign w:val="bottom"/>
            <w:hideMark/>
          </w:tcPr>
          <w:p w14:paraId="58CFA1B3" w14:textId="33E16558"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14,14 %</w:t>
            </w:r>
          </w:p>
        </w:tc>
        <w:tc>
          <w:tcPr>
            <w:tcW w:w="1780" w:type="dxa"/>
            <w:tcBorders>
              <w:top w:val="single" w:sz="4" w:space="0" w:color="auto"/>
              <w:left w:val="nil"/>
              <w:bottom w:val="single" w:sz="4" w:space="0" w:color="auto"/>
              <w:right w:val="nil"/>
            </w:tcBorders>
            <w:shd w:val="clear" w:color="auto" w:fill="auto"/>
            <w:noWrap/>
            <w:vAlign w:val="bottom"/>
            <w:hideMark/>
          </w:tcPr>
          <w:p w14:paraId="307B32C9" w14:textId="4B3EF9E3"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64,43 %</w:t>
            </w:r>
          </w:p>
        </w:tc>
      </w:tr>
      <w:tr w:rsidR="00B64E96" w:rsidRPr="00730B1E" w14:paraId="28A4CC8A" w14:textId="77777777" w:rsidTr="00DF39E6">
        <w:trPr>
          <w:trHeight w:val="315"/>
        </w:trPr>
        <w:tc>
          <w:tcPr>
            <w:tcW w:w="1960" w:type="dxa"/>
            <w:tcBorders>
              <w:top w:val="nil"/>
              <w:left w:val="nil"/>
              <w:bottom w:val="single" w:sz="4" w:space="0" w:color="auto"/>
              <w:right w:val="nil"/>
            </w:tcBorders>
            <w:shd w:val="clear" w:color="auto" w:fill="auto"/>
            <w:noWrap/>
            <w:vAlign w:val="bottom"/>
            <w:hideMark/>
          </w:tcPr>
          <w:p w14:paraId="29CE8B2B" w14:textId="77777777" w:rsidR="00172FCB" w:rsidRPr="00730B1E" w:rsidRDefault="00172FCB" w:rsidP="00172FCB">
            <w:pPr>
              <w:spacing w:line="240" w:lineRule="auto"/>
              <w:jc w:val="left"/>
              <w:rPr>
                <w:rFonts w:eastAsia="Times New Roman"/>
                <w:szCs w:val="24"/>
                <w:lang w:eastAsia="cs-CZ"/>
              </w:rPr>
            </w:pPr>
            <w:r w:rsidRPr="00730B1E">
              <w:rPr>
                <w:rFonts w:eastAsia="Times New Roman"/>
                <w:szCs w:val="24"/>
                <w:lang w:eastAsia="cs-CZ"/>
              </w:rPr>
              <w:t>KS Praha</w:t>
            </w:r>
          </w:p>
        </w:tc>
        <w:tc>
          <w:tcPr>
            <w:tcW w:w="1780" w:type="dxa"/>
            <w:tcBorders>
              <w:top w:val="nil"/>
              <w:left w:val="nil"/>
              <w:bottom w:val="single" w:sz="4" w:space="0" w:color="auto"/>
              <w:right w:val="nil"/>
            </w:tcBorders>
            <w:shd w:val="clear" w:color="auto" w:fill="auto"/>
            <w:noWrap/>
            <w:vAlign w:val="bottom"/>
            <w:hideMark/>
          </w:tcPr>
          <w:p w14:paraId="73BDC510" w14:textId="47A1DCCB"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26,43 %</w:t>
            </w:r>
          </w:p>
        </w:tc>
        <w:tc>
          <w:tcPr>
            <w:tcW w:w="1780" w:type="dxa"/>
            <w:tcBorders>
              <w:top w:val="nil"/>
              <w:left w:val="nil"/>
              <w:bottom w:val="single" w:sz="4" w:space="0" w:color="auto"/>
              <w:right w:val="nil"/>
            </w:tcBorders>
            <w:shd w:val="clear" w:color="auto" w:fill="auto"/>
            <w:noWrap/>
            <w:vAlign w:val="bottom"/>
            <w:hideMark/>
          </w:tcPr>
          <w:p w14:paraId="523DF75A" w14:textId="4A0ADD1A"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12,14 %</w:t>
            </w:r>
          </w:p>
        </w:tc>
        <w:tc>
          <w:tcPr>
            <w:tcW w:w="1780" w:type="dxa"/>
            <w:tcBorders>
              <w:top w:val="nil"/>
              <w:left w:val="nil"/>
              <w:bottom w:val="single" w:sz="4" w:space="0" w:color="auto"/>
              <w:right w:val="nil"/>
            </w:tcBorders>
            <w:shd w:val="clear" w:color="auto" w:fill="auto"/>
            <w:noWrap/>
            <w:vAlign w:val="bottom"/>
            <w:hideMark/>
          </w:tcPr>
          <w:p w14:paraId="2E471595" w14:textId="755D5F87"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10,00 %</w:t>
            </w:r>
          </w:p>
        </w:tc>
        <w:tc>
          <w:tcPr>
            <w:tcW w:w="1780" w:type="dxa"/>
            <w:tcBorders>
              <w:top w:val="nil"/>
              <w:left w:val="nil"/>
              <w:bottom w:val="single" w:sz="4" w:space="0" w:color="auto"/>
              <w:right w:val="nil"/>
            </w:tcBorders>
            <w:shd w:val="clear" w:color="auto" w:fill="auto"/>
            <w:noWrap/>
            <w:vAlign w:val="bottom"/>
            <w:hideMark/>
          </w:tcPr>
          <w:p w14:paraId="7813BF74" w14:textId="59B6BB91"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51,43 %</w:t>
            </w:r>
          </w:p>
        </w:tc>
      </w:tr>
      <w:tr w:rsidR="00B64E96" w:rsidRPr="00730B1E" w14:paraId="1B281F94" w14:textId="77777777" w:rsidTr="00DF39E6">
        <w:trPr>
          <w:trHeight w:val="315"/>
        </w:trPr>
        <w:tc>
          <w:tcPr>
            <w:tcW w:w="1960" w:type="dxa"/>
            <w:tcBorders>
              <w:top w:val="nil"/>
              <w:left w:val="nil"/>
              <w:bottom w:val="single" w:sz="4" w:space="0" w:color="auto"/>
              <w:right w:val="nil"/>
            </w:tcBorders>
            <w:shd w:val="clear" w:color="auto" w:fill="auto"/>
            <w:noWrap/>
            <w:vAlign w:val="bottom"/>
            <w:hideMark/>
          </w:tcPr>
          <w:p w14:paraId="5547864D" w14:textId="77777777" w:rsidR="00172FCB" w:rsidRPr="00730B1E" w:rsidRDefault="00172FCB" w:rsidP="00172FCB">
            <w:pPr>
              <w:spacing w:line="240" w:lineRule="auto"/>
              <w:jc w:val="left"/>
              <w:rPr>
                <w:rFonts w:eastAsia="Times New Roman"/>
                <w:szCs w:val="24"/>
                <w:lang w:eastAsia="cs-CZ"/>
              </w:rPr>
            </w:pPr>
            <w:r w:rsidRPr="00730B1E">
              <w:rPr>
                <w:rFonts w:eastAsia="Times New Roman"/>
                <w:szCs w:val="24"/>
                <w:lang w:eastAsia="cs-CZ"/>
              </w:rPr>
              <w:t>KS Č. Budějovice</w:t>
            </w:r>
          </w:p>
        </w:tc>
        <w:tc>
          <w:tcPr>
            <w:tcW w:w="1780" w:type="dxa"/>
            <w:tcBorders>
              <w:top w:val="nil"/>
              <w:left w:val="nil"/>
              <w:bottom w:val="single" w:sz="4" w:space="0" w:color="auto"/>
              <w:right w:val="nil"/>
            </w:tcBorders>
            <w:shd w:val="clear" w:color="auto" w:fill="auto"/>
            <w:noWrap/>
            <w:vAlign w:val="bottom"/>
            <w:hideMark/>
          </w:tcPr>
          <w:p w14:paraId="33F80C58" w14:textId="7AAB1D05"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10,53 %</w:t>
            </w:r>
          </w:p>
        </w:tc>
        <w:tc>
          <w:tcPr>
            <w:tcW w:w="1780" w:type="dxa"/>
            <w:tcBorders>
              <w:top w:val="nil"/>
              <w:left w:val="nil"/>
              <w:bottom w:val="single" w:sz="4" w:space="0" w:color="auto"/>
              <w:right w:val="nil"/>
            </w:tcBorders>
            <w:shd w:val="clear" w:color="auto" w:fill="auto"/>
            <w:noWrap/>
            <w:vAlign w:val="bottom"/>
            <w:hideMark/>
          </w:tcPr>
          <w:p w14:paraId="4DFE53AD" w14:textId="4209EE15"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0,00 %</w:t>
            </w:r>
          </w:p>
        </w:tc>
        <w:tc>
          <w:tcPr>
            <w:tcW w:w="1780" w:type="dxa"/>
            <w:tcBorders>
              <w:top w:val="nil"/>
              <w:left w:val="nil"/>
              <w:bottom w:val="single" w:sz="4" w:space="0" w:color="auto"/>
              <w:right w:val="nil"/>
            </w:tcBorders>
            <w:shd w:val="clear" w:color="auto" w:fill="auto"/>
            <w:noWrap/>
            <w:vAlign w:val="bottom"/>
            <w:hideMark/>
          </w:tcPr>
          <w:p w14:paraId="30DCE72B" w14:textId="1052EDE1"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15,79 %</w:t>
            </w:r>
          </w:p>
        </w:tc>
        <w:tc>
          <w:tcPr>
            <w:tcW w:w="1780" w:type="dxa"/>
            <w:tcBorders>
              <w:top w:val="nil"/>
              <w:left w:val="nil"/>
              <w:bottom w:val="single" w:sz="4" w:space="0" w:color="auto"/>
              <w:right w:val="nil"/>
            </w:tcBorders>
            <w:shd w:val="clear" w:color="auto" w:fill="auto"/>
            <w:noWrap/>
            <w:vAlign w:val="bottom"/>
            <w:hideMark/>
          </w:tcPr>
          <w:p w14:paraId="259D35DD" w14:textId="3FBD378D"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73,68 %</w:t>
            </w:r>
          </w:p>
        </w:tc>
      </w:tr>
      <w:tr w:rsidR="00B64E96" w:rsidRPr="00730B1E" w14:paraId="3C2C6771" w14:textId="77777777" w:rsidTr="00DF39E6">
        <w:trPr>
          <w:trHeight w:val="315"/>
        </w:trPr>
        <w:tc>
          <w:tcPr>
            <w:tcW w:w="1960" w:type="dxa"/>
            <w:tcBorders>
              <w:top w:val="nil"/>
              <w:left w:val="nil"/>
              <w:bottom w:val="single" w:sz="4" w:space="0" w:color="auto"/>
              <w:right w:val="nil"/>
            </w:tcBorders>
            <w:shd w:val="clear" w:color="auto" w:fill="auto"/>
            <w:noWrap/>
            <w:vAlign w:val="bottom"/>
            <w:hideMark/>
          </w:tcPr>
          <w:p w14:paraId="6D501E65" w14:textId="77777777" w:rsidR="00172FCB" w:rsidRPr="00730B1E" w:rsidRDefault="00172FCB" w:rsidP="00172FCB">
            <w:pPr>
              <w:spacing w:line="240" w:lineRule="auto"/>
              <w:jc w:val="left"/>
              <w:rPr>
                <w:rFonts w:eastAsia="Times New Roman"/>
                <w:szCs w:val="24"/>
                <w:lang w:eastAsia="cs-CZ"/>
              </w:rPr>
            </w:pPr>
            <w:r w:rsidRPr="00730B1E">
              <w:rPr>
                <w:rFonts w:eastAsia="Times New Roman"/>
                <w:szCs w:val="24"/>
                <w:lang w:eastAsia="cs-CZ"/>
              </w:rPr>
              <w:t>KS Plzeň</w:t>
            </w:r>
          </w:p>
        </w:tc>
        <w:tc>
          <w:tcPr>
            <w:tcW w:w="1780" w:type="dxa"/>
            <w:tcBorders>
              <w:top w:val="nil"/>
              <w:left w:val="nil"/>
              <w:bottom w:val="single" w:sz="4" w:space="0" w:color="auto"/>
              <w:right w:val="nil"/>
            </w:tcBorders>
            <w:shd w:val="clear" w:color="auto" w:fill="auto"/>
            <w:noWrap/>
            <w:vAlign w:val="bottom"/>
            <w:hideMark/>
          </w:tcPr>
          <w:p w14:paraId="35AAFA49" w14:textId="49E29DD1"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12,15 %</w:t>
            </w:r>
          </w:p>
        </w:tc>
        <w:tc>
          <w:tcPr>
            <w:tcW w:w="1780" w:type="dxa"/>
            <w:tcBorders>
              <w:top w:val="nil"/>
              <w:left w:val="nil"/>
              <w:bottom w:val="single" w:sz="4" w:space="0" w:color="auto"/>
              <w:right w:val="nil"/>
            </w:tcBorders>
            <w:shd w:val="clear" w:color="auto" w:fill="auto"/>
            <w:noWrap/>
            <w:vAlign w:val="bottom"/>
            <w:hideMark/>
          </w:tcPr>
          <w:p w14:paraId="7B508414" w14:textId="7E53DF04"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9,35 %</w:t>
            </w:r>
          </w:p>
        </w:tc>
        <w:tc>
          <w:tcPr>
            <w:tcW w:w="1780" w:type="dxa"/>
            <w:tcBorders>
              <w:top w:val="nil"/>
              <w:left w:val="nil"/>
              <w:bottom w:val="single" w:sz="4" w:space="0" w:color="auto"/>
              <w:right w:val="nil"/>
            </w:tcBorders>
            <w:shd w:val="clear" w:color="auto" w:fill="auto"/>
            <w:noWrap/>
            <w:vAlign w:val="bottom"/>
            <w:hideMark/>
          </w:tcPr>
          <w:p w14:paraId="5AE7F0FE" w14:textId="6F5555D8"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17,76 %</w:t>
            </w:r>
          </w:p>
        </w:tc>
        <w:tc>
          <w:tcPr>
            <w:tcW w:w="1780" w:type="dxa"/>
            <w:tcBorders>
              <w:top w:val="nil"/>
              <w:left w:val="nil"/>
              <w:bottom w:val="single" w:sz="4" w:space="0" w:color="auto"/>
              <w:right w:val="nil"/>
            </w:tcBorders>
            <w:shd w:val="clear" w:color="auto" w:fill="auto"/>
            <w:noWrap/>
            <w:vAlign w:val="bottom"/>
            <w:hideMark/>
          </w:tcPr>
          <w:p w14:paraId="0F1538B0" w14:textId="085F9D60"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60,75 %</w:t>
            </w:r>
          </w:p>
        </w:tc>
      </w:tr>
      <w:tr w:rsidR="00B64E96" w:rsidRPr="00730B1E" w14:paraId="6E35DD69" w14:textId="77777777" w:rsidTr="00DF39E6">
        <w:trPr>
          <w:trHeight w:val="315"/>
        </w:trPr>
        <w:tc>
          <w:tcPr>
            <w:tcW w:w="1960" w:type="dxa"/>
            <w:tcBorders>
              <w:top w:val="nil"/>
              <w:left w:val="nil"/>
              <w:bottom w:val="single" w:sz="4" w:space="0" w:color="auto"/>
              <w:right w:val="nil"/>
            </w:tcBorders>
            <w:shd w:val="clear" w:color="auto" w:fill="auto"/>
            <w:noWrap/>
            <w:vAlign w:val="bottom"/>
            <w:hideMark/>
          </w:tcPr>
          <w:p w14:paraId="0E893A0A" w14:textId="77777777" w:rsidR="00172FCB" w:rsidRPr="00730B1E" w:rsidRDefault="00172FCB" w:rsidP="00172FCB">
            <w:pPr>
              <w:spacing w:line="240" w:lineRule="auto"/>
              <w:jc w:val="left"/>
              <w:rPr>
                <w:rFonts w:eastAsia="Times New Roman"/>
                <w:szCs w:val="24"/>
                <w:lang w:eastAsia="cs-CZ"/>
              </w:rPr>
            </w:pPr>
            <w:r w:rsidRPr="00730B1E">
              <w:rPr>
                <w:rFonts w:eastAsia="Times New Roman"/>
                <w:szCs w:val="24"/>
                <w:lang w:eastAsia="cs-CZ"/>
              </w:rPr>
              <w:t>KS Ústí n. Labem</w:t>
            </w:r>
          </w:p>
        </w:tc>
        <w:tc>
          <w:tcPr>
            <w:tcW w:w="1780" w:type="dxa"/>
            <w:tcBorders>
              <w:top w:val="nil"/>
              <w:left w:val="nil"/>
              <w:bottom w:val="single" w:sz="4" w:space="0" w:color="auto"/>
              <w:right w:val="nil"/>
            </w:tcBorders>
            <w:shd w:val="clear" w:color="auto" w:fill="auto"/>
            <w:noWrap/>
            <w:vAlign w:val="bottom"/>
            <w:hideMark/>
          </w:tcPr>
          <w:p w14:paraId="418438E5" w14:textId="493B8E52"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25,34 %</w:t>
            </w:r>
          </w:p>
        </w:tc>
        <w:tc>
          <w:tcPr>
            <w:tcW w:w="1780" w:type="dxa"/>
            <w:tcBorders>
              <w:top w:val="nil"/>
              <w:left w:val="nil"/>
              <w:bottom w:val="single" w:sz="4" w:space="0" w:color="auto"/>
              <w:right w:val="nil"/>
            </w:tcBorders>
            <w:shd w:val="clear" w:color="auto" w:fill="auto"/>
            <w:noWrap/>
            <w:vAlign w:val="bottom"/>
            <w:hideMark/>
          </w:tcPr>
          <w:p w14:paraId="088789ED" w14:textId="175C0F4F"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21,92 %</w:t>
            </w:r>
          </w:p>
        </w:tc>
        <w:tc>
          <w:tcPr>
            <w:tcW w:w="1780" w:type="dxa"/>
            <w:tcBorders>
              <w:top w:val="nil"/>
              <w:left w:val="nil"/>
              <w:bottom w:val="single" w:sz="4" w:space="0" w:color="auto"/>
              <w:right w:val="nil"/>
            </w:tcBorders>
            <w:shd w:val="clear" w:color="auto" w:fill="auto"/>
            <w:noWrap/>
            <w:vAlign w:val="bottom"/>
            <w:hideMark/>
          </w:tcPr>
          <w:p w14:paraId="52C30FAE" w14:textId="1B2CE6F9"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12,33 %</w:t>
            </w:r>
          </w:p>
        </w:tc>
        <w:tc>
          <w:tcPr>
            <w:tcW w:w="1780" w:type="dxa"/>
            <w:tcBorders>
              <w:top w:val="nil"/>
              <w:left w:val="nil"/>
              <w:bottom w:val="single" w:sz="4" w:space="0" w:color="auto"/>
              <w:right w:val="nil"/>
            </w:tcBorders>
            <w:shd w:val="clear" w:color="auto" w:fill="auto"/>
            <w:noWrap/>
            <w:vAlign w:val="bottom"/>
            <w:hideMark/>
          </w:tcPr>
          <w:p w14:paraId="203D6419" w14:textId="014093F4"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40,41 %</w:t>
            </w:r>
          </w:p>
        </w:tc>
      </w:tr>
      <w:tr w:rsidR="00B64E96" w:rsidRPr="00730B1E" w14:paraId="670C62B0" w14:textId="77777777" w:rsidTr="00DF39E6">
        <w:trPr>
          <w:trHeight w:val="315"/>
        </w:trPr>
        <w:tc>
          <w:tcPr>
            <w:tcW w:w="1960" w:type="dxa"/>
            <w:tcBorders>
              <w:top w:val="nil"/>
              <w:left w:val="nil"/>
              <w:bottom w:val="single" w:sz="4" w:space="0" w:color="auto"/>
              <w:right w:val="nil"/>
            </w:tcBorders>
            <w:shd w:val="clear" w:color="auto" w:fill="auto"/>
            <w:noWrap/>
            <w:vAlign w:val="bottom"/>
            <w:hideMark/>
          </w:tcPr>
          <w:p w14:paraId="237BE62E" w14:textId="77777777" w:rsidR="00172FCB" w:rsidRPr="00730B1E" w:rsidRDefault="00172FCB" w:rsidP="00172FCB">
            <w:pPr>
              <w:spacing w:line="240" w:lineRule="auto"/>
              <w:jc w:val="left"/>
              <w:rPr>
                <w:rFonts w:eastAsia="Times New Roman"/>
                <w:szCs w:val="24"/>
                <w:lang w:eastAsia="cs-CZ"/>
              </w:rPr>
            </w:pPr>
            <w:r w:rsidRPr="00730B1E">
              <w:rPr>
                <w:rFonts w:eastAsia="Times New Roman"/>
                <w:szCs w:val="24"/>
                <w:lang w:eastAsia="cs-CZ"/>
              </w:rPr>
              <w:t>KS Hr. Králové</w:t>
            </w:r>
          </w:p>
        </w:tc>
        <w:tc>
          <w:tcPr>
            <w:tcW w:w="1780" w:type="dxa"/>
            <w:tcBorders>
              <w:top w:val="nil"/>
              <w:left w:val="nil"/>
              <w:bottom w:val="single" w:sz="4" w:space="0" w:color="auto"/>
              <w:right w:val="nil"/>
            </w:tcBorders>
            <w:shd w:val="clear" w:color="auto" w:fill="auto"/>
            <w:noWrap/>
            <w:vAlign w:val="bottom"/>
            <w:hideMark/>
          </w:tcPr>
          <w:p w14:paraId="633A2EE0" w14:textId="21E78876"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42,12 %</w:t>
            </w:r>
          </w:p>
        </w:tc>
        <w:tc>
          <w:tcPr>
            <w:tcW w:w="1780" w:type="dxa"/>
            <w:tcBorders>
              <w:top w:val="nil"/>
              <w:left w:val="nil"/>
              <w:bottom w:val="single" w:sz="4" w:space="0" w:color="auto"/>
              <w:right w:val="nil"/>
            </w:tcBorders>
            <w:shd w:val="clear" w:color="auto" w:fill="auto"/>
            <w:noWrap/>
            <w:vAlign w:val="bottom"/>
            <w:hideMark/>
          </w:tcPr>
          <w:p w14:paraId="4A25421B" w14:textId="00107A7E"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20,21 %</w:t>
            </w:r>
          </w:p>
        </w:tc>
        <w:tc>
          <w:tcPr>
            <w:tcW w:w="1780" w:type="dxa"/>
            <w:tcBorders>
              <w:top w:val="nil"/>
              <w:left w:val="nil"/>
              <w:bottom w:val="single" w:sz="4" w:space="0" w:color="auto"/>
              <w:right w:val="nil"/>
            </w:tcBorders>
            <w:shd w:val="clear" w:color="auto" w:fill="auto"/>
            <w:noWrap/>
            <w:vAlign w:val="bottom"/>
            <w:hideMark/>
          </w:tcPr>
          <w:p w14:paraId="1265F3E2" w14:textId="605C4EB1"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5,48 %</w:t>
            </w:r>
          </w:p>
        </w:tc>
        <w:tc>
          <w:tcPr>
            <w:tcW w:w="1780" w:type="dxa"/>
            <w:tcBorders>
              <w:top w:val="nil"/>
              <w:left w:val="nil"/>
              <w:bottom w:val="single" w:sz="4" w:space="0" w:color="auto"/>
              <w:right w:val="nil"/>
            </w:tcBorders>
            <w:shd w:val="clear" w:color="auto" w:fill="auto"/>
            <w:noWrap/>
            <w:vAlign w:val="bottom"/>
            <w:hideMark/>
          </w:tcPr>
          <w:p w14:paraId="6C49D20E" w14:textId="5405C64A"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32,19 %</w:t>
            </w:r>
          </w:p>
        </w:tc>
      </w:tr>
      <w:tr w:rsidR="00B64E96" w:rsidRPr="00730B1E" w14:paraId="382D8609" w14:textId="77777777" w:rsidTr="00DF39E6">
        <w:trPr>
          <w:trHeight w:val="315"/>
        </w:trPr>
        <w:tc>
          <w:tcPr>
            <w:tcW w:w="1960" w:type="dxa"/>
            <w:tcBorders>
              <w:top w:val="nil"/>
              <w:left w:val="nil"/>
              <w:bottom w:val="single" w:sz="4" w:space="0" w:color="auto"/>
              <w:right w:val="nil"/>
            </w:tcBorders>
            <w:shd w:val="clear" w:color="auto" w:fill="auto"/>
            <w:noWrap/>
            <w:vAlign w:val="bottom"/>
            <w:hideMark/>
          </w:tcPr>
          <w:p w14:paraId="6132E0AA" w14:textId="77777777" w:rsidR="00172FCB" w:rsidRPr="00730B1E" w:rsidRDefault="00172FCB" w:rsidP="00172FCB">
            <w:pPr>
              <w:spacing w:line="240" w:lineRule="auto"/>
              <w:jc w:val="left"/>
              <w:rPr>
                <w:rFonts w:eastAsia="Times New Roman"/>
                <w:szCs w:val="24"/>
                <w:lang w:eastAsia="cs-CZ"/>
              </w:rPr>
            </w:pPr>
            <w:r w:rsidRPr="00730B1E">
              <w:rPr>
                <w:rFonts w:eastAsia="Times New Roman"/>
                <w:szCs w:val="24"/>
                <w:lang w:eastAsia="cs-CZ"/>
              </w:rPr>
              <w:t>KS Brno</w:t>
            </w:r>
          </w:p>
        </w:tc>
        <w:tc>
          <w:tcPr>
            <w:tcW w:w="1780" w:type="dxa"/>
            <w:tcBorders>
              <w:top w:val="nil"/>
              <w:left w:val="nil"/>
              <w:bottom w:val="single" w:sz="4" w:space="0" w:color="auto"/>
              <w:right w:val="nil"/>
            </w:tcBorders>
            <w:shd w:val="clear" w:color="auto" w:fill="auto"/>
            <w:noWrap/>
            <w:vAlign w:val="bottom"/>
            <w:hideMark/>
          </w:tcPr>
          <w:p w14:paraId="77E1B4B8" w14:textId="7642701A"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24,19 %</w:t>
            </w:r>
          </w:p>
        </w:tc>
        <w:tc>
          <w:tcPr>
            <w:tcW w:w="1780" w:type="dxa"/>
            <w:tcBorders>
              <w:top w:val="nil"/>
              <w:left w:val="nil"/>
              <w:bottom w:val="single" w:sz="4" w:space="0" w:color="auto"/>
              <w:right w:val="nil"/>
            </w:tcBorders>
            <w:shd w:val="clear" w:color="auto" w:fill="auto"/>
            <w:noWrap/>
            <w:vAlign w:val="bottom"/>
            <w:hideMark/>
          </w:tcPr>
          <w:p w14:paraId="28DEE451" w14:textId="655AFE81"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8,84 %</w:t>
            </w:r>
          </w:p>
        </w:tc>
        <w:tc>
          <w:tcPr>
            <w:tcW w:w="1780" w:type="dxa"/>
            <w:tcBorders>
              <w:top w:val="nil"/>
              <w:left w:val="nil"/>
              <w:bottom w:val="single" w:sz="4" w:space="0" w:color="auto"/>
              <w:right w:val="nil"/>
            </w:tcBorders>
            <w:shd w:val="clear" w:color="auto" w:fill="auto"/>
            <w:noWrap/>
            <w:vAlign w:val="bottom"/>
            <w:hideMark/>
          </w:tcPr>
          <w:p w14:paraId="09E9B971" w14:textId="022ADD7A"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11,16 %</w:t>
            </w:r>
          </w:p>
        </w:tc>
        <w:tc>
          <w:tcPr>
            <w:tcW w:w="1780" w:type="dxa"/>
            <w:tcBorders>
              <w:top w:val="nil"/>
              <w:left w:val="nil"/>
              <w:bottom w:val="single" w:sz="4" w:space="0" w:color="auto"/>
              <w:right w:val="nil"/>
            </w:tcBorders>
            <w:shd w:val="clear" w:color="auto" w:fill="auto"/>
            <w:noWrap/>
            <w:vAlign w:val="bottom"/>
            <w:hideMark/>
          </w:tcPr>
          <w:p w14:paraId="667BD880" w14:textId="4CB27E6F"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55,81 %</w:t>
            </w:r>
          </w:p>
        </w:tc>
      </w:tr>
      <w:tr w:rsidR="00B64E96" w:rsidRPr="00730B1E" w14:paraId="2BE74C7B" w14:textId="77777777" w:rsidTr="00DF39E6">
        <w:trPr>
          <w:trHeight w:val="330"/>
        </w:trPr>
        <w:tc>
          <w:tcPr>
            <w:tcW w:w="1960" w:type="dxa"/>
            <w:tcBorders>
              <w:top w:val="nil"/>
              <w:left w:val="nil"/>
              <w:bottom w:val="double" w:sz="6" w:space="0" w:color="auto"/>
              <w:right w:val="nil"/>
            </w:tcBorders>
            <w:shd w:val="clear" w:color="auto" w:fill="auto"/>
            <w:noWrap/>
            <w:vAlign w:val="bottom"/>
            <w:hideMark/>
          </w:tcPr>
          <w:p w14:paraId="457BD173" w14:textId="77777777" w:rsidR="00172FCB" w:rsidRPr="00730B1E" w:rsidRDefault="00172FCB" w:rsidP="00172FCB">
            <w:pPr>
              <w:spacing w:line="240" w:lineRule="auto"/>
              <w:jc w:val="left"/>
              <w:rPr>
                <w:rFonts w:eastAsia="Times New Roman"/>
                <w:szCs w:val="24"/>
                <w:lang w:eastAsia="cs-CZ"/>
              </w:rPr>
            </w:pPr>
            <w:r w:rsidRPr="00730B1E">
              <w:rPr>
                <w:rFonts w:eastAsia="Times New Roman"/>
                <w:szCs w:val="24"/>
                <w:lang w:eastAsia="cs-CZ"/>
              </w:rPr>
              <w:t>KS Ostrava</w:t>
            </w:r>
          </w:p>
        </w:tc>
        <w:tc>
          <w:tcPr>
            <w:tcW w:w="1780" w:type="dxa"/>
            <w:tcBorders>
              <w:top w:val="nil"/>
              <w:left w:val="nil"/>
              <w:bottom w:val="double" w:sz="6" w:space="0" w:color="auto"/>
              <w:right w:val="nil"/>
            </w:tcBorders>
            <w:shd w:val="clear" w:color="auto" w:fill="auto"/>
            <w:noWrap/>
            <w:vAlign w:val="bottom"/>
            <w:hideMark/>
          </w:tcPr>
          <w:p w14:paraId="3A1EFBE0" w14:textId="596CD39F"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20,33 %</w:t>
            </w:r>
          </w:p>
        </w:tc>
        <w:tc>
          <w:tcPr>
            <w:tcW w:w="1780" w:type="dxa"/>
            <w:tcBorders>
              <w:top w:val="nil"/>
              <w:left w:val="nil"/>
              <w:bottom w:val="double" w:sz="6" w:space="0" w:color="auto"/>
              <w:right w:val="nil"/>
            </w:tcBorders>
            <w:shd w:val="clear" w:color="auto" w:fill="auto"/>
            <w:noWrap/>
            <w:vAlign w:val="bottom"/>
            <w:hideMark/>
          </w:tcPr>
          <w:p w14:paraId="51B184B5" w14:textId="682EBDA5"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18,13 %</w:t>
            </w:r>
          </w:p>
        </w:tc>
        <w:tc>
          <w:tcPr>
            <w:tcW w:w="1780" w:type="dxa"/>
            <w:tcBorders>
              <w:top w:val="nil"/>
              <w:left w:val="nil"/>
              <w:bottom w:val="double" w:sz="6" w:space="0" w:color="auto"/>
              <w:right w:val="nil"/>
            </w:tcBorders>
            <w:shd w:val="clear" w:color="auto" w:fill="auto"/>
            <w:noWrap/>
            <w:vAlign w:val="bottom"/>
            <w:hideMark/>
          </w:tcPr>
          <w:p w14:paraId="223D06C5" w14:textId="5F8AB78C"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12,09 %</w:t>
            </w:r>
          </w:p>
        </w:tc>
        <w:tc>
          <w:tcPr>
            <w:tcW w:w="1780" w:type="dxa"/>
            <w:tcBorders>
              <w:top w:val="nil"/>
              <w:left w:val="nil"/>
              <w:bottom w:val="double" w:sz="6" w:space="0" w:color="auto"/>
              <w:right w:val="nil"/>
            </w:tcBorders>
            <w:shd w:val="clear" w:color="auto" w:fill="auto"/>
            <w:noWrap/>
            <w:vAlign w:val="bottom"/>
            <w:hideMark/>
          </w:tcPr>
          <w:p w14:paraId="1A398671" w14:textId="745B3BC3" w:rsidR="00172FCB" w:rsidRPr="00730B1E" w:rsidRDefault="00172FCB" w:rsidP="00172FCB">
            <w:pPr>
              <w:spacing w:line="240" w:lineRule="auto"/>
              <w:jc w:val="center"/>
              <w:rPr>
                <w:rFonts w:eastAsia="Times New Roman"/>
                <w:szCs w:val="24"/>
                <w:lang w:eastAsia="cs-CZ"/>
              </w:rPr>
            </w:pPr>
            <w:r w:rsidRPr="00730B1E">
              <w:rPr>
                <w:rFonts w:eastAsia="Times New Roman"/>
                <w:szCs w:val="24"/>
                <w:lang w:eastAsia="cs-CZ"/>
              </w:rPr>
              <w:t>49,45 %</w:t>
            </w:r>
          </w:p>
        </w:tc>
      </w:tr>
      <w:tr w:rsidR="00B64E96" w:rsidRPr="00730B1E" w14:paraId="5A9A0D16" w14:textId="77777777" w:rsidTr="00DF39E6">
        <w:trPr>
          <w:trHeight w:val="345"/>
        </w:trPr>
        <w:tc>
          <w:tcPr>
            <w:tcW w:w="1960" w:type="dxa"/>
            <w:tcBorders>
              <w:top w:val="nil"/>
              <w:left w:val="nil"/>
              <w:bottom w:val="double" w:sz="6" w:space="0" w:color="auto"/>
              <w:right w:val="nil"/>
            </w:tcBorders>
            <w:shd w:val="clear" w:color="auto" w:fill="auto"/>
            <w:noWrap/>
            <w:vAlign w:val="bottom"/>
            <w:hideMark/>
          </w:tcPr>
          <w:p w14:paraId="636DE3B2" w14:textId="77777777" w:rsidR="00172FCB" w:rsidRPr="00730B1E" w:rsidRDefault="00172FCB" w:rsidP="00172FCB">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80" w:type="dxa"/>
            <w:tcBorders>
              <w:top w:val="nil"/>
              <w:left w:val="nil"/>
              <w:bottom w:val="double" w:sz="6" w:space="0" w:color="auto"/>
              <w:right w:val="nil"/>
            </w:tcBorders>
            <w:shd w:val="clear" w:color="auto" w:fill="auto"/>
            <w:noWrap/>
            <w:vAlign w:val="bottom"/>
            <w:hideMark/>
          </w:tcPr>
          <w:p w14:paraId="09C51BC7" w14:textId="77CF4DF7"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21,60 %</w:t>
            </w:r>
          </w:p>
        </w:tc>
        <w:tc>
          <w:tcPr>
            <w:tcW w:w="1780" w:type="dxa"/>
            <w:tcBorders>
              <w:top w:val="nil"/>
              <w:left w:val="nil"/>
              <w:bottom w:val="double" w:sz="6" w:space="0" w:color="auto"/>
              <w:right w:val="nil"/>
            </w:tcBorders>
            <w:shd w:val="clear" w:color="auto" w:fill="auto"/>
            <w:noWrap/>
            <w:vAlign w:val="bottom"/>
            <w:hideMark/>
          </w:tcPr>
          <w:p w14:paraId="69C75B49" w14:textId="7958EF58"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13,09 %</w:t>
            </w:r>
          </w:p>
        </w:tc>
        <w:tc>
          <w:tcPr>
            <w:tcW w:w="1780" w:type="dxa"/>
            <w:tcBorders>
              <w:top w:val="nil"/>
              <w:left w:val="nil"/>
              <w:bottom w:val="double" w:sz="6" w:space="0" w:color="auto"/>
              <w:right w:val="nil"/>
            </w:tcBorders>
            <w:shd w:val="clear" w:color="auto" w:fill="auto"/>
            <w:noWrap/>
            <w:vAlign w:val="bottom"/>
            <w:hideMark/>
          </w:tcPr>
          <w:p w14:paraId="2005EFFD" w14:textId="15EC6CF2"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11,90 %</w:t>
            </w:r>
          </w:p>
        </w:tc>
        <w:tc>
          <w:tcPr>
            <w:tcW w:w="1780" w:type="dxa"/>
            <w:tcBorders>
              <w:top w:val="nil"/>
              <w:left w:val="nil"/>
              <w:bottom w:val="double" w:sz="6" w:space="0" w:color="auto"/>
              <w:right w:val="nil"/>
            </w:tcBorders>
            <w:shd w:val="clear" w:color="auto" w:fill="auto"/>
            <w:noWrap/>
            <w:vAlign w:val="bottom"/>
            <w:hideMark/>
          </w:tcPr>
          <w:p w14:paraId="1ED4890A" w14:textId="1808E833" w:rsidR="00172FCB" w:rsidRPr="00730B1E" w:rsidRDefault="00172FCB" w:rsidP="00172FCB">
            <w:pPr>
              <w:spacing w:line="240" w:lineRule="auto"/>
              <w:jc w:val="center"/>
              <w:rPr>
                <w:rFonts w:eastAsia="Times New Roman"/>
                <w:b/>
                <w:bCs/>
                <w:szCs w:val="24"/>
                <w:lang w:eastAsia="cs-CZ"/>
              </w:rPr>
            </w:pPr>
            <w:r w:rsidRPr="00730B1E">
              <w:rPr>
                <w:rFonts w:eastAsia="Times New Roman"/>
                <w:b/>
                <w:bCs/>
                <w:szCs w:val="24"/>
                <w:lang w:eastAsia="cs-CZ"/>
              </w:rPr>
              <w:t>53,41 %</w:t>
            </w:r>
          </w:p>
        </w:tc>
      </w:tr>
      <w:tr w:rsidR="00B64E96" w:rsidRPr="00730B1E" w14:paraId="73B12E60" w14:textId="77777777" w:rsidTr="00DF39E6">
        <w:trPr>
          <w:trHeight w:val="330"/>
        </w:trPr>
        <w:tc>
          <w:tcPr>
            <w:tcW w:w="1960" w:type="dxa"/>
            <w:tcBorders>
              <w:top w:val="nil"/>
              <w:left w:val="nil"/>
              <w:bottom w:val="nil"/>
              <w:right w:val="nil"/>
            </w:tcBorders>
            <w:shd w:val="clear" w:color="auto" w:fill="auto"/>
            <w:noWrap/>
            <w:vAlign w:val="bottom"/>
            <w:hideMark/>
          </w:tcPr>
          <w:p w14:paraId="62F4F7A1" w14:textId="77777777" w:rsidR="00172FCB" w:rsidRPr="00730B1E" w:rsidRDefault="00172FCB" w:rsidP="00172FCB">
            <w:pPr>
              <w:spacing w:line="240" w:lineRule="auto"/>
              <w:jc w:val="center"/>
              <w:rPr>
                <w:rFonts w:eastAsia="Times New Roman"/>
                <w:b/>
                <w:bCs/>
                <w:szCs w:val="24"/>
                <w:lang w:eastAsia="cs-CZ"/>
              </w:rPr>
            </w:pPr>
          </w:p>
        </w:tc>
        <w:tc>
          <w:tcPr>
            <w:tcW w:w="1780" w:type="dxa"/>
            <w:tcBorders>
              <w:top w:val="nil"/>
              <w:left w:val="nil"/>
              <w:bottom w:val="nil"/>
              <w:right w:val="nil"/>
            </w:tcBorders>
            <w:shd w:val="clear" w:color="auto" w:fill="auto"/>
            <w:noWrap/>
            <w:vAlign w:val="bottom"/>
            <w:hideMark/>
          </w:tcPr>
          <w:p w14:paraId="6ACCD83E" w14:textId="77777777" w:rsidR="00172FCB" w:rsidRPr="00DF07F3" w:rsidRDefault="00172FCB" w:rsidP="00172FCB">
            <w:pPr>
              <w:spacing w:line="240" w:lineRule="auto"/>
              <w:jc w:val="left"/>
              <w:rPr>
                <w:sz w:val="20"/>
              </w:rPr>
            </w:pPr>
          </w:p>
        </w:tc>
        <w:tc>
          <w:tcPr>
            <w:tcW w:w="1780" w:type="dxa"/>
            <w:tcBorders>
              <w:top w:val="nil"/>
              <w:left w:val="nil"/>
              <w:bottom w:val="nil"/>
              <w:right w:val="nil"/>
            </w:tcBorders>
            <w:shd w:val="clear" w:color="auto" w:fill="auto"/>
            <w:noWrap/>
            <w:vAlign w:val="bottom"/>
            <w:hideMark/>
          </w:tcPr>
          <w:p w14:paraId="4F90ACEC" w14:textId="77777777" w:rsidR="00172FCB" w:rsidRPr="00DF07F3" w:rsidRDefault="00172FCB" w:rsidP="00172FCB">
            <w:pPr>
              <w:spacing w:line="240" w:lineRule="auto"/>
              <w:jc w:val="left"/>
              <w:rPr>
                <w:sz w:val="20"/>
              </w:rPr>
            </w:pPr>
          </w:p>
        </w:tc>
        <w:tc>
          <w:tcPr>
            <w:tcW w:w="1780" w:type="dxa"/>
            <w:tcBorders>
              <w:top w:val="nil"/>
              <w:left w:val="nil"/>
              <w:bottom w:val="nil"/>
              <w:right w:val="nil"/>
            </w:tcBorders>
            <w:shd w:val="clear" w:color="auto" w:fill="auto"/>
            <w:noWrap/>
            <w:vAlign w:val="bottom"/>
            <w:hideMark/>
          </w:tcPr>
          <w:p w14:paraId="7C46B0DF" w14:textId="77777777" w:rsidR="00172FCB" w:rsidRPr="00DF07F3" w:rsidRDefault="00172FCB" w:rsidP="00172FCB">
            <w:pPr>
              <w:spacing w:line="240" w:lineRule="auto"/>
              <w:jc w:val="left"/>
              <w:rPr>
                <w:sz w:val="20"/>
              </w:rPr>
            </w:pPr>
          </w:p>
        </w:tc>
        <w:tc>
          <w:tcPr>
            <w:tcW w:w="1780" w:type="dxa"/>
            <w:tcBorders>
              <w:top w:val="nil"/>
              <w:left w:val="nil"/>
              <w:bottom w:val="nil"/>
              <w:right w:val="nil"/>
            </w:tcBorders>
            <w:shd w:val="clear" w:color="auto" w:fill="auto"/>
            <w:noWrap/>
            <w:vAlign w:val="bottom"/>
            <w:hideMark/>
          </w:tcPr>
          <w:p w14:paraId="3EFC64BB" w14:textId="77777777" w:rsidR="00172FCB" w:rsidRPr="00DF07F3" w:rsidRDefault="00172FCB" w:rsidP="00172FCB">
            <w:pPr>
              <w:spacing w:line="240" w:lineRule="auto"/>
              <w:jc w:val="left"/>
              <w:rPr>
                <w:sz w:val="20"/>
              </w:rPr>
            </w:pPr>
          </w:p>
        </w:tc>
      </w:tr>
    </w:tbl>
    <w:p w14:paraId="6182BCD0" w14:textId="105F3331" w:rsidR="00B031BB" w:rsidRPr="00730B1E" w:rsidRDefault="00952637" w:rsidP="00B031BB">
      <w:pPr>
        <w:pStyle w:val="OdstavecASR"/>
      </w:pPr>
      <w:r w:rsidRPr="00730B1E">
        <w:t xml:space="preserve">Opět vidíme značné rozdíly mezi jednotlivými soudy. Nejvyšší nárok v průměru každoročně přiznává MS Praha, což opět plyne z obsahu vyřizované agendy. Mediánový přiznaný nárok je </w:t>
      </w:r>
      <w:r w:rsidR="00F32E71" w:rsidRPr="00730B1E">
        <w:t>200 </w:t>
      </w:r>
      <w:r w:rsidR="00172FCB" w:rsidRPr="00730B1E">
        <w:t>10</w:t>
      </w:r>
      <w:r w:rsidRPr="00730B1E">
        <w:t>1 Kč</w:t>
      </w:r>
      <w:r w:rsidR="00172FCB" w:rsidRPr="00730B1E">
        <w:t>.</w:t>
      </w:r>
      <w:r w:rsidRPr="00730B1E">
        <w:t xml:space="preserve"> </w:t>
      </w:r>
      <w:r w:rsidR="00B031BB" w:rsidRPr="00730B1E">
        <w:t>Nejmenší nároky byly jako ve většině let přiznávány u KS v Hradci Králové, kde mediánový přiznaný nárok činil 2</w:t>
      </w:r>
      <w:r w:rsidR="00172FCB" w:rsidRPr="00730B1E">
        <w:t>4</w:t>
      </w:r>
      <w:r w:rsidR="00B031BB" w:rsidRPr="00730B1E">
        <w:t xml:space="preserve"> </w:t>
      </w:r>
      <w:r w:rsidR="00172FCB" w:rsidRPr="00730B1E">
        <w:t>937</w:t>
      </w:r>
      <w:r w:rsidR="00B031BB" w:rsidRPr="00730B1E">
        <w:t xml:space="preserve"> Kč. Naprostou většinu sporů s výší přiznaného nároku do 20 000 Kč tvoří spory z autorského zákona a spory ze směnek, šeků a jiných cenných papírů.</w:t>
      </w:r>
    </w:p>
    <w:p w14:paraId="021CCC87" w14:textId="4E26F05F" w:rsidR="00952637" w:rsidRPr="00730B1E" w:rsidRDefault="00B031BB" w:rsidP="00952637">
      <w:pPr>
        <w:pStyle w:val="OdstavecASR"/>
      </w:pPr>
      <w:r w:rsidRPr="00730B1E">
        <w:lastRenderedPageBreak/>
        <w:t>Zaujme také srovnání s okresními soudy</w:t>
      </w:r>
      <w:r w:rsidR="00F32E71" w:rsidRPr="00730B1E">
        <w:t>. U</w:t>
      </w:r>
      <w:r w:rsidRPr="00730B1E">
        <w:t xml:space="preserve"> KS se logicky přiznávají výrazně vyšší částky</w:t>
      </w:r>
      <w:r w:rsidR="00F32E71" w:rsidRPr="00730B1E">
        <w:t xml:space="preserve"> – věci s </w:t>
      </w:r>
      <w:r w:rsidRPr="00730B1E">
        <w:t>výš</w:t>
      </w:r>
      <w:r w:rsidR="00F32E71" w:rsidRPr="00730B1E">
        <w:t>í</w:t>
      </w:r>
      <w:r w:rsidRPr="00730B1E">
        <w:t xml:space="preserve"> přiznaných nároků do 20 000 Kč </w:t>
      </w:r>
      <w:r w:rsidR="00F32E71" w:rsidRPr="00730B1E">
        <w:t xml:space="preserve">tam představují </w:t>
      </w:r>
      <w:r w:rsidRPr="00730B1E">
        <w:t>2</w:t>
      </w:r>
      <w:r w:rsidR="00172FCB" w:rsidRPr="00730B1E">
        <w:t>1</w:t>
      </w:r>
      <w:r w:rsidRPr="00730B1E">
        <w:t>,6</w:t>
      </w:r>
      <w:r w:rsidR="00172FCB" w:rsidRPr="00730B1E">
        <w:t>0</w:t>
      </w:r>
      <w:r w:rsidRPr="00730B1E">
        <w:t xml:space="preserve"> %, u OS to je 80,20 %. </w:t>
      </w:r>
      <w:r w:rsidR="00F32E71" w:rsidRPr="00730B1E">
        <w:t>Č</w:t>
      </w:r>
      <w:r w:rsidRPr="00730B1E">
        <w:t>ástk</w:t>
      </w:r>
      <w:r w:rsidR="00F32E71" w:rsidRPr="00730B1E">
        <w:t>y</w:t>
      </w:r>
      <w:r w:rsidRPr="00730B1E">
        <w:t xml:space="preserve"> nad 100 000 Kč </w:t>
      </w:r>
      <w:r w:rsidR="00F32E71" w:rsidRPr="00730B1E">
        <w:t xml:space="preserve">naopak představují </w:t>
      </w:r>
      <w:r w:rsidR="00172FCB" w:rsidRPr="00730B1E">
        <w:t>53</w:t>
      </w:r>
      <w:r w:rsidRPr="00730B1E">
        <w:t>,</w:t>
      </w:r>
      <w:r w:rsidR="00172FCB" w:rsidRPr="00730B1E">
        <w:t>41</w:t>
      </w:r>
      <w:r w:rsidRPr="00730B1E">
        <w:t xml:space="preserve"> % </w:t>
      </w:r>
      <w:r w:rsidR="00F32E71" w:rsidRPr="00730B1E">
        <w:t xml:space="preserve">u </w:t>
      </w:r>
      <w:r w:rsidRPr="00730B1E">
        <w:t xml:space="preserve">KS a </w:t>
      </w:r>
      <w:r w:rsidR="00F32E71" w:rsidRPr="00730B1E">
        <w:t>pouze</w:t>
      </w:r>
      <w:r w:rsidRPr="00730B1E">
        <w:t xml:space="preserve"> 5,70 % </w:t>
      </w:r>
      <w:r w:rsidR="00F32E71" w:rsidRPr="00730B1E">
        <w:t xml:space="preserve">u </w:t>
      </w:r>
      <w:r w:rsidRPr="00730B1E">
        <w:t>OS.</w:t>
      </w:r>
      <w:r w:rsidR="00172FCB" w:rsidRPr="00730B1E">
        <w:t xml:space="preserve"> Je </w:t>
      </w:r>
      <w:r w:rsidR="00F32E71" w:rsidRPr="00730B1E">
        <w:t xml:space="preserve">ale </w:t>
      </w:r>
      <w:r w:rsidR="00172FCB" w:rsidRPr="00730B1E">
        <w:t xml:space="preserve">namístě poznamenat, že </w:t>
      </w:r>
      <w:r w:rsidR="00F32E71" w:rsidRPr="00730B1E">
        <w:t xml:space="preserve">celkový </w:t>
      </w:r>
      <w:r w:rsidR="00172FCB" w:rsidRPr="00730B1E">
        <w:t xml:space="preserve">počet pozorování </w:t>
      </w:r>
      <w:r w:rsidR="00F32E71" w:rsidRPr="00730B1E">
        <w:t xml:space="preserve">u KS </w:t>
      </w:r>
      <w:r w:rsidR="00172FCB" w:rsidRPr="00730B1E">
        <w:t xml:space="preserve">po očištění </w:t>
      </w:r>
      <w:r w:rsidR="00F32E71" w:rsidRPr="00730B1E">
        <w:t xml:space="preserve">dat </w:t>
      </w:r>
      <w:r w:rsidR="00172FCB" w:rsidRPr="00730B1E">
        <w:t xml:space="preserve">není příliš </w:t>
      </w:r>
      <w:r w:rsidR="00F32E71" w:rsidRPr="00730B1E">
        <w:t>vysoký</w:t>
      </w:r>
      <w:r w:rsidR="00F77E72" w:rsidRPr="00730B1E">
        <w:t>, zvlášť u KS v Českých Budějovicích. To se projevilo i tím, že v datech není žádné pozorování s přiznanou částkou mezi 20 000 Kč a 50 000 Kč.</w:t>
      </w:r>
    </w:p>
    <w:p w14:paraId="25ADBE18" w14:textId="242C97F2" w:rsidR="00D9724B" w:rsidRPr="00730B1E" w:rsidRDefault="00D9724B" w:rsidP="00D9724B">
      <w:pPr>
        <w:pStyle w:val="OdstavecASR"/>
      </w:pPr>
      <w:r w:rsidRPr="00730B1E">
        <w:t>Částky přiznané krajskými soudy se postupně stále více přesouvaly nad hranici 100 000 Kč – klesal podíl přiznaných nároků ve všech intervalech, pouze podíl v částkách nad 100 tis. Kč rychle stoupal (z 35 % v roce 2016 na 54 % v roce 2022). Je to vidět na srovnání za posledních osm let v následující tabulce.</w:t>
      </w:r>
    </w:p>
    <w:p w14:paraId="65454F2C" w14:textId="69D2E917" w:rsidR="00172FCB" w:rsidRPr="00730B1E" w:rsidRDefault="00172FCB" w:rsidP="00172FCB">
      <w:pPr>
        <w:pStyle w:val="Titulek"/>
        <w:keepNext/>
        <w:rPr>
          <w:color w:val="auto"/>
          <w:sz w:val="24"/>
          <w:szCs w:val="24"/>
        </w:rPr>
      </w:pPr>
      <w:bookmarkStart w:id="837" w:name="_Toc75952353"/>
      <w:bookmarkStart w:id="838" w:name="_Toc169251104"/>
      <w:bookmarkStart w:id="839" w:name="_Toc174080790"/>
      <w:r w:rsidRPr="00730B1E">
        <w:rPr>
          <w:color w:val="auto"/>
          <w:sz w:val="24"/>
          <w:szCs w:val="24"/>
        </w:rPr>
        <w:t xml:space="preserve">Tabulka </w:t>
      </w:r>
      <w:r w:rsidRPr="00730B1E">
        <w:rPr>
          <w:color w:val="auto"/>
        </w:rPr>
        <w:fldChar w:fldCharType="begin"/>
      </w:r>
      <w:r w:rsidRPr="00730B1E">
        <w:rPr>
          <w:color w:val="auto"/>
          <w:sz w:val="24"/>
          <w:szCs w:val="24"/>
        </w:rPr>
        <w:instrText xml:space="preserve"> SEQ Tabulka \* ARABIC </w:instrText>
      </w:r>
      <w:r w:rsidRPr="00730B1E">
        <w:rPr>
          <w:color w:val="auto"/>
        </w:rPr>
        <w:fldChar w:fldCharType="separate"/>
      </w:r>
      <w:r w:rsidR="00056825">
        <w:rPr>
          <w:noProof/>
          <w:color w:val="auto"/>
          <w:sz w:val="24"/>
          <w:szCs w:val="24"/>
        </w:rPr>
        <w:t>47</w:t>
      </w:r>
      <w:r w:rsidRPr="00730B1E">
        <w:rPr>
          <w:color w:val="auto"/>
        </w:rPr>
        <w:fldChar w:fldCharType="end"/>
      </w:r>
      <w:r w:rsidRPr="00730B1E">
        <w:rPr>
          <w:noProof/>
          <w:color w:val="auto"/>
          <w:sz w:val="24"/>
          <w:szCs w:val="24"/>
        </w:rPr>
        <w:t>: KS – výše přiznaných nároků v letech 2016–20</w:t>
      </w:r>
      <w:bookmarkEnd w:id="837"/>
      <w:r w:rsidRPr="00730B1E">
        <w:rPr>
          <w:noProof/>
          <w:color w:val="auto"/>
          <w:sz w:val="24"/>
          <w:szCs w:val="24"/>
        </w:rPr>
        <w:t>23</w:t>
      </w:r>
      <w:bookmarkEnd w:id="838"/>
      <w:bookmarkEnd w:id="839"/>
    </w:p>
    <w:tbl>
      <w:tblPr>
        <w:tblW w:w="9000" w:type="dxa"/>
        <w:tblCellMar>
          <w:left w:w="70" w:type="dxa"/>
          <w:right w:w="70" w:type="dxa"/>
        </w:tblCellMar>
        <w:tblLook w:val="04A0" w:firstRow="1" w:lastRow="0" w:firstColumn="1" w:lastColumn="0" w:noHBand="0" w:noVBand="1"/>
      </w:tblPr>
      <w:tblGrid>
        <w:gridCol w:w="1800"/>
        <w:gridCol w:w="1800"/>
        <w:gridCol w:w="1800"/>
        <w:gridCol w:w="1800"/>
        <w:gridCol w:w="1800"/>
      </w:tblGrid>
      <w:tr w:rsidR="00B64E96" w:rsidRPr="00730B1E" w14:paraId="0196CD71" w14:textId="77777777" w:rsidTr="00DF5311">
        <w:trPr>
          <w:trHeight w:val="345"/>
        </w:trPr>
        <w:tc>
          <w:tcPr>
            <w:tcW w:w="1800" w:type="dxa"/>
            <w:tcBorders>
              <w:top w:val="double" w:sz="6" w:space="0" w:color="auto"/>
              <w:left w:val="nil"/>
              <w:bottom w:val="double" w:sz="6" w:space="0" w:color="auto"/>
              <w:right w:val="nil"/>
            </w:tcBorders>
            <w:shd w:val="clear" w:color="auto" w:fill="auto"/>
            <w:noWrap/>
            <w:vAlign w:val="center"/>
            <w:hideMark/>
          </w:tcPr>
          <w:p w14:paraId="5296B1CC" w14:textId="77777777" w:rsidR="00D9724B" w:rsidRPr="00730B1E" w:rsidRDefault="00D9724B" w:rsidP="00D9724B">
            <w:pPr>
              <w:spacing w:line="240" w:lineRule="auto"/>
              <w:jc w:val="center"/>
              <w:rPr>
                <w:rFonts w:eastAsia="Times New Roman"/>
                <w:b/>
                <w:bCs/>
                <w:szCs w:val="24"/>
                <w:lang w:eastAsia="cs-CZ"/>
              </w:rPr>
            </w:pPr>
            <w:r w:rsidRPr="00730B1E">
              <w:rPr>
                <w:rFonts w:eastAsia="Times New Roman"/>
                <w:b/>
                <w:bCs/>
                <w:szCs w:val="24"/>
                <w:lang w:eastAsia="cs-CZ"/>
              </w:rPr>
              <w:t>Rok</w:t>
            </w:r>
          </w:p>
        </w:tc>
        <w:tc>
          <w:tcPr>
            <w:tcW w:w="1800" w:type="dxa"/>
            <w:tcBorders>
              <w:top w:val="double" w:sz="6" w:space="0" w:color="auto"/>
              <w:left w:val="nil"/>
              <w:bottom w:val="double" w:sz="6" w:space="0" w:color="auto"/>
              <w:right w:val="nil"/>
            </w:tcBorders>
            <w:shd w:val="clear" w:color="auto" w:fill="auto"/>
            <w:noWrap/>
            <w:vAlign w:val="center"/>
            <w:hideMark/>
          </w:tcPr>
          <w:p w14:paraId="7A2FB80C" w14:textId="77777777" w:rsidR="00D9724B" w:rsidRPr="00730B1E" w:rsidRDefault="00D9724B" w:rsidP="00D9724B">
            <w:pPr>
              <w:spacing w:line="240" w:lineRule="auto"/>
              <w:jc w:val="center"/>
              <w:rPr>
                <w:rFonts w:eastAsia="Times New Roman"/>
                <w:b/>
                <w:bCs/>
                <w:szCs w:val="24"/>
                <w:lang w:eastAsia="cs-CZ"/>
              </w:rPr>
            </w:pPr>
            <w:r w:rsidRPr="00730B1E">
              <w:rPr>
                <w:rFonts w:eastAsia="Times New Roman"/>
                <w:b/>
                <w:bCs/>
                <w:szCs w:val="24"/>
                <w:lang w:eastAsia="cs-CZ"/>
              </w:rPr>
              <w:t>1–20 000</w:t>
            </w:r>
          </w:p>
        </w:tc>
        <w:tc>
          <w:tcPr>
            <w:tcW w:w="1800" w:type="dxa"/>
            <w:tcBorders>
              <w:top w:val="double" w:sz="6" w:space="0" w:color="auto"/>
              <w:left w:val="nil"/>
              <w:bottom w:val="double" w:sz="6" w:space="0" w:color="auto"/>
              <w:right w:val="nil"/>
            </w:tcBorders>
            <w:shd w:val="clear" w:color="auto" w:fill="auto"/>
            <w:noWrap/>
            <w:vAlign w:val="center"/>
            <w:hideMark/>
          </w:tcPr>
          <w:p w14:paraId="13B49581" w14:textId="77777777" w:rsidR="00D9724B" w:rsidRPr="00730B1E" w:rsidRDefault="00D9724B" w:rsidP="00D9724B">
            <w:pPr>
              <w:spacing w:line="240" w:lineRule="auto"/>
              <w:jc w:val="center"/>
              <w:rPr>
                <w:rFonts w:eastAsia="Times New Roman"/>
                <w:b/>
                <w:bCs/>
                <w:szCs w:val="24"/>
                <w:lang w:eastAsia="cs-CZ"/>
              </w:rPr>
            </w:pPr>
            <w:r w:rsidRPr="00730B1E">
              <w:rPr>
                <w:rFonts w:eastAsia="Times New Roman"/>
                <w:b/>
                <w:bCs/>
                <w:szCs w:val="24"/>
                <w:lang w:eastAsia="cs-CZ"/>
              </w:rPr>
              <w:t>20 001–50 000</w:t>
            </w:r>
          </w:p>
        </w:tc>
        <w:tc>
          <w:tcPr>
            <w:tcW w:w="1800" w:type="dxa"/>
            <w:tcBorders>
              <w:top w:val="double" w:sz="6" w:space="0" w:color="auto"/>
              <w:left w:val="nil"/>
              <w:bottom w:val="double" w:sz="6" w:space="0" w:color="auto"/>
              <w:right w:val="nil"/>
            </w:tcBorders>
            <w:shd w:val="clear" w:color="auto" w:fill="auto"/>
            <w:noWrap/>
            <w:vAlign w:val="center"/>
            <w:hideMark/>
          </w:tcPr>
          <w:p w14:paraId="11D83422" w14:textId="77777777" w:rsidR="00D9724B" w:rsidRPr="00730B1E" w:rsidRDefault="00D9724B" w:rsidP="00D9724B">
            <w:pPr>
              <w:spacing w:line="240" w:lineRule="auto"/>
              <w:jc w:val="center"/>
              <w:rPr>
                <w:rFonts w:eastAsia="Times New Roman"/>
                <w:b/>
                <w:bCs/>
                <w:szCs w:val="24"/>
                <w:lang w:eastAsia="cs-CZ"/>
              </w:rPr>
            </w:pPr>
            <w:r w:rsidRPr="00730B1E">
              <w:rPr>
                <w:rFonts w:eastAsia="Times New Roman"/>
                <w:b/>
                <w:bCs/>
                <w:szCs w:val="24"/>
                <w:lang w:eastAsia="cs-CZ"/>
              </w:rPr>
              <w:t>50 001–100 000</w:t>
            </w:r>
          </w:p>
        </w:tc>
        <w:tc>
          <w:tcPr>
            <w:tcW w:w="1800" w:type="dxa"/>
            <w:tcBorders>
              <w:top w:val="double" w:sz="6" w:space="0" w:color="auto"/>
              <w:left w:val="nil"/>
              <w:bottom w:val="double" w:sz="6" w:space="0" w:color="auto"/>
              <w:right w:val="nil"/>
            </w:tcBorders>
            <w:shd w:val="clear" w:color="auto" w:fill="auto"/>
            <w:noWrap/>
            <w:vAlign w:val="center"/>
            <w:hideMark/>
          </w:tcPr>
          <w:p w14:paraId="2E54ADA8" w14:textId="77777777" w:rsidR="00D9724B" w:rsidRPr="00730B1E" w:rsidRDefault="00D9724B" w:rsidP="00D9724B">
            <w:pPr>
              <w:spacing w:line="240" w:lineRule="auto"/>
              <w:jc w:val="center"/>
              <w:rPr>
                <w:rFonts w:eastAsia="Times New Roman"/>
                <w:b/>
                <w:bCs/>
                <w:szCs w:val="24"/>
                <w:lang w:eastAsia="cs-CZ"/>
              </w:rPr>
            </w:pPr>
            <w:r w:rsidRPr="00730B1E">
              <w:rPr>
                <w:rFonts w:eastAsia="Times New Roman"/>
                <w:b/>
                <w:bCs/>
                <w:szCs w:val="24"/>
                <w:lang w:eastAsia="cs-CZ"/>
              </w:rPr>
              <w:t>100 001 a více</w:t>
            </w:r>
          </w:p>
        </w:tc>
      </w:tr>
      <w:tr w:rsidR="00B64E96" w:rsidRPr="00730B1E" w14:paraId="297D5135" w14:textId="77777777" w:rsidTr="00DF5311">
        <w:trPr>
          <w:trHeight w:val="345"/>
        </w:trPr>
        <w:tc>
          <w:tcPr>
            <w:tcW w:w="1800" w:type="dxa"/>
            <w:tcBorders>
              <w:top w:val="nil"/>
              <w:left w:val="nil"/>
              <w:bottom w:val="single" w:sz="4" w:space="0" w:color="auto"/>
              <w:right w:val="nil"/>
            </w:tcBorders>
            <w:shd w:val="clear" w:color="auto" w:fill="auto"/>
            <w:noWrap/>
            <w:vAlign w:val="center"/>
            <w:hideMark/>
          </w:tcPr>
          <w:p w14:paraId="11541F80" w14:textId="7777777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2016</w:t>
            </w:r>
          </w:p>
        </w:tc>
        <w:tc>
          <w:tcPr>
            <w:tcW w:w="1800" w:type="dxa"/>
            <w:tcBorders>
              <w:top w:val="nil"/>
              <w:left w:val="nil"/>
              <w:bottom w:val="single" w:sz="4" w:space="0" w:color="auto"/>
              <w:right w:val="nil"/>
            </w:tcBorders>
            <w:shd w:val="clear" w:color="auto" w:fill="auto"/>
            <w:noWrap/>
            <w:vAlign w:val="bottom"/>
            <w:hideMark/>
          </w:tcPr>
          <w:p w14:paraId="634934DC" w14:textId="3C514708"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26,05 %</w:t>
            </w:r>
          </w:p>
        </w:tc>
        <w:tc>
          <w:tcPr>
            <w:tcW w:w="1800" w:type="dxa"/>
            <w:tcBorders>
              <w:top w:val="nil"/>
              <w:left w:val="nil"/>
              <w:bottom w:val="single" w:sz="4" w:space="0" w:color="auto"/>
              <w:right w:val="nil"/>
            </w:tcBorders>
            <w:shd w:val="clear" w:color="auto" w:fill="auto"/>
            <w:noWrap/>
            <w:vAlign w:val="bottom"/>
            <w:hideMark/>
          </w:tcPr>
          <w:p w14:paraId="0A7DCC95" w14:textId="5CCE7A78"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21,94 %</w:t>
            </w:r>
          </w:p>
        </w:tc>
        <w:tc>
          <w:tcPr>
            <w:tcW w:w="1800" w:type="dxa"/>
            <w:tcBorders>
              <w:top w:val="nil"/>
              <w:left w:val="nil"/>
              <w:bottom w:val="single" w:sz="4" w:space="0" w:color="auto"/>
              <w:right w:val="nil"/>
            </w:tcBorders>
            <w:shd w:val="clear" w:color="auto" w:fill="auto"/>
            <w:noWrap/>
            <w:vAlign w:val="bottom"/>
            <w:hideMark/>
          </w:tcPr>
          <w:p w14:paraId="171E1419" w14:textId="5F4C45E8"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17,59 %</w:t>
            </w:r>
          </w:p>
        </w:tc>
        <w:tc>
          <w:tcPr>
            <w:tcW w:w="1800" w:type="dxa"/>
            <w:tcBorders>
              <w:top w:val="nil"/>
              <w:left w:val="nil"/>
              <w:bottom w:val="single" w:sz="4" w:space="0" w:color="auto"/>
              <w:right w:val="nil"/>
            </w:tcBorders>
            <w:shd w:val="clear" w:color="auto" w:fill="auto"/>
            <w:noWrap/>
            <w:vAlign w:val="bottom"/>
            <w:hideMark/>
          </w:tcPr>
          <w:p w14:paraId="77F5BDBF" w14:textId="2A7F801B"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34,42 %</w:t>
            </w:r>
          </w:p>
        </w:tc>
      </w:tr>
      <w:tr w:rsidR="00B64E96" w:rsidRPr="00730B1E" w14:paraId="699BA6A4" w14:textId="77777777" w:rsidTr="00DF5311">
        <w:trPr>
          <w:trHeight w:val="330"/>
        </w:trPr>
        <w:tc>
          <w:tcPr>
            <w:tcW w:w="1800" w:type="dxa"/>
            <w:tcBorders>
              <w:top w:val="nil"/>
              <w:left w:val="nil"/>
              <w:bottom w:val="single" w:sz="4" w:space="0" w:color="auto"/>
              <w:right w:val="nil"/>
            </w:tcBorders>
            <w:shd w:val="clear" w:color="auto" w:fill="auto"/>
            <w:noWrap/>
            <w:vAlign w:val="center"/>
            <w:hideMark/>
          </w:tcPr>
          <w:p w14:paraId="47A12BCE" w14:textId="7777777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2017</w:t>
            </w:r>
          </w:p>
        </w:tc>
        <w:tc>
          <w:tcPr>
            <w:tcW w:w="1800" w:type="dxa"/>
            <w:tcBorders>
              <w:top w:val="nil"/>
              <w:left w:val="nil"/>
              <w:bottom w:val="single" w:sz="4" w:space="0" w:color="auto"/>
              <w:right w:val="nil"/>
            </w:tcBorders>
            <w:shd w:val="clear" w:color="auto" w:fill="auto"/>
            <w:noWrap/>
            <w:vAlign w:val="center"/>
            <w:hideMark/>
          </w:tcPr>
          <w:p w14:paraId="0D1A579A" w14:textId="70DFAE9D"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25,13 %</w:t>
            </w:r>
          </w:p>
        </w:tc>
        <w:tc>
          <w:tcPr>
            <w:tcW w:w="1800" w:type="dxa"/>
            <w:tcBorders>
              <w:top w:val="nil"/>
              <w:left w:val="nil"/>
              <w:bottom w:val="single" w:sz="4" w:space="0" w:color="auto"/>
              <w:right w:val="nil"/>
            </w:tcBorders>
            <w:shd w:val="clear" w:color="auto" w:fill="auto"/>
            <w:noWrap/>
            <w:vAlign w:val="center"/>
            <w:hideMark/>
          </w:tcPr>
          <w:p w14:paraId="469F79A6" w14:textId="7680B5AA"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18,33 %</w:t>
            </w:r>
          </w:p>
        </w:tc>
        <w:tc>
          <w:tcPr>
            <w:tcW w:w="1800" w:type="dxa"/>
            <w:tcBorders>
              <w:top w:val="nil"/>
              <w:left w:val="nil"/>
              <w:bottom w:val="single" w:sz="4" w:space="0" w:color="auto"/>
              <w:right w:val="nil"/>
            </w:tcBorders>
            <w:shd w:val="clear" w:color="auto" w:fill="auto"/>
            <w:noWrap/>
            <w:vAlign w:val="center"/>
            <w:hideMark/>
          </w:tcPr>
          <w:p w14:paraId="6F0AB2D0" w14:textId="4A40DC25"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13,13 %</w:t>
            </w:r>
          </w:p>
        </w:tc>
        <w:tc>
          <w:tcPr>
            <w:tcW w:w="1800" w:type="dxa"/>
            <w:tcBorders>
              <w:top w:val="nil"/>
              <w:left w:val="nil"/>
              <w:bottom w:val="single" w:sz="4" w:space="0" w:color="auto"/>
              <w:right w:val="nil"/>
            </w:tcBorders>
            <w:shd w:val="clear" w:color="auto" w:fill="auto"/>
            <w:noWrap/>
            <w:vAlign w:val="center"/>
            <w:hideMark/>
          </w:tcPr>
          <w:p w14:paraId="087AC9C8" w14:textId="000B9E19"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43,41 %</w:t>
            </w:r>
          </w:p>
        </w:tc>
      </w:tr>
      <w:tr w:rsidR="00B64E96" w:rsidRPr="00730B1E" w14:paraId="4B43DEF1" w14:textId="77777777" w:rsidTr="00DF5311">
        <w:trPr>
          <w:trHeight w:val="315"/>
        </w:trPr>
        <w:tc>
          <w:tcPr>
            <w:tcW w:w="1800" w:type="dxa"/>
            <w:tcBorders>
              <w:top w:val="nil"/>
              <w:left w:val="nil"/>
              <w:bottom w:val="single" w:sz="4" w:space="0" w:color="auto"/>
              <w:right w:val="nil"/>
            </w:tcBorders>
            <w:shd w:val="clear" w:color="auto" w:fill="auto"/>
            <w:noWrap/>
            <w:vAlign w:val="center"/>
            <w:hideMark/>
          </w:tcPr>
          <w:p w14:paraId="1354C922" w14:textId="7777777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2018</w:t>
            </w:r>
          </w:p>
        </w:tc>
        <w:tc>
          <w:tcPr>
            <w:tcW w:w="1800" w:type="dxa"/>
            <w:tcBorders>
              <w:top w:val="nil"/>
              <w:left w:val="nil"/>
              <w:bottom w:val="single" w:sz="4" w:space="0" w:color="auto"/>
              <w:right w:val="nil"/>
            </w:tcBorders>
            <w:shd w:val="clear" w:color="auto" w:fill="auto"/>
            <w:noWrap/>
            <w:vAlign w:val="center"/>
            <w:hideMark/>
          </w:tcPr>
          <w:p w14:paraId="36B4D1E1" w14:textId="603712D6"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23,88 %</w:t>
            </w:r>
          </w:p>
        </w:tc>
        <w:tc>
          <w:tcPr>
            <w:tcW w:w="1800" w:type="dxa"/>
            <w:tcBorders>
              <w:top w:val="nil"/>
              <w:left w:val="nil"/>
              <w:bottom w:val="single" w:sz="4" w:space="0" w:color="auto"/>
              <w:right w:val="nil"/>
            </w:tcBorders>
            <w:shd w:val="clear" w:color="auto" w:fill="auto"/>
            <w:noWrap/>
            <w:vAlign w:val="center"/>
            <w:hideMark/>
          </w:tcPr>
          <w:p w14:paraId="51E464E0" w14:textId="48FCEE5C"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16,13 %</w:t>
            </w:r>
          </w:p>
        </w:tc>
        <w:tc>
          <w:tcPr>
            <w:tcW w:w="1800" w:type="dxa"/>
            <w:tcBorders>
              <w:top w:val="nil"/>
              <w:left w:val="nil"/>
              <w:bottom w:val="single" w:sz="4" w:space="0" w:color="auto"/>
              <w:right w:val="nil"/>
            </w:tcBorders>
            <w:shd w:val="clear" w:color="auto" w:fill="auto"/>
            <w:noWrap/>
            <w:vAlign w:val="center"/>
            <w:hideMark/>
          </w:tcPr>
          <w:p w14:paraId="41FED1CC" w14:textId="027425D6"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11,47 %</w:t>
            </w:r>
          </w:p>
        </w:tc>
        <w:tc>
          <w:tcPr>
            <w:tcW w:w="1800" w:type="dxa"/>
            <w:tcBorders>
              <w:top w:val="nil"/>
              <w:left w:val="nil"/>
              <w:bottom w:val="single" w:sz="4" w:space="0" w:color="auto"/>
              <w:right w:val="nil"/>
            </w:tcBorders>
            <w:shd w:val="clear" w:color="auto" w:fill="auto"/>
            <w:noWrap/>
            <w:vAlign w:val="center"/>
            <w:hideMark/>
          </w:tcPr>
          <w:p w14:paraId="67C35294" w14:textId="68B9A143"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48,52 %</w:t>
            </w:r>
          </w:p>
        </w:tc>
      </w:tr>
      <w:tr w:rsidR="00B64E96" w:rsidRPr="00730B1E" w14:paraId="1DB50BE1" w14:textId="77777777" w:rsidTr="00DF5311">
        <w:trPr>
          <w:trHeight w:val="315"/>
        </w:trPr>
        <w:tc>
          <w:tcPr>
            <w:tcW w:w="1800" w:type="dxa"/>
            <w:tcBorders>
              <w:top w:val="nil"/>
              <w:left w:val="nil"/>
              <w:bottom w:val="nil"/>
              <w:right w:val="nil"/>
            </w:tcBorders>
            <w:shd w:val="clear" w:color="auto" w:fill="auto"/>
            <w:noWrap/>
            <w:vAlign w:val="center"/>
            <w:hideMark/>
          </w:tcPr>
          <w:p w14:paraId="05CCA1F7" w14:textId="7777777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2019</w:t>
            </w:r>
          </w:p>
        </w:tc>
        <w:tc>
          <w:tcPr>
            <w:tcW w:w="1800" w:type="dxa"/>
            <w:tcBorders>
              <w:top w:val="nil"/>
              <w:left w:val="nil"/>
              <w:bottom w:val="nil"/>
              <w:right w:val="nil"/>
            </w:tcBorders>
            <w:shd w:val="clear" w:color="auto" w:fill="auto"/>
            <w:noWrap/>
            <w:vAlign w:val="center"/>
            <w:hideMark/>
          </w:tcPr>
          <w:p w14:paraId="166E2F1D" w14:textId="42A9F064"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26,05 %</w:t>
            </w:r>
          </w:p>
        </w:tc>
        <w:tc>
          <w:tcPr>
            <w:tcW w:w="1800" w:type="dxa"/>
            <w:tcBorders>
              <w:top w:val="nil"/>
              <w:left w:val="nil"/>
              <w:bottom w:val="nil"/>
              <w:right w:val="nil"/>
            </w:tcBorders>
            <w:shd w:val="clear" w:color="auto" w:fill="auto"/>
            <w:noWrap/>
            <w:vAlign w:val="center"/>
            <w:hideMark/>
          </w:tcPr>
          <w:p w14:paraId="1C122FB9" w14:textId="758B5A8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15,80 %</w:t>
            </w:r>
          </w:p>
        </w:tc>
        <w:tc>
          <w:tcPr>
            <w:tcW w:w="1800" w:type="dxa"/>
            <w:tcBorders>
              <w:top w:val="nil"/>
              <w:left w:val="nil"/>
              <w:bottom w:val="nil"/>
              <w:right w:val="nil"/>
            </w:tcBorders>
            <w:shd w:val="clear" w:color="auto" w:fill="auto"/>
            <w:noWrap/>
            <w:vAlign w:val="center"/>
            <w:hideMark/>
          </w:tcPr>
          <w:p w14:paraId="00BD8AED" w14:textId="373F1634"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9,76 %</w:t>
            </w:r>
          </w:p>
        </w:tc>
        <w:tc>
          <w:tcPr>
            <w:tcW w:w="1800" w:type="dxa"/>
            <w:tcBorders>
              <w:top w:val="nil"/>
              <w:left w:val="nil"/>
              <w:bottom w:val="nil"/>
              <w:right w:val="nil"/>
            </w:tcBorders>
            <w:shd w:val="clear" w:color="auto" w:fill="auto"/>
            <w:noWrap/>
            <w:vAlign w:val="center"/>
            <w:hideMark/>
          </w:tcPr>
          <w:p w14:paraId="02875ADA" w14:textId="5DD2881B"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48,39 %</w:t>
            </w:r>
          </w:p>
        </w:tc>
      </w:tr>
      <w:tr w:rsidR="00B64E96" w:rsidRPr="00730B1E" w14:paraId="5904EEC8" w14:textId="77777777" w:rsidTr="00DF5311">
        <w:trPr>
          <w:trHeight w:val="315"/>
        </w:trPr>
        <w:tc>
          <w:tcPr>
            <w:tcW w:w="1800" w:type="dxa"/>
            <w:tcBorders>
              <w:top w:val="single" w:sz="4" w:space="0" w:color="auto"/>
              <w:left w:val="nil"/>
              <w:bottom w:val="single" w:sz="4" w:space="0" w:color="auto"/>
              <w:right w:val="nil"/>
            </w:tcBorders>
            <w:shd w:val="clear" w:color="auto" w:fill="auto"/>
            <w:noWrap/>
            <w:vAlign w:val="center"/>
            <w:hideMark/>
          </w:tcPr>
          <w:p w14:paraId="45957BEF" w14:textId="7777777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2020</w:t>
            </w:r>
          </w:p>
        </w:tc>
        <w:tc>
          <w:tcPr>
            <w:tcW w:w="1800" w:type="dxa"/>
            <w:tcBorders>
              <w:top w:val="single" w:sz="4" w:space="0" w:color="auto"/>
              <w:left w:val="nil"/>
              <w:bottom w:val="nil"/>
              <w:right w:val="nil"/>
            </w:tcBorders>
            <w:shd w:val="clear" w:color="auto" w:fill="auto"/>
            <w:noWrap/>
            <w:vAlign w:val="center"/>
            <w:hideMark/>
          </w:tcPr>
          <w:p w14:paraId="12C04C11" w14:textId="06E3FDFA"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26,49 %</w:t>
            </w:r>
          </w:p>
        </w:tc>
        <w:tc>
          <w:tcPr>
            <w:tcW w:w="1800" w:type="dxa"/>
            <w:tcBorders>
              <w:top w:val="single" w:sz="4" w:space="0" w:color="auto"/>
              <w:left w:val="nil"/>
              <w:bottom w:val="nil"/>
              <w:right w:val="nil"/>
            </w:tcBorders>
            <w:shd w:val="clear" w:color="auto" w:fill="auto"/>
            <w:noWrap/>
            <w:vAlign w:val="center"/>
            <w:hideMark/>
          </w:tcPr>
          <w:p w14:paraId="7632E7DD" w14:textId="6A193625"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13,49 %</w:t>
            </w:r>
          </w:p>
        </w:tc>
        <w:tc>
          <w:tcPr>
            <w:tcW w:w="1800" w:type="dxa"/>
            <w:tcBorders>
              <w:top w:val="single" w:sz="4" w:space="0" w:color="auto"/>
              <w:left w:val="nil"/>
              <w:bottom w:val="nil"/>
              <w:right w:val="nil"/>
            </w:tcBorders>
            <w:shd w:val="clear" w:color="auto" w:fill="auto"/>
            <w:noWrap/>
            <w:vAlign w:val="center"/>
            <w:hideMark/>
          </w:tcPr>
          <w:p w14:paraId="19F5F243" w14:textId="632B1345"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9,57 %</w:t>
            </w:r>
          </w:p>
        </w:tc>
        <w:tc>
          <w:tcPr>
            <w:tcW w:w="1800" w:type="dxa"/>
            <w:tcBorders>
              <w:top w:val="single" w:sz="4" w:space="0" w:color="auto"/>
              <w:left w:val="nil"/>
              <w:bottom w:val="nil"/>
              <w:right w:val="nil"/>
            </w:tcBorders>
            <w:shd w:val="clear" w:color="auto" w:fill="auto"/>
            <w:noWrap/>
            <w:vAlign w:val="center"/>
            <w:hideMark/>
          </w:tcPr>
          <w:p w14:paraId="0B5BBA40" w14:textId="3F0CFD7B"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50,44 %</w:t>
            </w:r>
          </w:p>
        </w:tc>
      </w:tr>
      <w:tr w:rsidR="00B64E96" w:rsidRPr="00730B1E" w14:paraId="02150587" w14:textId="77777777" w:rsidTr="00DF5311">
        <w:trPr>
          <w:trHeight w:val="315"/>
        </w:trPr>
        <w:tc>
          <w:tcPr>
            <w:tcW w:w="1800" w:type="dxa"/>
            <w:tcBorders>
              <w:top w:val="nil"/>
              <w:left w:val="nil"/>
              <w:bottom w:val="single" w:sz="4" w:space="0" w:color="auto"/>
              <w:right w:val="nil"/>
            </w:tcBorders>
            <w:shd w:val="clear" w:color="auto" w:fill="auto"/>
            <w:noWrap/>
            <w:vAlign w:val="center"/>
            <w:hideMark/>
          </w:tcPr>
          <w:p w14:paraId="2D495E13" w14:textId="7777777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2021</w:t>
            </w:r>
          </w:p>
        </w:tc>
        <w:tc>
          <w:tcPr>
            <w:tcW w:w="1800" w:type="dxa"/>
            <w:tcBorders>
              <w:top w:val="single" w:sz="4" w:space="0" w:color="auto"/>
              <w:left w:val="nil"/>
              <w:bottom w:val="nil"/>
              <w:right w:val="nil"/>
            </w:tcBorders>
            <w:shd w:val="clear" w:color="auto" w:fill="auto"/>
            <w:noWrap/>
            <w:vAlign w:val="center"/>
            <w:hideMark/>
          </w:tcPr>
          <w:p w14:paraId="72AADC8F" w14:textId="7682A3D4"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26,70 %</w:t>
            </w:r>
          </w:p>
        </w:tc>
        <w:tc>
          <w:tcPr>
            <w:tcW w:w="1800" w:type="dxa"/>
            <w:tcBorders>
              <w:top w:val="single" w:sz="4" w:space="0" w:color="auto"/>
              <w:left w:val="nil"/>
              <w:bottom w:val="nil"/>
              <w:right w:val="nil"/>
            </w:tcBorders>
            <w:shd w:val="clear" w:color="auto" w:fill="auto"/>
            <w:noWrap/>
            <w:vAlign w:val="center"/>
            <w:hideMark/>
          </w:tcPr>
          <w:p w14:paraId="1FDC5C1A" w14:textId="3C153B5E"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13,72 %</w:t>
            </w:r>
          </w:p>
        </w:tc>
        <w:tc>
          <w:tcPr>
            <w:tcW w:w="1800" w:type="dxa"/>
            <w:tcBorders>
              <w:top w:val="single" w:sz="4" w:space="0" w:color="auto"/>
              <w:left w:val="nil"/>
              <w:bottom w:val="nil"/>
              <w:right w:val="nil"/>
            </w:tcBorders>
            <w:shd w:val="clear" w:color="auto" w:fill="auto"/>
            <w:noWrap/>
            <w:vAlign w:val="center"/>
            <w:hideMark/>
          </w:tcPr>
          <w:p w14:paraId="63C6188D" w14:textId="4F4B9D21"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10,72 %</w:t>
            </w:r>
          </w:p>
        </w:tc>
        <w:tc>
          <w:tcPr>
            <w:tcW w:w="1800" w:type="dxa"/>
            <w:tcBorders>
              <w:top w:val="single" w:sz="4" w:space="0" w:color="auto"/>
              <w:left w:val="nil"/>
              <w:bottom w:val="nil"/>
              <w:right w:val="nil"/>
            </w:tcBorders>
            <w:shd w:val="clear" w:color="auto" w:fill="auto"/>
            <w:noWrap/>
            <w:vAlign w:val="center"/>
            <w:hideMark/>
          </w:tcPr>
          <w:p w14:paraId="41A8C186" w14:textId="4C4C035A"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48,86 %</w:t>
            </w:r>
          </w:p>
        </w:tc>
      </w:tr>
      <w:tr w:rsidR="00B64E96" w:rsidRPr="00730B1E" w14:paraId="6F5E5A20" w14:textId="77777777" w:rsidTr="00DF5311">
        <w:trPr>
          <w:trHeight w:val="315"/>
        </w:trPr>
        <w:tc>
          <w:tcPr>
            <w:tcW w:w="1800" w:type="dxa"/>
            <w:tcBorders>
              <w:top w:val="nil"/>
              <w:left w:val="nil"/>
              <w:bottom w:val="single" w:sz="4" w:space="0" w:color="auto"/>
              <w:right w:val="nil"/>
            </w:tcBorders>
            <w:shd w:val="clear" w:color="auto" w:fill="auto"/>
            <w:noWrap/>
            <w:vAlign w:val="center"/>
            <w:hideMark/>
          </w:tcPr>
          <w:p w14:paraId="7B81C955" w14:textId="7777777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2022</w:t>
            </w:r>
          </w:p>
        </w:tc>
        <w:tc>
          <w:tcPr>
            <w:tcW w:w="1800" w:type="dxa"/>
            <w:tcBorders>
              <w:top w:val="single" w:sz="4" w:space="0" w:color="auto"/>
              <w:left w:val="nil"/>
              <w:bottom w:val="nil"/>
              <w:right w:val="nil"/>
            </w:tcBorders>
            <w:shd w:val="clear" w:color="auto" w:fill="auto"/>
            <w:noWrap/>
            <w:vAlign w:val="center"/>
            <w:hideMark/>
          </w:tcPr>
          <w:p w14:paraId="3D15B20D" w14:textId="206D0628"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23,76 %</w:t>
            </w:r>
          </w:p>
        </w:tc>
        <w:tc>
          <w:tcPr>
            <w:tcW w:w="1800" w:type="dxa"/>
            <w:tcBorders>
              <w:top w:val="single" w:sz="4" w:space="0" w:color="auto"/>
              <w:left w:val="nil"/>
              <w:bottom w:val="nil"/>
              <w:right w:val="nil"/>
            </w:tcBorders>
            <w:shd w:val="clear" w:color="auto" w:fill="auto"/>
            <w:noWrap/>
            <w:vAlign w:val="center"/>
            <w:hideMark/>
          </w:tcPr>
          <w:p w14:paraId="045C63FC" w14:textId="28CC2A8A"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13,13 %</w:t>
            </w:r>
          </w:p>
        </w:tc>
        <w:tc>
          <w:tcPr>
            <w:tcW w:w="1800" w:type="dxa"/>
            <w:tcBorders>
              <w:top w:val="single" w:sz="4" w:space="0" w:color="auto"/>
              <w:left w:val="nil"/>
              <w:bottom w:val="nil"/>
              <w:right w:val="nil"/>
            </w:tcBorders>
            <w:shd w:val="clear" w:color="auto" w:fill="auto"/>
            <w:noWrap/>
            <w:vAlign w:val="center"/>
            <w:hideMark/>
          </w:tcPr>
          <w:p w14:paraId="6774640E" w14:textId="0937CCF4"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9,20 %</w:t>
            </w:r>
          </w:p>
        </w:tc>
        <w:tc>
          <w:tcPr>
            <w:tcW w:w="1800" w:type="dxa"/>
            <w:tcBorders>
              <w:top w:val="single" w:sz="4" w:space="0" w:color="auto"/>
              <w:left w:val="nil"/>
              <w:bottom w:val="nil"/>
              <w:right w:val="nil"/>
            </w:tcBorders>
            <w:shd w:val="clear" w:color="auto" w:fill="auto"/>
            <w:noWrap/>
            <w:vAlign w:val="center"/>
            <w:hideMark/>
          </w:tcPr>
          <w:p w14:paraId="772F5F0C" w14:textId="6D749C56"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53,91 %</w:t>
            </w:r>
          </w:p>
        </w:tc>
      </w:tr>
      <w:tr w:rsidR="00B64E96" w:rsidRPr="00730B1E" w14:paraId="138C7A75" w14:textId="77777777" w:rsidTr="00DF5311">
        <w:trPr>
          <w:trHeight w:val="330"/>
        </w:trPr>
        <w:tc>
          <w:tcPr>
            <w:tcW w:w="1800" w:type="dxa"/>
            <w:tcBorders>
              <w:top w:val="nil"/>
              <w:left w:val="nil"/>
              <w:bottom w:val="double" w:sz="6" w:space="0" w:color="auto"/>
              <w:right w:val="nil"/>
            </w:tcBorders>
            <w:shd w:val="clear" w:color="auto" w:fill="auto"/>
            <w:noWrap/>
            <w:vAlign w:val="bottom"/>
            <w:hideMark/>
          </w:tcPr>
          <w:p w14:paraId="11B466C1" w14:textId="77777777"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2023</w:t>
            </w:r>
          </w:p>
        </w:tc>
        <w:tc>
          <w:tcPr>
            <w:tcW w:w="1800" w:type="dxa"/>
            <w:tcBorders>
              <w:top w:val="single" w:sz="4" w:space="0" w:color="auto"/>
              <w:left w:val="nil"/>
              <w:bottom w:val="double" w:sz="6" w:space="0" w:color="auto"/>
              <w:right w:val="nil"/>
            </w:tcBorders>
            <w:shd w:val="clear" w:color="auto" w:fill="auto"/>
            <w:noWrap/>
            <w:vAlign w:val="bottom"/>
            <w:hideMark/>
          </w:tcPr>
          <w:p w14:paraId="50D6A798" w14:textId="359609E3"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21,60 %</w:t>
            </w:r>
          </w:p>
        </w:tc>
        <w:tc>
          <w:tcPr>
            <w:tcW w:w="1800" w:type="dxa"/>
            <w:tcBorders>
              <w:top w:val="single" w:sz="4" w:space="0" w:color="auto"/>
              <w:left w:val="nil"/>
              <w:bottom w:val="double" w:sz="6" w:space="0" w:color="auto"/>
              <w:right w:val="nil"/>
            </w:tcBorders>
            <w:shd w:val="clear" w:color="auto" w:fill="auto"/>
            <w:noWrap/>
            <w:vAlign w:val="bottom"/>
            <w:hideMark/>
          </w:tcPr>
          <w:p w14:paraId="55E855DF" w14:textId="7AC80412"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13,09 %</w:t>
            </w:r>
          </w:p>
        </w:tc>
        <w:tc>
          <w:tcPr>
            <w:tcW w:w="1800" w:type="dxa"/>
            <w:tcBorders>
              <w:top w:val="single" w:sz="4" w:space="0" w:color="auto"/>
              <w:left w:val="nil"/>
              <w:bottom w:val="double" w:sz="6" w:space="0" w:color="auto"/>
              <w:right w:val="nil"/>
            </w:tcBorders>
            <w:shd w:val="clear" w:color="auto" w:fill="auto"/>
            <w:noWrap/>
            <w:vAlign w:val="bottom"/>
            <w:hideMark/>
          </w:tcPr>
          <w:p w14:paraId="4D333C2E" w14:textId="50E6889A"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11,90 %</w:t>
            </w:r>
          </w:p>
        </w:tc>
        <w:tc>
          <w:tcPr>
            <w:tcW w:w="1800" w:type="dxa"/>
            <w:tcBorders>
              <w:top w:val="single" w:sz="4" w:space="0" w:color="auto"/>
              <w:left w:val="nil"/>
              <w:bottom w:val="double" w:sz="6" w:space="0" w:color="auto"/>
              <w:right w:val="nil"/>
            </w:tcBorders>
            <w:shd w:val="clear" w:color="auto" w:fill="auto"/>
            <w:noWrap/>
            <w:vAlign w:val="bottom"/>
            <w:hideMark/>
          </w:tcPr>
          <w:p w14:paraId="41988754" w14:textId="7CF6E45E" w:rsidR="00D9724B" w:rsidRPr="00730B1E" w:rsidRDefault="00D9724B" w:rsidP="00D9724B">
            <w:pPr>
              <w:spacing w:line="240" w:lineRule="auto"/>
              <w:jc w:val="center"/>
              <w:rPr>
                <w:rFonts w:eastAsia="Times New Roman"/>
                <w:szCs w:val="24"/>
                <w:lang w:eastAsia="cs-CZ"/>
              </w:rPr>
            </w:pPr>
            <w:r w:rsidRPr="00730B1E">
              <w:rPr>
                <w:rFonts w:eastAsia="Times New Roman"/>
                <w:szCs w:val="24"/>
                <w:lang w:eastAsia="cs-CZ"/>
              </w:rPr>
              <w:t>53,41 %</w:t>
            </w:r>
          </w:p>
        </w:tc>
      </w:tr>
      <w:tr w:rsidR="00D9724B" w:rsidRPr="00730B1E" w14:paraId="0E13026F" w14:textId="77777777" w:rsidTr="00D9724B">
        <w:trPr>
          <w:trHeight w:val="345"/>
        </w:trPr>
        <w:tc>
          <w:tcPr>
            <w:tcW w:w="1800" w:type="dxa"/>
            <w:tcBorders>
              <w:top w:val="nil"/>
              <w:left w:val="nil"/>
              <w:bottom w:val="nil"/>
              <w:right w:val="nil"/>
            </w:tcBorders>
            <w:shd w:val="clear" w:color="auto" w:fill="auto"/>
            <w:noWrap/>
            <w:vAlign w:val="bottom"/>
            <w:hideMark/>
          </w:tcPr>
          <w:p w14:paraId="0F42A549" w14:textId="77777777" w:rsidR="00D9724B" w:rsidRPr="00730B1E" w:rsidRDefault="00D9724B" w:rsidP="00D9724B">
            <w:pPr>
              <w:spacing w:line="240" w:lineRule="auto"/>
              <w:jc w:val="center"/>
              <w:rPr>
                <w:rFonts w:eastAsia="Times New Roman"/>
                <w:szCs w:val="24"/>
                <w:lang w:eastAsia="cs-CZ"/>
              </w:rPr>
            </w:pPr>
          </w:p>
        </w:tc>
        <w:tc>
          <w:tcPr>
            <w:tcW w:w="1800" w:type="dxa"/>
            <w:tcBorders>
              <w:top w:val="nil"/>
              <w:left w:val="nil"/>
              <w:bottom w:val="nil"/>
              <w:right w:val="nil"/>
            </w:tcBorders>
            <w:shd w:val="clear" w:color="auto" w:fill="auto"/>
            <w:noWrap/>
            <w:vAlign w:val="bottom"/>
            <w:hideMark/>
          </w:tcPr>
          <w:p w14:paraId="0ACB9FA3" w14:textId="77777777" w:rsidR="00D9724B" w:rsidRPr="00DF07F3" w:rsidRDefault="00D9724B" w:rsidP="00D9724B">
            <w:pPr>
              <w:spacing w:line="240" w:lineRule="auto"/>
              <w:jc w:val="left"/>
              <w:rPr>
                <w:sz w:val="20"/>
              </w:rPr>
            </w:pPr>
          </w:p>
        </w:tc>
        <w:tc>
          <w:tcPr>
            <w:tcW w:w="1800" w:type="dxa"/>
            <w:tcBorders>
              <w:top w:val="nil"/>
              <w:left w:val="nil"/>
              <w:bottom w:val="nil"/>
              <w:right w:val="nil"/>
            </w:tcBorders>
            <w:shd w:val="clear" w:color="auto" w:fill="auto"/>
            <w:noWrap/>
            <w:vAlign w:val="bottom"/>
            <w:hideMark/>
          </w:tcPr>
          <w:p w14:paraId="40B7F9F2" w14:textId="77777777" w:rsidR="00D9724B" w:rsidRPr="00DF07F3" w:rsidRDefault="00D9724B" w:rsidP="00D9724B">
            <w:pPr>
              <w:spacing w:line="240" w:lineRule="auto"/>
              <w:jc w:val="left"/>
              <w:rPr>
                <w:sz w:val="20"/>
              </w:rPr>
            </w:pPr>
          </w:p>
        </w:tc>
        <w:tc>
          <w:tcPr>
            <w:tcW w:w="1800" w:type="dxa"/>
            <w:tcBorders>
              <w:top w:val="nil"/>
              <w:left w:val="nil"/>
              <w:bottom w:val="nil"/>
              <w:right w:val="nil"/>
            </w:tcBorders>
            <w:shd w:val="clear" w:color="auto" w:fill="auto"/>
            <w:noWrap/>
            <w:vAlign w:val="bottom"/>
            <w:hideMark/>
          </w:tcPr>
          <w:p w14:paraId="6CFC888F" w14:textId="77777777" w:rsidR="00D9724B" w:rsidRPr="00DF07F3" w:rsidRDefault="00D9724B" w:rsidP="00D9724B">
            <w:pPr>
              <w:spacing w:line="240" w:lineRule="auto"/>
              <w:jc w:val="left"/>
              <w:rPr>
                <w:sz w:val="20"/>
              </w:rPr>
            </w:pPr>
          </w:p>
        </w:tc>
        <w:tc>
          <w:tcPr>
            <w:tcW w:w="1800" w:type="dxa"/>
            <w:tcBorders>
              <w:top w:val="nil"/>
              <w:left w:val="nil"/>
              <w:bottom w:val="nil"/>
              <w:right w:val="nil"/>
            </w:tcBorders>
            <w:shd w:val="clear" w:color="auto" w:fill="auto"/>
            <w:noWrap/>
            <w:vAlign w:val="bottom"/>
            <w:hideMark/>
          </w:tcPr>
          <w:p w14:paraId="2F0FD960" w14:textId="77777777" w:rsidR="00D9724B" w:rsidRPr="00DF07F3" w:rsidRDefault="00D9724B" w:rsidP="00D9724B">
            <w:pPr>
              <w:spacing w:line="240" w:lineRule="auto"/>
              <w:jc w:val="left"/>
              <w:rPr>
                <w:sz w:val="20"/>
              </w:rPr>
            </w:pPr>
          </w:p>
        </w:tc>
      </w:tr>
    </w:tbl>
    <w:p w14:paraId="75B36794" w14:textId="77777777" w:rsidR="00766F1D" w:rsidRPr="00730B1E" w:rsidRDefault="00766F1D" w:rsidP="00F77E72">
      <w:pPr>
        <w:pStyle w:val="OdstavecASR"/>
      </w:pPr>
    </w:p>
    <w:p w14:paraId="550AFBA1" w14:textId="6409171F" w:rsidR="008430BD" w:rsidRPr="00730B1E" w:rsidRDefault="008430BD" w:rsidP="00687F42">
      <w:pPr>
        <w:pStyle w:val="Nadpis2"/>
        <w:pageBreakBefore/>
        <w:numPr>
          <w:ilvl w:val="1"/>
          <w:numId w:val="1"/>
        </w:numPr>
        <w:spacing w:before="120"/>
        <w:ind w:left="578" w:hanging="578"/>
        <w:rPr>
          <w:color w:val="auto"/>
        </w:rPr>
      </w:pPr>
      <w:bookmarkStart w:id="840" w:name="_Toc515871253"/>
      <w:bookmarkStart w:id="841" w:name="_Toc106092758"/>
      <w:bookmarkStart w:id="842" w:name="_Toc169250834"/>
      <w:bookmarkStart w:id="843" w:name="_Toc174080870"/>
      <w:r w:rsidRPr="00730B1E">
        <w:rPr>
          <w:color w:val="auto"/>
        </w:rPr>
        <w:lastRenderedPageBreak/>
        <w:t>Civilní odvolací agenda</w:t>
      </w:r>
      <w:bookmarkEnd w:id="840"/>
      <w:bookmarkEnd w:id="841"/>
      <w:bookmarkEnd w:id="842"/>
      <w:bookmarkEnd w:id="843"/>
    </w:p>
    <w:p w14:paraId="66D1D3FA" w14:textId="0204F8E3" w:rsidR="00D9724B" w:rsidRPr="00730B1E" w:rsidRDefault="00D9724B" w:rsidP="00D9724B">
      <w:pPr>
        <w:pStyle w:val="OdstavecASR"/>
      </w:pPr>
      <w:r w:rsidRPr="00730B1E">
        <w:t>Odvolací civilní agenda je ve výkazech vedena pod označením Co a zahrnuje širokou škálu věcí. Jedná se o všechny druhy civilního řízení, ve kterých bylo podáno odvolání proti rozhodnutí soudů prvního stupně, včetně odvolání proti rozhodnutí soudního exekutora. Do agendy Co tedy spadají i odvolání ve věcech, které nejsou v kapitolách </w:t>
      </w:r>
      <w:r w:rsidRPr="00730B1E">
        <w:fldChar w:fldCharType="begin"/>
      </w:r>
      <w:r w:rsidRPr="00730B1E">
        <w:instrText xml:space="preserve"> REF _Ref9425277 \r \h  \* MERGEFORMAT </w:instrText>
      </w:r>
      <w:r w:rsidRPr="00730B1E">
        <w:fldChar w:fldCharType="separate"/>
      </w:r>
      <w:r w:rsidR="00056825">
        <w:t>2.2</w:t>
      </w:r>
      <w:r w:rsidRPr="00730B1E">
        <w:fldChar w:fldCharType="end"/>
      </w:r>
      <w:r w:rsidRPr="00730B1E">
        <w:t xml:space="preserve"> a </w:t>
      </w:r>
      <w:r w:rsidR="001641F3" w:rsidRPr="00730B1E">
        <w:t>2.4</w:t>
      </w:r>
      <w:r w:rsidRPr="00730B1E">
        <w:t xml:space="preserve"> zahrnuty. Podkapitoly, které se zabývají vyřizováním věcí a DT, zkoumají celý rejstřík Co. U délky řízení to není možné, protože do statistických listů jsou zaneseny pouze pravomocně skončené věci v hlavních agendách. Uvedené délky řízení se tedy týkají pouze věcí agendy C u okresních soudů, v nichž bylo podáno odvolání. Data byla očištěna stejným způsobem jako u civilní agendy u okresních soudů. Data ze statistických listů se týkají pouze odvolání, která byla podána v meritu věci.</w:t>
      </w:r>
    </w:p>
    <w:p w14:paraId="07AA639E" w14:textId="77777777" w:rsidR="005F5C4B" w:rsidRPr="00730B1E" w:rsidRDefault="005F5C4B" w:rsidP="005F5C4B">
      <w:pPr>
        <w:pStyle w:val="Nadpis3"/>
        <w:numPr>
          <w:ilvl w:val="2"/>
          <w:numId w:val="1"/>
        </w:numPr>
        <w:rPr>
          <w:color w:val="auto"/>
        </w:rPr>
      </w:pPr>
      <w:bookmarkStart w:id="844" w:name="_Toc109801370"/>
      <w:bookmarkStart w:id="845" w:name="_Toc169250835"/>
      <w:bookmarkStart w:id="846" w:name="_Toc174080871"/>
      <w:r w:rsidRPr="00730B1E">
        <w:rPr>
          <w:color w:val="auto"/>
        </w:rPr>
        <w:t>Délka řízení</w:t>
      </w:r>
      <w:bookmarkEnd w:id="844"/>
      <w:bookmarkEnd w:id="845"/>
      <w:bookmarkEnd w:id="846"/>
    </w:p>
    <w:p w14:paraId="2854A364" w14:textId="0F0E2DB2" w:rsidR="00C93EA2" w:rsidRPr="00730B1E" w:rsidRDefault="00C93EA2" w:rsidP="00C93EA2">
      <w:pPr>
        <w:pStyle w:val="OdstavecASR"/>
      </w:pPr>
      <w:r w:rsidRPr="00730B1E">
        <w:t>Jedná se o délku řízení v kalendářních dnech ode dne nápadu u odvolacího soudu do dne vyřízení věci odvolacím soudem. Délky řízení jsou výrazně nižší než délky řízení prvostupňové agendy u OS, ale díky razantnímu snižování délek řízení u OS již nejde v případě průměrné hodnoty o 3,6násobek jako v roce 2014, ale přibližně o dvojnásobek. Násobný rozdíl je dán tím, že soud, který rozhodoval v prvním stupni, se věcí zabývá obšírněji oproti soudu odvolacímu (druhého stupně). Krajský soud přezkoumává totiž rozhodnutí OS pouze v mezích podaného odvolání a až na výjimky nezjišťuje skutkový stav.</w:t>
      </w:r>
    </w:p>
    <w:p w14:paraId="2D9ACAC6" w14:textId="41CB1895" w:rsidR="009919E1" w:rsidRPr="00730B1E" w:rsidRDefault="009919E1" w:rsidP="009919E1">
      <w:pPr>
        <w:pStyle w:val="Podnadpis"/>
        <w:numPr>
          <w:ilvl w:val="0"/>
          <w:numId w:val="0"/>
        </w:numPr>
        <w:rPr>
          <w:color w:val="auto"/>
        </w:rPr>
      </w:pPr>
      <w:bookmarkStart w:id="847" w:name="_Toc43841435"/>
      <w:bookmarkStart w:id="848" w:name="_Toc75952238"/>
      <w:bookmarkStart w:id="849" w:name="_Toc106106695"/>
      <w:bookmarkStart w:id="850" w:name="_Toc109802019"/>
      <w:bookmarkStart w:id="851" w:name="_Toc144104170"/>
      <w:bookmarkStart w:id="852" w:name="_Toc169250982"/>
      <w:bookmarkStart w:id="853" w:name="_Toc17408066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63</w:t>
      </w:r>
      <w:r w:rsidRPr="00730B1E">
        <w:rPr>
          <w:color w:val="auto"/>
        </w:rPr>
        <w:fldChar w:fldCharType="end"/>
      </w:r>
      <w:r w:rsidRPr="00730B1E">
        <w:rPr>
          <w:color w:val="auto"/>
        </w:rPr>
        <w:t>: KS – délka odvolacího civilního řízení v letech 2014–20</w:t>
      </w:r>
      <w:bookmarkEnd w:id="847"/>
      <w:r w:rsidRPr="00730B1E">
        <w:rPr>
          <w:color w:val="auto"/>
        </w:rPr>
        <w:t>2</w:t>
      </w:r>
      <w:bookmarkEnd w:id="848"/>
      <w:bookmarkEnd w:id="849"/>
      <w:bookmarkEnd w:id="850"/>
      <w:bookmarkEnd w:id="851"/>
      <w:r w:rsidRPr="00730B1E">
        <w:rPr>
          <w:color w:val="auto"/>
        </w:rPr>
        <w:t>3</w:t>
      </w:r>
      <w:bookmarkEnd w:id="852"/>
      <w:bookmarkEnd w:id="853"/>
    </w:p>
    <w:p w14:paraId="76FAE9B9" w14:textId="22881CB8" w:rsidR="006F3788" w:rsidRPr="00730B1E" w:rsidRDefault="00AD1E8D" w:rsidP="006F3788">
      <w:r w:rsidRPr="00730B1E">
        <w:rPr>
          <w:noProof/>
          <w:lang w:eastAsia="cs-CZ"/>
        </w:rPr>
        <w:drawing>
          <wp:inline distT="0" distB="0" distL="0" distR="0" wp14:anchorId="5AC27265" wp14:editId="70AB6554">
            <wp:extent cx="5038725" cy="3657600"/>
            <wp:effectExtent l="0" t="0" r="9525" b="0"/>
            <wp:docPr id="34" name="Obrázek 34">
              <a:extLst xmlns:a="http://schemas.openxmlformats.org/drawingml/2006/main">
                <a:ext uri="{FF2B5EF4-FFF2-40B4-BE49-F238E27FC236}">
                  <a16:creationId xmlns:a16="http://schemas.microsoft.com/office/drawing/2014/main" id="{BF972CD1-3D12-4EFC-F264-6C36777270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a:extLst>
                        <a:ext uri="{FF2B5EF4-FFF2-40B4-BE49-F238E27FC236}">
                          <a16:creationId xmlns:a16="http://schemas.microsoft.com/office/drawing/2014/main" id="{BF972CD1-3D12-4EFC-F264-6C36777270B0}"/>
                        </a:ext>
                      </a:extLs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38725" cy="3657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E19DED2" w14:textId="5DC08303" w:rsidR="00C93EA2" w:rsidRPr="00730B1E" w:rsidRDefault="00C93EA2" w:rsidP="00C93EA2">
      <w:pPr>
        <w:pStyle w:val="OdstavecASR"/>
      </w:pPr>
      <w:r w:rsidRPr="00730B1E">
        <w:t xml:space="preserve">Ve sledovaném </w:t>
      </w:r>
      <w:r w:rsidR="00896E53" w:rsidRPr="00730B1E">
        <w:t xml:space="preserve">období </w:t>
      </w:r>
      <w:r w:rsidRPr="00730B1E">
        <w:t>jsou délky řízení velmi stabilní a poměrně nízké. Odvolání proti věcem z rejstříků C okresních soudů lze tedy z hlediska délek řízení označit za stabilní a celkem bezproblémovou agendu. Nezdá se, že by délky řízení byly nějak ovlivněny pandemií COVID</w:t>
      </w:r>
      <w:r w:rsidRPr="00730B1E">
        <w:noBreakHyphen/>
        <w:t xml:space="preserve">19 </w:t>
      </w:r>
      <w:r w:rsidR="00123AC4" w:rsidRPr="00730B1E">
        <w:t>ani jinými faktory v následujících letech.</w:t>
      </w:r>
    </w:p>
    <w:p w14:paraId="37652A84" w14:textId="14670EF8" w:rsidR="00C93EA2" w:rsidRPr="00730B1E" w:rsidRDefault="00C93EA2" w:rsidP="00C93EA2">
      <w:pPr>
        <w:pStyle w:val="Podnadpis"/>
        <w:rPr>
          <w:color w:val="auto"/>
        </w:rPr>
      </w:pPr>
      <w:bookmarkStart w:id="854" w:name="_Toc515871475"/>
      <w:bookmarkStart w:id="855" w:name="_Toc11133243"/>
      <w:bookmarkStart w:id="856" w:name="_Toc43931221"/>
      <w:bookmarkStart w:id="857" w:name="_Toc75952354"/>
      <w:bookmarkStart w:id="858" w:name="_Toc106106810"/>
      <w:bookmarkStart w:id="859" w:name="_Toc109802133"/>
      <w:bookmarkStart w:id="860" w:name="_Toc144104291"/>
      <w:bookmarkStart w:id="861" w:name="_Toc169251105"/>
      <w:bookmarkStart w:id="862" w:name="_Toc174080791"/>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48</w:t>
      </w:r>
      <w:r w:rsidRPr="00730B1E">
        <w:rPr>
          <w:color w:val="auto"/>
        </w:rPr>
        <w:fldChar w:fldCharType="end"/>
      </w:r>
      <w:r w:rsidRPr="00730B1E">
        <w:rPr>
          <w:color w:val="auto"/>
        </w:rPr>
        <w:t>: KS – délky odvolacího civilního řízení dle soudů</w:t>
      </w:r>
      <w:bookmarkEnd w:id="854"/>
      <w:bookmarkEnd w:id="855"/>
      <w:bookmarkEnd w:id="856"/>
      <w:bookmarkEnd w:id="857"/>
      <w:bookmarkEnd w:id="858"/>
      <w:bookmarkEnd w:id="859"/>
      <w:bookmarkEnd w:id="860"/>
      <w:r w:rsidR="00F77E72" w:rsidRPr="00730B1E">
        <w:rPr>
          <w:color w:val="auto"/>
        </w:rPr>
        <w:t>, 2023</w:t>
      </w:r>
      <w:bookmarkEnd w:id="861"/>
      <w:bookmarkEnd w:id="862"/>
    </w:p>
    <w:tbl>
      <w:tblPr>
        <w:tblW w:w="7520" w:type="dxa"/>
        <w:tblCellMar>
          <w:left w:w="70" w:type="dxa"/>
          <w:right w:w="70" w:type="dxa"/>
        </w:tblCellMar>
        <w:tblLook w:val="04A0" w:firstRow="1" w:lastRow="0" w:firstColumn="1" w:lastColumn="0" w:noHBand="0" w:noVBand="1"/>
      </w:tblPr>
      <w:tblGrid>
        <w:gridCol w:w="2480"/>
        <w:gridCol w:w="662"/>
        <w:gridCol w:w="1018"/>
        <w:gridCol w:w="662"/>
        <w:gridCol w:w="1018"/>
        <w:gridCol w:w="662"/>
        <w:gridCol w:w="1018"/>
      </w:tblGrid>
      <w:tr w:rsidR="00B64E96" w:rsidRPr="00730B1E" w14:paraId="3C155924" w14:textId="77777777" w:rsidTr="00C55AA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92D80A2" w14:textId="2F6C765A" w:rsidR="00C55AAB" w:rsidRPr="00730B1E" w:rsidRDefault="00C16C0D" w:rsidP="00C55AAB">
            <w:pPr>
              <w:spacing w:line="240" w:lineRule="auto"/>
              <w:jc w:val="center"/>
              <w:rPr>
                <w:rFonts w:eastAsia="Times New Roman"/>
                <w:b/>
                <w:bCs/>
                <w:szCs w:val="24"/>
                <w:lang w:eastAsia="cs-CZ"/>
              </w:rPr>
            </w:pPr>
            <w:r w:rsidRPr="00730B1E">
              <w:rPr>
                <w:rFonts w:eastAsia="Times New Roman"/>
                <w:b/>
                <w:bCs/>
                <w:szCs w:val="24"/>
                <w:lang w:eastAsia="cs-CZ"/>
              </w:rPr>
              <w:t>S</w:t>
            </w:r>
            <w:r w:rsidR="00C55AAB" w:rsidRPr="00730B1E">
              <w:rPr>
                <w:rFonts w:eastAsia="Times New Roman"/>
                <w:b/>
                <w:bCs/>
                <w:szCs w:val="24"/>
                <w:lang w:eastAsia="cs-CZ"/>
              </w:rPr>
              <w:t>oud</w:t>
            </w:r>
          </w:p>
        </w:tc>
        <w:tc>
          <w:tcPr>
            <w:tcW w:w="5040" w:type="dxa"/>
            <w:gridSpan w:val="6"/>
            <w:tcBorders>
              <w:top w:val="double" w:sz="6" w:space="0" w:color="auto"/>
              <w:left w:val="nil"/>
              <w:bottom w:val="nil"/>
              <w:right w:val="nil"/>
            </w:tcBorders>
            <w:shd w:val="clear" w:color="auto" w:fill="auto"/>
            <w:noWrap/>
            <w:vAlign w:val="center"/>
            <w:hideMark/>
          </w:tcPr>
          <w:p w14:paraId="61ACC52E" w14:textId="77777777" w:rsidR="00C55AAB" w:rsidRPr="00730B1E" w:rsidRDefault="00C55AAB" w:rsidP="00C55AAB">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35799AA4" w14:textId="77777777" w:rsidTr="00C55AAB">
        <w:trPr>
          <w:trHeight w:val="330"/>
        </w:trPr>
        <w:tc>
          <w:tcPr>
            <w:tcW w:w="2480" w:type="dxa"/>
            <w:vMerge/>
            <w:tcBorders>
              <w:top w:val="double" w:sz="6" w:space="0" w:color="auto"/>
              <w:left w:val="nil"/>
              <w:bottom w:val="double" w:sz="6" w:space="0" w:color="000000"/>
              <w:right w:val="nil"/>
            </w:tcBorders>
            <w:vAlign w:val="center"/>
            <w:hideMark/>
          </w:tcPr>
          <w:p w14:paraId="1A099558" w14:textId="77777777" w:rsidR="00C55AAB" w:rsidRPr="00730B1E" w:rsidRDefault="00C55AAB" w:rsidP="00C55AAB">
            <w:pPr>
              <w:spacing w:line="240" w:lineRule="auto"/>
              <w:jc w:val="left"/>
              <w:rPr>
                <w:rFonts w:eastAsia="Times New Roman"/>
                <w:b/>
                <w:bCs/>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7CB30D95" w14:textId="77777777" w:rsidR="00C55AAB" w:rsidRPr="00730B1E" w:rsidRDefault="00C55AAB" w:rsidP="00C55AAB">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C1D0B4E" w14:textId="77777777" w:rsidR="00C55AAB" w:rsidRPr="00730B1E" w:rsidRDefault="00C55AAB" w:rsidP="00C55AAB">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0147AB0C" w14:textId="77777777" w:rsidR="00C55AAB" w:rsidRPr="00730B1E" w:rsidRDefault="00C55AAB" w:rsidP="00C55AAB">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0E794444" w14:textId="77777777" w:rsidTr="00C55AA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52E50A9" w14:textId="77777777" w:rsidR="00C55AAB" w:rsidRPr="00730B1E" w:rsidRDefault="00C55AAB" w:rsidP="00C55AAB">
            <w:pPr>
              <w:spacing w:line="240" w:lineRule="auto"/>
              <w:jc w:val="left"/>
              <w:rPr>
                <w:rFonts w:eastAsia="Times New Roman"/>
                <w:szCs w:val="24"/>
                <w:lang w:eastAsia="cs-CZ"/>
              </w:rPr>
            </w:pPr>
            <w:r w:rsidRPr="00730B1E">
              <w:rPr>
                <w:rFonts w:eastAsia="Times New Roman"/>
                <w:szCs w:val="24"/>
                <w:lang w:eastAsia="cs-CZ"/>
              </w:rPr>
              <w:t>MS Praha</w:t>
            </w:r>
          </w:p>
        </w:tc>
        <w:tc>
          <w:tcPr>
            <w:tcW w:w="662" w:type="dxa"/>
            <w:tcBorders>
              <w:top w:val="single" w:sz="4" w:space="0" w:color="auto"/>
              <w:left w:val="nil"/>
              <w:bottom w:val="single" w:sz="4" w:space="0" w:color="auto"/>
              <w:right w:val="nil"/>
            </w:tcBorders>
            <w:shd w:val="clear" w:color="auto" w:fill="auto"/>
            <w:noWrap/>
            <w:vAlign w:val="bottom"/>
            <w:hideMark/>
          </w:tcPr>
          <w:p w14:paraId="2CD9227C"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63</w:t>
            </w:r>
          </w:p>
        </w:tc>
        <w:tc>
          <w:tcPr>
            <w:tcW w:w="1018" w:type="dxa"/>
            <w:tcBorders>
              <w:top w:val="single" w:sz="4" w:space="0" w:color="auto"/>
              <w:left w:val="nil"/>
              <w:bottom w:val="single" w:sz="4" w:space="0" w:color="auto"/>
              <w:right w:val="nil"/>
            </w:tcBorders>
            <w:shd w:val="clear" w:color="auto" w:fill="auto"/>
            <w:noWrap/>
            <w:vAlign w:val="center"/>
            <w:hideMark/>
          </w:tcPr>
          <w:p w14:paraId="210CC6A4"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-5 %  </w:t>
            </w:r>
          </w:p>
        </w:tc>
        <w:tc>
          <w:tcPr>
            <w:tcW w:w="662" w:type="dxa"/>
            <w:tcBorders>
              <w:top w:val="nil"/>
              <w:left w:val="single" w:sz="4" w:space="0" w:color="auto"/>
              <w:bottom w:val="single" w:sz="4" w:space="0" w:color="auto"/>
              <w:right w:val="nil"/>
            </w:tcBorders>
            <w:shd w:val="clear" w:color="auto" w:fill="auto"/>
            <w:noWrap/>
            <w:vAlign w:val="bottom"/>
            <w:hideMark/>
          </w:tcPr>
          <w:p w14:paraId="022D4205"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51</w:t>
            </w:r>
          </w:p>
        </w:tc>
        <w:tc>
          <w:tcPr>
            <w:tcW w:w="1018" w:type="dxa"/>
            <w:tcBorders>
              <w:top w:val="nil"/>
              <w:left w:val="nil"/>
              <w:bottom w:val="single" w:sz="4" w:space="0" w:color="auto"/>
              <w:right w:val="single" w:sz="4" w:space="0" w:color="auto"/>
            </w:tcBorders>
            <w:shd w:val="clear" w:color="auto" w:fill="auto"/>
            <w:noWrap/>
            <w:vAlign w:val="center"/>
            <w:hideMark/>
          </w:tcPr>
          <w:p w14:paraId="1D4A7563"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-7 %  </w:t>
            </w:r>
          </w:p>
        </w:tc>
        <w:tc>
          <w:tcPr>
            <w:tcW w:w="662" w:type="dxa"/>
            <w:tcBorders>
              <w:top w:val="single" w:sz="4" w:space="0" w:color="auto"/>
              <w:left w:val="nil"/>
              <w:bottom w:val="single" w:sz="4" w:space="0" w:color="auto"/>
              <w:right w:val="nil"/>
            </w:tcBorders>
            <w:shd w:val="clear" w:color="auto" w:fill="auto"/>
            <w:noWrap/>
            <w:vAlign w:val="bottom"/>
            <w:hideMark/>
          </w:tcPr>
          <w:p w14:paraId="4C8619F4"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120</w:t>
            </w:r>
          </w:p>
        </w:tc>
        <w:tc>
          <w:tcPr>
            <w:tcW w:w="1018" w:type="dxa"/>
            <w:tcBorders>
              <w:top w:val="single" w:sz="4" w:space="0" w:color="auto"/>
              <w:left w:val="nil"/>
              <w:bottom w:val="single" w:sz="4" w:space="0" w:color="auto"/>
              <w:right w:val="nil"/>
            </w:tcBorders>
            <w:shd w:val="clear" w:color="auto" w:fill="auto"/>
            <w:noWrap/>
            <w:vAlign w:val="center"/>
            <w:hideMark/>
          </w:tcPr>
          <w:p w14:paraId="4F9E7EF4"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-1 %  </w:t>
            </w:r>
          </w:p>
        </w:tc>
      </w:tr>
      <w:tr w:rsidR="00B64E96" w:rsidRPr="00730B1E" w14:paraId="2C06549C" w14:textId="77777777" w:rsidTr="00C55AAB">
        <w:trPr>
          <w:trHeight w:val="315"/>
        </w:trPr>
        <w:tc>
          <w:tcPr>
            <w:tcW w:w="2480" w:type="dxa"/>
            <w:tcBorders>
              <w:top w:val="nil"/>
              <w:left w:val="nil"/>
              <w:bottom w:val="single" w:sz="4" w:space="0" w:color="auto"/>
              <w:right w:val="nil"/>
            </w:tcBorders>
            <w:shd w:val="clear" w:color="auto" w:fill="auto"/>
            <w:noWrap/>
            <w:vAlign w:val="bottom"/>
            <w:hideMark/>
          </w:tcPr>
          <w:p w14:paraId="5D3C8E36" w14:textId="77777777" w:rsidR="00C55AAB" w:rsidRPr="00730B1E" w:rsidRDefault="00C55AAB" w:rsidP="00C55AAB">
            <w:pPr>
              <w:spacing w:line="240" w:lineRule="auto"/>
              <w:jc w:val="left"/>
              <w:rPr>
                <w:rFonts w:eastAsia="Times New Roman"/>
                <w:szCs w:val="24"/>
                <w:lang w:eastAsia="cs-CZ"/>
              </w:rPr>
            </w:pPr>
            <w:r w:rsidRPr="00730B1E">
              <w:rPr>
                <w:rFonts w:eastAsia="Times New Roman"/>
                <w:szCs w:val="24"/>
                <w:lang w:eastAsia="cs-CZ"/>
              </w:rPr>
              <w:t>KS Praha</w:t>
            </w:r>
          </w:p>
        </w:tc>
        <w:tc>
          <w:tcPr>
            <w:tcW w:w="662" w:type="dxa"/>
            <w:tcBorders>
              <w:top w:val="nil"/>
              <w:left w:val="nil"/>
              <w:bottom w:val="single" w:sz="4" w:space="0" w:color="auto"/>
              <w:right w:val="nil"/>
            </w:tcBorders>
            <w:shd w:val="clear" w:color="auto" w:fill="auto"/>
            <w:noWrap/>
            <w:vAlign w:val="bottom"/>
            <w:hideMark/>
          </w:tcPr>
          <w:p w14:paraId="77289F94"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90</w:t>
            </w:r>
          </w:p>
        </w:tc>
        <w:tc>
          <w:tcPr>
            <w:tcW w:w="1018" w:type="dxa"/>
            <w:tcBorders>
              <w:top w:val="nil"/>
              <w:left w:val="nil"/>
              <w:bottom w:val="single" w:sz="4" w:space="0" w:color="auto"/>
              <w:right w:val="nil"/>
            </w:tcBorders>
            <w:shd w:val="clear" w:color="auto" w:fill="auto"/>
            <w:noWrap/>
            <w:vAlign w:val="center"/>
            <w:hideMark/>
          </w:tcPr>
          <w:p w14:paraId="6C7EFB88"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+0 %  </w:t>
            </w:r>
          </w:p>
        </w:tc>
        <w:tc>
          <w:tcPr>
            <w:tcW w:w="662" w:type="dxa"/>
            <w:tcBorders>
              <w:top w:val="nil"/>
              <w:left w:val="single" w:sz="4" w:space="0" w:color="auto"/>
              <w:bottom w:val="single" w:sz="4" w:space="0" w:color="auto"/>
              <w:right w:val="nil"/>
            </w:tcBorders>
            <w:shd w:val="clear" w:color="auto" w:fill="auto"/>
            <w:noWrap/>
            <w:vAlign w:val="bottom"/>
            <w:hideMark/>
          </w:tcPr>
          <w:p w14:paraId="5E847987"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66</w:t>
            </w:r>
          </w:p>
        </w:tc>
        <w:tc>
          <w:tcPr>
            <w:tcW w:w="1018" w:type="dxa"/>
            <w:tcBorders>
              <w:top w:val="nil"/>
              <w:left w:val="nil"/>
              <w:bottom w:val="single" w:sz="4" w:space="0" w:color="auto"/>
              <w:right w:val="single" w:sz="4" w:space="0" w:color="auto"/>
            </w:tcBorders>
            <w:shd w:val="clear" w:color="auto" w:fill="auto"/>
            <w:noWrap/>
            <w:vAlign w:val="center"/>
            <w:hideMark/>
          </w:tcPr>
          <w:p w14:paraId="1B372A41"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-3 %  </w:t>
            </w:r>
          </w:p>
        </w:tc>
        <w:tc>
          <w:tcPr>
            <w:tcW w:w="662" w:type="dxa"/>
            <w:tcBorders>
              <w:top w:val="nil"/>
              <w:left w:val="nil"/>
              <w:bottom w:val="single" w:sz="4" w:space="0" w:color="auto"/>
              <w:right w:val="nil"/>
            </w:tcBorders>
            <w:shd w:val="clear" w:color="auto" w:fill="auto"/>
            <w:noWrap/>
            <w:vAlign w:val="bottom"/>
            <w:hideMark/>
          </w:tcPr>
          <w:p w14:paraId="2E5CBCE8"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160</w:t>
            </w:r>
          </w:p>
        </w:tc>
        <w:tc>
          <w:tcPr>
            <w:tcW w:w="1018" w:type="dxa"/>
            <w:tcBorders>
              <w:top w:val="nil"/>
              <w:left w:val="nil"/>
              <w:bottom w:val="single" w:sz="4" w:space="0" w:color="auto"/>
              <w:right w:val="nil"/>
            </w:tcBorders>
            <w:shd w:val="clear" w:color="auto" w:fill="auto"/>
            <w:noWrap/>
            <w:vAlign w:val="center"/>
            <w:hideMark/>
          </w:tcPr>
          <w:p w14:paraId="36C7DA16"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34962013" w14:textId="77777777" w:rsidTr="00C55AAB">
        <w:trPr>
          <w:trHeight w:val="315"/>
        </w:trPr>
        <w:tc>
          <w:tcPr>
            <w:tcW w:w="2480" w:type="dxa"/>
            <w:tcBorders>
              <w:top w:val="nil"/>
              <w:left w:val="nil"/>
              <w:bottom w:val="single" w:sz="4" w:space="0" w:color="auto"/>
              <w:right w:val="nil"/>
            </w:tcBorders>
            <w:shd w:val="clear" w:color="auto" w:fill="auto"/>
            <w:noWrap/>
            <w:vAlign w:val="bottom"/>
            <w:hideMark/>
          </w:tcPr>
          <w:p w14:paraId="09E8BD9E" w14:textId="77777777" w:rsidR="00C55AAB" w:rsidRPr="00730B1E" w:rsidRDefault="00C55AAB" w:rsidP="00C55AAB">
            <w:pPr>
              <w:spacing w:line="240" w:lineRule="auto"/>
              <w:jc w:val="left"/>
              <w:rPr>
                <w:rFonts w:eastAsia="Times New Roman"/>
                <w:szCs w:val="24"/>
                <w:lang w:eastAsia="cs-CZ"/>
              </w:rPr>
            </w:pPr>
            <w:r w:rsidRPr="00730B1E">
              <w:rPr>
                <w:rFonts w:eastAsia="Times New Roman"/>
                <w:szCs w:val="24"/>
                <w:lang w:eastAsia="cs-CZ"/>
              </w:rPr>
              <w:t>KS Č. Budějovice</w:t>
            </w:r>
          </w:p>
        </w:tc>
        <w:tc>
          <w:tcPr>
            <w:tcW w:w="662" w:type="dxa"/>
            <w:tcBorders>
              <w:top w:val="nil"/>
              <w:left w:val="nil"/>
              <w:bottom w:val="single" w:sz="4" w:space="0" w:color="auto"/>
              <w:right w:val="nil"/>
            </w:tcBorders>
            <w:shd w:val="clear" w:color="auto" w:fill="auto"/>
            <w:noWrap/>
            <w:vAlign w:val="bottom"/>
            <w:hideMark/>
          </w:tcPr>
          <w:p w14:paraId="40BEFAD0"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62</w:t>
            </w:r>
          </w:p>
        </w:tc>
        <w:tc>
          <w:tcPr>
            <w:tcW w:w="1018" w:type="dxa"/>
            <w:tcBorders>
              <w:top w:val="nil"/>
              <w:left w:val="nil"/>
              <w:bottom w:val="single" w:sz="4" w:space="0" w:color="auto"/>
              <w:right w:val="nil"/>
            </w:tcBorders>
            <w:shd w:val="clear" w:color="auto" w:fill="auto"/>
            <w:noWrap/>
            <w:vAlign w:val="center"/>
            <w:hideMark/>
          </w:tcPr>
          <w:p w14:paraId="79A8E20A"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-21 %  </w:t>
            </w:r>
          </w:p>
        </w:tc>
        <w:tc>
          <w:tcPr>
            <w:tcW w:w="662" w:type="dxa"/>
            <w:tcBorders>
              <w:top w:val="nil"/>
              <w:left w:val="single" w:sz="4" w:space="0" w:color="auto"/>
              <w:bottom w:val="single" w:sz="4" w:space="0" w:color="auto"/>
              <w:right w:val="nil"/>
            </w:tcBorders>
            <w:shd w:val="clear" w:color="auto" w:fill="auto"/>
            <w:noWrap/>
            <w:vAlign w:val="bottom"/>
            <w:hideMark/>
          </w:tcPr>
          <w:p w14:paraId="5EF489B9"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48</w:t>
            </w:r>
          </w:p>
        </w:tc>
        <w:tc>
          <w:tcPr>
            <w:tcW w:w="1018" w:type="dxa"/>
            <w:tcBorders>
              <w:top w:val="nil"/>
              <w:left w:val="nil"/>
              <w:bottom w:val="single" w:sz="4" w:space="0" w:color="auto"/>
              <w:right w:val="single" w:sz="4" w:space="0" w:color="auto"/>
            </w:tcBorders>
            <w:shd w:val="clear" w:color="auto" w:fill="auto"/>
            <w:noWrap/>
            <w:vAlign w:val="center"/>
            <w:hideMark/>
          </w:tcPr>
          <w:p w14:paraId="66547438"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-19 %  </w:t>
            </w:r>
          </w:p>
        </w:tc>
        <w:tc>
          <w:tcPr>
            <w:tcW w:w="662" w:type="dxa"/>
            <w:tcBorders>
              <w:top w:val="nil"/>
              <w:left w:val="nil"/>
              <w:bottom w:val="single" w:sz="4" w:space="0" w:color="auto"/>
              <w:right w:val="nil"/>
            </w:tcBorders>
            <w:shd w:val="clear" w:color="auto" w:fill="auto"/>
            <w:noWrap/>
            <w:vAlign w:val="bottom"/>
            <w:hideMark/>
          </w:tcPr>
          <w:p w14:paraId="50FB6567"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134</w:t>
            </w:r>
          </w:p>
        </w:tc>
        <w:tc>
          <w:tcPr>
            <w:tcW w:w="1018" w:type="dxa"/>
            <w:tcBorders>
              <w:top w:val="nil"/>
              <w:left w:val="nil"/>
              <w:bottom w:val="single" w:sz="4" w:space="0" w:color="auto"/>
              <w:right w:val="nil"/>
            </w:tcBorders>
            <w:shd w:val="clear" w:color="auto" w:fill="auto"/>
            <w:noWrap/>
            <w:vAlign w:val="center"/>
            <w:hideMark/>
          </w:tcPr>
          <w:p w14:paraId="576E112F"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2B8C1015" w14:textId="77777777" w:rsidTr="00C55AAB">
        <w:trPr>
          <w:trHeight w:val="315"/>
        </w:trPr>
        <w:tc>
          <w:tcPr>
            <w:tcW w:w="2480" w:type="dxa"/>
            <w:tcBorders>
              <w:top w:val="nil"/>
              <w:left w:val="nil"/>
              <w:bottom w:val="single" w:sz="4" w:space="0" w:color="auto"/>
              <w:right w:val="nil"/>
            </w:tcBorders>
            <w:shd w:val="clear" w:color="auto" w:fill="auto"/>
            <w:noWrap/>
            <w:vAlign w:val="bottom"/>
            <w:hideMark/>
          </w:tcPr>
          <w:p w14:paraId="7E59573C" w14:textId="77777777" w:rsidR="00C55AAB" w:rsidRPr="00730B1E" w:rsidRDefault="00C55AAB" w:rsidP="00C55AAB">
            <w:pPr>
              <w:spacing w:line="240" w:lineRule="auto"/>
              <w:jc w:val="left"/>
              <w:rPr>
                <w:rFonts w:eastAsia="Times New Roman"/>
                <w:szCs w:val="24"/>
                <w:lang w:eastAsia="cs-CZ"/>
              </w:rPr>
            </w:pPr>
            <w:r w:rsidRPr="00730B1E">
              <w:rPr>
                <w:rFonts w:eastAsia="Times New Roman"/>
                <w:szCs w:val="24"/>
                <w:lang w:eastAsia="cs-CZ"/>
              </w:rPr>
              <w:t>KS Plzeň</w:t>
            </w:r>
          </w:p>
        </w:tc>
        <w:tc>
          <w:tcPr>
            <w:tcW w:w="662" w:type="dxa"/>
            <w:tcBorders>
              <w:top w:val="nil"/>
              <w:left w:val="nil"/>
              <w:bottom w:val="single" w:sz="4" w:space="0" w:color="auto"/>
              <w:right w:val="nil"/>
            </w:tcBorders>
            <w:shd w:val="clear" w:color="auto" w:fill="auto"/>
            <w:noWrap/>
            <w:vAlign w:val="bottom"/>
            <w:hideMark/>
          </w:tcPr>
          <w:p w14:paraId="44748CF0"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86</w:t>
            </w:r>
          </w:p>
        </w:tc>
        <w:tc>
          <w:tcPr>
            <w:tcW w:w="1018" w:type="dxa"/>
            <w:tcBorders>
              <w:top w:val="nil"/>
              <w:left w:val="nil"/>
              <w:bottom w:val="single" w:sz="4" w:space="0" w:color="auto"/>
              <w:right w:val="nil"/>
            </w:tcBorders>
            <w:shd w:val="clear" w:color="auto" w:fill="auto"/>
            <w:noWrap/>
            <w:vAlign w:val="center"/>
            <w:hideMark/>
          </w:tcPr>
          <w:p w14:paraId="464F9BA5"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+23 %  </w:t>
            </w:r>
          </w:p>
        </w:tc>
        <w:tc>
          <w:tcPr>
            <w:tcW w:w="662" w:type="dxa"/>
            <w:tcBorders>
              <w:top w:val="nil"/>
              <w:left w:val="single" w:sz="4" w:space="0" w:color="auto"/>
              <w:bottom w:val="single" w:sz="4" w:space="0" w:color="auto"/>
              <w:right w:val="nil"/>
            </w:tcBorders>
            <w:shd w:val="clear" w:color="auto" w:fill="auto"/>
            <w:noWrap/>
            <w:vAlign w:val="bottom"/>
            <w:hideMark/>
          </w:tcPr>
          <w:p w14:paraId="7712D537"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57</w:t>
            </w:r>
          </w:p>
        </w:tc>
        <w:tc>
          <w:tcPr>
            <w:tcW w:w="1018" w:type="dxa"/>
            <w:tcBorders>
              <w:top w:val="nil"/>
              <w:left w:val="nil"/>
              <w:bottom w:val="single" w:sz="4" w:space="0" w:color="auto"/>
              <w:right w:val="single" w:sz="4" w:space="0" w:color="auto"/>
            </w:tcBorders>
            <w:shd w:val="clear" w:color="auto" w:fill="auto"/>
            <w:noWrap/>
            <w:vAlign w:val="center"/>
            <w:hideMark/>
          </w:tcPr>
          <w:p w14:paraId="288A9BBD"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+36 %  </w:t>
            </w:r>
          </w:p>
        </w:tc>
        <w:tc>
          <w:tcPr>
            <w:tcW w:w="662" w:type="dxa"/>
            <w:tcBorders>
              <w:top w:val="nil"/>
              <w:left w:val="nil"/>
              <w:bottom w:val="single" w:sz="4" w:space="0" w:color="auto"/>
              <w:right w:val="nil"/>
            </w:tcBorders>
            <w:shd w:val="clear" w:color="auto" w:fill="auto"/>
            <w:noWrap/>
            <w:vAlign w:val="bottom"/>
            <w:hideMark/>
          </w:tcPr>
          <w:p w14:paraId="688565C5"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168</w:t>
            </w:r>
          </w:p>
        </w:tc>
        <w:tc>
          <w:tcPr>
            <w:tcW w:w="1018" w:type="dxa"/>
            <w:tcBorders>
              <w:top w:val="nil"/>
              <w:left w:val="nil"/>
              <w:bottom w:val="single" w:sz="4" w:space="0" w:color="auto"/>
              <w:right w:val="nil"/>
            </w:tcBorders>
            <w:shd w:val="clear" w:color="auto" w:fill="auto"/>
            <w:noWrap/>
            <w:vAlign w:val="center"/>
            <w:hideMark/>
          </w:tcPr>
          <w:p w14:paraId="609E14AD"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+20 %  </w:t>
            </w:r>
          </w:p>
        </w:tc>
      </w:tr>
      <w:tr w:rsidR="00B64E96" w:rsidRPr="00730B1E" w14:paraId="5B729E8E" w14:textId="77777777" w:rsidTr="00C55AAB">
        <w:trPr>
          <w:trHeight w:val="315"/>
        </w:trPr>
        <w:tc>
          <w:tcPr>
            <w:tcW w:w="2480" w:type="dxa"/>
            <w:tcBorders>
              <w:top w:val="nil"/>
              <w:left w:val="nil"/>
              <w:bottom w:val="single" w:sz="4" w:space="0" w:color="auto"/>
              <w:right w:val="nil"/>
            </w:tcBorders>
            <w:shd w:val="clear" w:color="auto" w:fill="auto"/>
            <w:noWrap/>
            <w:vAlign w:val="bottom"/>
            <w:hideMark/>
          </w:tcPr>
          <w:p w14:paraId="3751CA4C" w14:textId="77777777" w:rsidR="00C55AAB" w:rsidRPr="00730B1E" w:rsidRDefault="00C55AAB" w:rsidP="00C55AAB">
            <w:pPr>
              <w:spacing w:line="240" w:lineRule="auto"/>
              <w:jc w:val="left"/>
              <w:rPr>
                <w:rFonts w:eastAsia="Times New Roman"/>
                <w:szCs w:val="24"/>
                <w:lang w:eastAsia="cs-CZ"/>
              </w:rPr>
            </w:pPr>
            <w:r w:rsidRPr="00730B1E">
              <w:rPr>
                <w:rFonts w:eastAsia="Times New Roman"/>
                <w:szCs w:val="24"/>
                <w:lang w:eastAsia="cs-CZ"/>
              </w:rPr>
              <w:t>KS Ústí n. Labem</w:t>
            </w:r>
          </w:p>
        </w:tc>
        <w:tc>
          <w:tcPr>
            <w:tcW w:w="662" w:type="dxa"/>
            <w:tcBorders>
              <w:top w:val="nil"/>
              <w:left w:val="nil"/>
              <w:bottom w:val="single" w:sz="4" w:space="0" w:color="auto"/>
              <w:right w:val="nil"/>
            </w:tcBorders>
            <w:shd w:val="clear" w:color="auto" w:fill="auto"/>
            <w:noWrap/>
            <w:vAlign w:val="bottom"/>
            <w:hideMark/>
          </w:tcPr>
          <w:p w14:paraId="57CAA930"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167</w:t>
            </w:r>
          </w:p>
        </w:tc>
        <w:tc>
          <w:tcPr>
            <w:tcW w:w="1018" w:type="dxa"/>
            <w:tcBorders>
              <w:top w:val="nil"/>
              <w:left w:val="nil"/>
              <w:bottom w:val="single" w:sz="4" w:space="0" w:color="auto"/>
              <w:right w:val="nil"/>
            </w:tcBorders>
            <w:shd w:val="clear" w:color="auto" w:fill="auto"/>
            <w:noWrap/>
            <w:vAlign w:val="center"/>
            <w:hideMark/>
          </w:tcPr>
          <w:p w14:paraId="14C97FA4"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-7 %  </w:t>
            </w:r>
          </w:p>
        </w:tc>
        <w:tc>
          <w:tcPr>
            <w:tcW w:w="662" w:type="dxa"/>
            <w:tcBorders>
              <w:top w:val="nil"/>
              <w:left w:val="single" w:sz="4" w:space="0" w:color="auto"/>
              <w:bottom w:val="single" w:sz="4" w:space="0" w:color="auto"/>
              <w:right w:val="nil"/>
            </w:tcBorders>
            <w:shd w:val="clear" w:color="auto" w:fill="auto"/>
            <w:noWrap/>
            <w:vAlign w:val="bottom"/>
            <w:hideMark/>
          </w:tcPr>
          <w:p w14:paraId="11326AF5"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134</w:t>
            </w:r>
          </w:p>
        </w:tc>
        <w:tc>
          <w:tcPr>
            <w:tcW w:w="1018" w:type="dxa"/>
            <w:tcBorders>
              <w:top w:val="nil"/>
              <w:left w:val="nil"/>
              <w:bottom w:val="single" w:sz="4" w:space="0" w:color="auto"/>
              <w:right w:val="single" w:sz="4" w:space="0" w:color="auto"/>
            </w:tcBorders>
            <w:shd w:val="clear" w:color="auto" w:fill="auto"/>
            <w:noWrap/>
            <w:vAlign w:val="center"/>
            <w:hideMark/>
          </w:tcPr>
          <w:p w14:paraId="563DEB34"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+24 %  </w:t>
            </w:r>
          </w:p>
        </w:tc>
        <w:tc>
          <w:tcPr>
            <w:tcW w:w="662" w:type="dxa"/>
            <w:tcBorders>
              <w:top w:val="nil"/>
              <w:left w:val="nil"/>
              <w:bottom w:val="single" w:sz="4" w:space="0" w:color="auto"/>
              <w:right w:val="nil"/>
            </w:tcBorders>
            <w:shd w:val="clear" w:color="auto" w:fill="auto"/>
            <w:noWrap/>
            <w:vAlign w:val="bottom"/>
            <w:hideMark/>
          </w:tcPr>
          <w:p w14:paraId="20751E8E"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275</w:t>
            </w:r>
          </w:p>
        </w:tc>
        <w:tc>
          <w:tcPr>
            <w:tcW w:w="1018" w:type="dxa"/>
            <w:tcBorders>
              <w:top w:val="nil"/>
              <w:left w:val="nil"/>
              <w:bottom w:val="single" w:sz="4" w:space="0" w:color="auto"/>
              <w:right w:val="nil"/>
            </w:tcBorders>
            <w:shd w:val="clear" w:color="auto" w:fill="auto"/>
            <w:noWrap/>
            <w:vAlign w:val="center"/>
            <w:hideMark/>
          </w:tcPr>
          <w:p w14:paraId="4822004E"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-17 %  </w:t>
            </w:r>
          </w:p>
        </w:tc>
      </w:tr>
      <w:tr w:rsidR="00B64E96" w:rsidRPr="00730B1E" w14:paraId="518F9F84" w14:textId="77777777" w:rsidTr="00C55AAB">
        <w:trPr>
          <w:trHeight w:val="315"/>
        </w:trPr>
        <w:tc>
          <w:tcPr>
            <w:tcW w:w="2480" w:type="dxa"/>
            <w:tcBorders>
              <w:top w:val="nil"/>
              <w:left w:val="nil"/>
              <w:bottom w:val="single" w:sz="4" w:space="0" w:color="auto"/>
              <w:right w:val="nil"/>
            </w:tcBorders>
            <w:shd w:val="clear" w:color="auto" w:fill="auto"/>
            <w:noWrap/>
            <w:vAlign w:val="bottom"/>
            <w:hideMark/>
          </w:tcPr>
          <w:p w14:paraId="57398ED7" w14:textId="77777777" w:rsidR="00C55AAB" w:rsidRPr="00730B1E" w:rsidRDefault="00C55AAB" w:rsidP="00C55AAB">
            <w:pPr>
              <w:spacing w:line="240" w:lineRule="auto"/>
              <w:jc w:val="left"/>
              <w:rPr>
                <w:rFonts w:eastAsia="Times New Roman"/>
                <w:szCs w:val="24"/>
                <w:lang w:eastAsia="cs-CZ"/>
              </w:rPr>
            </w:pPr>
            <w:r w:rsidRPr="00730B1E">
              <w:rPr>
                <w:rFonts w:eastAsia="Times New Roman"/>
                <w:szCs w:val="24"/>
                <w:lang w:eastAsia="cs-CZ"/>
              </w:rPr>
              <w:t>KS Hr. Králové</w:t>
            </w:r>
          </w:p>
        </w:tc>
        <w:tc>
          <w:tcPr>
            <w:tcW w:w="662" w:type="dxa"/>
            <w:tcBorders>
              <w:top w:val="nil"/>
              <w:left w:val="nil"/>
              <w:bottom w:val="single" w:sz="4" w:space="0" w:color="auto"/>
              <w:right w:val="nil"/>
            </w:tcBorders>
            <w:shd w:val="clear" w:color="auto" w:fill="auto"/>
            <w:noWrap/>
            <w:vAlign w:val="bottom"/>
            <w:hideMark/>
          </w:tcPr>
          <w:p w14:paraId="5629C577"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100</w:t>
            </w:r>
          </w:p>
        </w:tc>
        <w:tc>
          <w:tcPr>
            <w:tcW w:w="1018" w:type="dxa"/>
            <w:tcBorders>
              <w:top w:val="nil"/>
              <w:left w:val="nil"/>
              <w:bottom w:val="single" w:sz="4" w:space="0" w:color="auto"/>
              <w:right w:val="nil"/>
            </w:tcBorders>
            <w:shd w:val="clear" w:color="auto" w:fill="auto"/>
            <w:noWrap/>
            <w:vAlign w:val="center"/>
            <w:hideMark/>
          </w:tcPr>
          <w:p w14:paraId="1B894DA2"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+2 %  </w:t>
            </w:r>
          </w:p>
        </w:tc>
        <w:tc>
          <w:tcPr>
            <w:tcW w:w="662" w:type="dxa"/>
            <w:tcBorders>
              <w:top w:val="nil"/>
              <w:left w:val="single" w:sz="4" w:space="0" w:color="auto"/>
              <w:bottom w:val="single" w:sz="4" w:space="0" w:color="auto"/>
              <w:right w:val="nil"/>
            </w:tcBorders>
            <w:shd w:val="clear" w:color="auto" w:fill="auto"/>
            <w:noWrap/>
            <w:vAlign w:val="bottom"/>
            <w:hideMark/>
          </w:tcPr>
          <w:p w14:paraId="7D740CCD"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70</w:t>
            </w:r>
          </w:p>
        </w:tc>
        <w:tc>
          <w:tcPr>
            <w:tcW w:w="1018" w:type="dxa"/>
            <w:tcBorders>
              <w:top w:val="nil"/>
              <w:left w:val="nil"/>
              <w:bottom w:val="single" w:sz="4" w:space="0" w:color="auto"/>
              <w:right w:val="single" w:sz="4" w:space="0" w:color="auto"/>
            </w:tcBorders>
            <w:shd w:val="clear" w:color="auto" w:fill="auto"/>
            <w:noWrap/>
            <w:vAlign w:val="center"/>
            <w:hideMark/>
          </w:tcPr>
          <w:p w14:paraId="681C0337"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+8 %  </w:t>
            </w:r>
          </w:p>
        </w:tc>
        <w:tc>
          <w:tcPr>
            <w:tcW w:w="662" w:type="dxa"/>
            <w:tcBorders>
              <w:top w:val="nil"/>
              <w:left w:val="nil"/>
              <w:bottom w:val="single" w:sz="4" w:space="0" w:color="auto"/>
              <w:right w:val="nil"/>
            </w:tcBorders>
            <w:shd w:val="clear" w:color="auto" w:fill="auto"/>
            <w:noWrap/>
            <w:vAlign w:val="bottom"/>
            <w:hideMark/>
          </w:tcPr>
          <w:p w14:paraId="15B440CE"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162</w:t>
            </w:r>
          </w:p>
        </w:tc>
        <w:tc>
          <w:tcPr>
            <w:tcW w:w="1018" w:type="dxa"/>
            <w:tcBorders>
              <w:top w:val="nil"/>
              <w:left w:val="nil"/>
              <w:bottom w:val="single" w:sz="4" w:space="0" w:color="auto"/>
              <w:right w:val="nil"/>
            </w:tcBorders>
            <w:shd w:val="clear" w:color="auto" w:fill="auto"/>
            <w:noWrap/>
            <w:vAlign w:val="center"/>
            <w:hideMark/>
          </w:tcPr>
          <w:p w14:paraId="3F26E0EC"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6F6B3577" w14:textId="77777777" w:rsidTr="00C55AAB">
        <w:trPr>
          <w:trHeight w:val="315"/>
        </w:trPr>
        <w:tc>
          <w:tcPr>
            <w:tcW w:w="2480" w:type="dxa"/>
            <w:tcBorders>
              <w:top w:val="nil"/>
              <w:left w:val="nil"/>
              <w:bottom w:val="single" w:sz="4" w:space="0" w:color="auto"/>
              <w:right w:val="nil"/>
            </w:tcBorders>
            <w:shd w:val="clear" w:color="auto" w:fill="auto"/>
            <w:noWrap/>
            <w:vAlign w:val="bottom"/>
            <w:hideMark/>
          </w:tcPr>
          <w:p w14:paraId="0DE7665E" w14:textId="77777777" w:rsidR="00C55AAB" w:rsidRPr="00730B1E" w:rsidRDefault="00C55AAB" w:rsidP="00C55AAB">
            <w:pPr>
              <w:spacing w:line="240" w:lineRule="auto"/>
              <w:jc w:val="left"/>
              <w:rPr>
                <w:rFonts w:eastAsia="Times New Roman"/>
                <w:szCs w:val="24"/>
                <w:lang w:eastAsia="cs-CZ"/>
              </w:rPr>
            </w:pPr>
            <w:r w:rsidRPr="00730B1E">
              <w:rPr>
                <w:rFonts w:eastAsia="Times New Roman"/>
                <w:szCs w:val="24"/>
                <w:lang w:eastAsia="cs-CZ"/>
              </w:rPr>
              <w:t>KS Brno</w:t>
            </w:r>
          </w:p>
        </w:tc>
        <w:tc>
          <w:tcPr>
            <w:tcW w:w="662" w:type="dxa"/>
            <w:tcBorders>
              <w:top w:val="nil"/>
              <w:left w:val="nil"/>
              <w:bottom w:val="single" w:sz="4" w:space="0" w:color="auto"/>
              <w:right w:val="nil"/>
            </w:tcBorders>
            <w:shd w:val="clear" w:color="auto" w:fill="auto"/>
            <w:noWrap/>
            <w:vAlign w:val="bottom"/>
            <w:hideMark/>
          </w:tcPr>
          <w:p w14:paraId="014EEEB5"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308</w:t>
            </w:r>
          </w:p>
        </w:tc>
        <w:tc>
          <w:tcPr>
            <w:tcW w:w="1018" w:type="dxa"/>
            <w:tcBorders>
              <w:top w:val="nil"/>
              <w:left w:val="nil"/>
              <w:bottom w:val="single" w:sz="4" w:space="0" w:color="auto"/>
              <w:right w:val="nil"/>
            </w:tcBorders>
            <w:shd w:val="clear" w:color="auto" w:fill="auto"/>
            <w:noWrap/>
            <w:vAlign w:val="center"/>
            <w:hideMark/>
          </w:tcPr>
          <w:p w14:paraId="4C283EF7"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-3 %  </w:t>
            </w:r>
          </w:p>
        </w:tc>
        <w:tc>
          <w:tcPr>
            <w:tcW w:w="662" w:type="dxa"/>
            <w:tcBorders>
              <w:top w:val="nil"/>
              <w:left w:val="single" w:sz="4" w:space="0" w:color="auto"/>
              <w:bottom w:val="single" w:sz="4" w:space="0" w:color="auto"/>
              <w:right w:val="nil"/>
            </w:tcBorders>
            <w:shd w:val="clear" w:color="auto" w:fill="auto"/>
            <w:noWrap/>
            <w:vAlign w:val="bottom"/>
            <w:hideMark/>
          </w:tcPr>
          <w:p w14:paraId="3F045FD3"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223</w:t>
            </w:r>
          </w:p>
        </w:tc>
        <w:tc>
          <w:tcPr>
            <w:tcW w:w="1018" w:type="dxa"/>
            <w:tcBorders>
              <w:top w:val="nil"/>
              <w:left w:val="nil"/>
              <w:bottom w:val="single" w:sz="4" w:space="0" w:color="auto"/>
              <w:right w:val="single" w:sz="4" w:space="0" w:color="auto"/>
            </w:tcBorders>
            <w:shd w:val="clear" w:color="auto" w:fill="auto"/>
            <w:noWrap/>
            <w:vAlign w:val="center"/>
            <w:hideMark/>
          </w:tcPr>
          <w:p w14:paraId="25DCFBA5"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+15 %  </w:t>
            </w:r>
          </w:p>
        </w:tc>
        <w:tc>
          <w:tcPr>
            <w:tcW w:w="662" w:type="dxa"/>
            <w:tcBorders>
              <w:top w:val="nil"/>
              <w:left w:val="nil"/>
              <w:bottom w:val="single" w:sz="4" w:space="0" w:color="auto"/>
              <w:right w:val="nil"/>
            </w:tcBorders>
            <w:shd w:val="clear" w:color="auto" w:fill="auto"/>
            <w:noWrap/>
            <w:vAlign w:val="bottom"/>
            <w:hideMark/>
          </w:tcPr>
          <w:p w14:paraId="29AEA230"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553</w:t>
            </w:r>
          </w:p>
        </w:tc>
        <w:tc>
          <w:tcPr>
            <w:tcW w:w="1018" w:type="dxa"/>
            <w:tcBorders>
              <w:top w:val="nil"/>
              <w:left w:val="nil"/>
              <w:bottom w:val="single" w:sz="4" w:space="0" w:color="auto"/>
              <w:right w:val="nil"/>
            </w:tcBorders>
            <w:shd w:val="clear" w:color="auto" w:fill="auto"/>
            <w:noWrap/>
            <w:vAlign w:val="center"/>
            <w:hideMark/>
          </w:tcPr>
          <w:p w14:paraId="2B90DC96"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-17 %  </w:t>
            </w:r>
          </w:p>
        </w:tc>
      </w:tr>
      <w:tr w:rsidR="00B64E96" w:rsidRPr="00730B1E" w14:paraId="1E2FCC42" w14:textId="77777777" w:rsidTr="00C55AAB">
        <w:trPr>
          <w:trHeight w:val="330"/>
        </w:trPr>
        <w:tc>
          <w:tcPr>
            <w:tcW w:w="2480" w:type="dxa"/>
            <w:tcBorders>
              <w:top w:val="nil"/>
              <w:left w:val="nil"/>
              <w:bottom w:val="double" w:sz="6" w:space="0" w:color="auto"/>
              <w:right w:val="nil"/>
            </w:tcBorders>
            <w:shd w:val="clear" w:color="auto" w:fill="auto"/>
            <w:noWrap/>
            <w:vAlign w:val="bottom"/>
            <w:hideMark/>
          </w:tcPr>
          <w:p w14:paraId="7EEF014D" w14:textId="77777777" w:rsidR="00C55AAB" w:rsidRPr="00730B1E" w:rsidRDefault="00C55AAB" w:rsidP="00C55AAB">
            <w:pPr>
              <w:spacing w:line="240" w:lineRule="auto"/>
              <w:jc w:val="left"/>
              <w:rPr>
                <w:rFonts w:eastAsia="Times New Roman"/>
                <w:szCs w:val="24"/>
                <w:lang w:eastAsia="cs-CZ"/>
              </w:rPr>
            </w:pPr>
            <w:r w:rsidRPr="00730B1E">
              <w:rPr>
                <w:rFonts w:eastAsia="Times New Roman"/>
                <w:szCs w:val="24"/>
                <w:lang w:eastAsia="cs-CZ"/>
              </w:rPr>
              <w:t>KS Ostrava</w:t>
            </w:r>
          </w:p>
        </w:tc>
        <w:tc>
          <w:tcPr>
            <w:tcW w:w="662" w:type="dxa"/>
            <w:tcBorders>
              <w:top w:val="nil"/>
              <w:left w:val="nil"/>
              <w:bottom w:val="double" w:sz="6" w:space="0" w:color="auto"/>
              <w:right w:val="nil"/>
            </w:tcBorders>
            <w:shd w:val="clear" w:color="auto" w:fill="auto"/>
            <w:noWrap/>
            <w:vAlign w:val="bottom"/>
            <w:hideMark/>
          </w:tcPr>
          <w:p w14:paraId="3211D68B"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111</w:t>
            </w:r>
          </w:p>
        </w:tc>
        <w:tc>
          <w:tcPr>
            <w:tcW w:w="1018" w:type="dxa"/>
            <w:tcBorders>
              <w:top w:val="nil"/>
              <w:left w:val="nil"/>
              <w:bottom w:val="double" w:sz="6" w:space="0" w:color="auto"/>
              <w:right w:val="nil"/>
            </w:tcBorders>
            <w:shd w:val="clear" w:color="auto" w:fill="auto"/>
            <w:noWrap/>
            <w:vAlign w:val="center"/>
            <w:hideMark/>
          </w:tcPr>
          <w:p w14:paraId="716057CD"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+23 %  </w:t>
            </w:r>
          </w:p>
        </w:tc>
        <w:tc>
          <w:tcPr>
            <w:tcW w:w="662" w:type="dxa"/>
            <w:tcBorders>
              <w:top w:val="nil"/>
              <w:left w:val="single" w:sz="4" w:space="0" w:color="auto"/>
              <w:bottom w:val="double" w:sz="6" w:space="0" w:color="auto"/>
              <w:right w:val="nil"/>
            </w:tcBorders>
            <w:shd w:val="clear" w:color="auto" w:fill="auto"/>
            <w:noWrap/>
            <w:vAlign w:val="bottom"/>
            <w:hideMark/>
          </w:tcPr>
          <w:p w14:paraId="1815545A"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76</w:t>
            </w:r>
          </w:p>
        </w:tc>
        <w:tc>
          <w:tcPr>
            <w:tcW w:w="1018" w:type="dxa"/>
            <w:tcBorders>
              <w:top w:val="nil"/>
              <w:left w:val="nil"/>
              <w:bottom w:val="double" w:sz="6" w:space="0" w:color="auto"/>
              <w:right w:val="single" w:sz="4" w:space="0" w:color="auto"/>
            </w:tcBorders>
            <w:shd w:val="clear" w:color="auto" w:fill="auto"/>
            <w:noWrap/>
            <w:vAlign w:val="center"/>
            <w:hideMark/>
          </w:tcPr>
          <w:p w14:paraId="0551C45C"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+25 %  </w:t>
            </w:r>
          </w:p>
        </w:tc>
        <w:tc>
          <w:tcPr>
            <w:tcW w:w="662" w:type="dxa"/>
            <w:tcBorders>
              <w:top w:val="nil"/>
              <w:left w:val="nil"/>
              <w:bottom w:val="double" w:sz="6" w:space="0" w:color="auto"/>
              <w:right w:val="nil"/>
            </w:tcBorders>
            <w:shd w:val="clear" w:color="auto" w:fill="auto"/>
            <w:noWrap/>
            <w:vAlign w:val="bottom"/>
            <w:hideMark/>
          </w:tcPr>
          <w:p w14:paraId="2CE6B1B9" w14:textId="77777777" w:rsidR="00C55AAB" w:rsidRPr="00730B1E" w:rsidRDefault="00C55AAB" w:rsidP="00C55AAB">
            <w:pPr>
              <w:spacing w:line="240" w:lineRule="auto"/>
              <w:jc w:val="center"/>
              <w:rPr>
                <w:rFonts w:eastAsia="Times New Roman"/>
                <w:szCs w:val="24"/>
                <w:lang w:eastAsia="cs-CZ"/>
              </w:rPr>
            </w:pPr>
            <w:r w:rsidRPr="00730B1E">
              <w:rPr>
                <w:rFonts w:eastAsia="Times New Roman"/>
                <w:szCs w:val="24"/>
                <w:lang w:eastAsia="cs-CZ"/>
              </w:rPr>
              <w:t>200</w:t>
            </w:r>
          </w:p>
        </w:tc>
        <w:tc>
          <w:tcPr>
            <w:tcW w:w="1018" w:type="dxa"/>
            <w:tcBorders>
              <w:top w:val="nil"/>
              <w:left w:val="nil"/>
              <w:bottom w:val="double" w:sz="6" w:space="0" w:color="auto"/>
              <w:right w:val="nil"/>
            </w:tcBorders>
            <w:shd w:val="clear" w:color="auto" w:fill="auto"/>
            <w:noWrap/>
            <w:vAlign w:val="center"/>
            <w:hideMark/>
          </w:tcPr>
          <w:p w14:paraId="293CD7CE" w14:textId="77777777" w:rsidR="00C55AAB" w:rsidRPr="00730B1E" w:rsidRDefault="00C55AAB" w:rsidP="00C55AAB">
            <w:pPr>
              <w:spacing w:line="240" w:lineRule="auto"/>
              <w:jc w:val="right"/>
              <w:rPr>
                <w:rFonts w:eastAsia="Times New Roman"/>
                <w:sz w:val="20"/>
                <w:szCs w:val="20"/>
                <w:lang w:eastAsia="cs-CZ"/>
              </w:rPr>
            </w:pPr>
            <w:r w:rsidRPr="00730B1E">
              <w:rPr>
                <w:rFonts w:eastAsia="Times New Roman"/>
                <w:sz w:val="20"/>
                <w:szCs w:val="20"/>
                <w:lang w:eastAsia="cs-CZ"/>
              </w:rPr>
              <w:t xml:space="preserve">+12 %  </w:t>
            </w:r>
          </w:p>
        </w:tc>
      </w:tr>
      <w:tr w:rsidR="00B64E96" w:rsidRPr="00730B1E" w14:paraId="34020046" w14:textId="77777777" w:rsidTr="00C55AAB">
        <w:trPr>
          <w:trHeight w:val="345"/>
        </w:trPr>
        <w:tc>
          <w:tcPr>
            <w:tcW w:w="2480" w:type="dxa"/>
            <w:tcBorders>
              <w:top w:val="nil"/>
              <w:left w:val="nil"/>
              <w:bottom w:val="double" w:sz="6" w:space="0" w:color="auto"/>
              <w:right w:val="nil"/>
            </w:tcBorders>
            <w:shd w:val="clear" w:color="auto" w:fill="auto"/>
            <w:noWrap/>
            <w:vAlign w:val="bottom"/>
            <w:hideMark/>
          </w:tcPr>
          <w:p w14:paraId="2ABBD253" w14:textId="77777777" w:rsidR="00C55AAB" w:rsidRPr="00730B1E" w:rsidRDefault="00C55AAB" w:rsidP="00C55AAB">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662" w:type="dxa"/>
            <w:tcBorders>
              <w:top w:val="nil"/>
              <w:left w:val="nil"/>
              <w:bottom w:val="double" w:sz="6" w:space="0" w:color="auto"/>
              <w:right w:val="nil"/>
            </w:tcBorders>
            <w:shd w:val="clear" w:color="auto" w:fill="auto"/>
            <w:noWrap/>
            <w:vAlign w:val="bottom"/>
            <w:hideMark/>
          </w:tcPr>
          <w:p w14:paraId="02808589" w14:textId="77777777" w:rsidR="00C55AAB" w:rsidRPr="00730B1E" w:rsidRDefault="00C55AAB" w:rsidP="00C55AAB">
            <w:pPr>
              <w:spacing w:line="240" w:lineRule="auto"/>
              <w:jc w:val="center"/>
              <w:rPr>
                <w:rFonts w:eastAsia="Times New Roman"/>
                <w:b/>
                <w:bCs/>
                <w:szCs w:val="24"/>
                <w:lang w:eastAsia="cs-CZ"/>
              </w:rPr>
            </w:pPr>
            <w:r w:rsidRPr="00730B1E">
              <w:rPr>
                <w:rFonts w:eastAsia="Times New Roman"/>
                <w:b/>
                <w:bCs/>
                <w:szCs w:val="24"/>
                <w:lang w:eastAsia="cs-CZ"/>
              </w:rPr>
              <w:t>121</w:t>
            </w:r>
          </w:p>
        </w:tc>
        <w:tc>
          <w:tcPr>
            <w:tcW w:w="1018" w:type="dxa"/>
            <w:tcBorders>
              <w:top w:val="nil"/>
              <w:left w:val="nil"/>
              <w:bottom w:val="double" w:sz="6" w:space="0" w:color="auto"/>
              <w:right w:val="nil"/>
            </w:tcBorders>
            <w:shd w:val="clear" w:color="auto" w:fill="auto"/>
            <w:noWrap/>
            <w:vAlign w:val="center"/>
            <w:hideMark/>
          </w:tcPr>
          <w:p w14:paraId="178F81E8" w14:textId="77777777" w:rsidR="00C55AAB" w:rsidRPr="00730B1E" w:rsidRDefault="00C55AAB" w:rsidP="00C55AAB">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+0 %  </w:t>
            </w:r>
          </w:p>
        </w:tc>
        <w:tc>
          <w:tcPr>
            <w:tcW w:w="662" w:type="dxa"/>
            <w:tcBorders>
              <w:top w:val="nil"/>
              <w:left w:val="single" w:sz="4" w:space="0" w:color="auto"/>
              <w:bottom w:val="double" w:sz="6" w:space="0" w:color="auto"/>
              <w:right w:val="nil"/>
            </w:tcBorders>
            <w:shd w:val="clear" w:color="auto" w:fill="auto"/>
            <w:noWrap/>
            <w:vAlign w:val="bottom"/>
            <w:hideMark/>
          </w:tcPr>
          <w:p w14:paraId="77777068" w14:textId="77777777" w:rsidR="00C55AAB" w:rsidRPr="00730B1E" w:rsidRDefault="00C55AAB" w:rsidP="00C55AAB">
            <w:pPr>
              <w:spacing w:line="240" w:lineRule="auto"/>
              <w:jc w:val="center"/>
              <w:rPr>
                <w:rFonts w:eastAsia="Times New Roman"/>
                <w:b/>
                <w:bCs/>
                <w:szCs w:val="24"/>
                <w:lang w:eastAsia="cs-CZ"/>
              </w:rPr>
            </w:pPr>
            <w:r w:rsidRPr="00730B1E">
              <w:rPr>
                <w:rFonts w:eastAsia="Times New Roman"/>
                <w:b/>
                <w:bCs/>
                <w:szCs w:val="24"/>
                <w:lang w:eastAsia="cs-CZ"/>
              </w:rPr>
              <w:t>68</w:t>
            </w:r>
          </w:p>
        </w:tc>
        <w:tc>
          <w:tcPr>
            <w:tcW w:w="1018" w:type="dxa"/>
            <w:tcBorders>
              <w:top w:val="nil"/>
              <w:left w:val="nil"/>
              <w:bottom w:val="double" w:sz="6" w:space="0" w:color="auto"/>
              <w:right w:val="single" w:sz="4" w:space="0" w:color="auto"/>
            </w:tcBorders>
            <w:shd w:val="clear" w:color="auto" w:fill="auto"/>
            <w:noWrap/>
            <w:vAlign w:val="center"/>
            <w:hideMark/>
          </w:tcPr>
          <w:p w14:paraId="3C202F6E" w14:textId="77777777" w:rsidR="00C55AAB" w:rsidRPr="00730B1E" w:rsidRDefault="00C55AAB" w:rsidP="00C55AAB">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+6 %  </w:t>
            </w:r>
          </w:p>
        </w:tc>
        <w:tc>
          <w:tcPr>
            <w:tcW w:w="662" w:type="dxa"/>
            <w:tcBorders>
              <w:top w:val="nil"/>
              <w:left w:val="nil"/>
              <w:bottom w:val="double" w:sz="6" w:space="0" w:color="auto"/>
              <w:right w:val="nil"/>
            </w:tcBorders>
            <w:shd w:val="clear" w:color="auto" w:fill="auto"/>
            <w:noWrap/>
            <w:vAlign w:val="bottom"/>
            <w:hideMark/>
          </w:tcPr>
          <w:p w14:paraId="39C86D4C" w14:textId="77777777" w:rsidR="00C55AAB" w:rsidRPr="00730B1E" w:rsidRDefault="00C55AAB" w:rsidP="00C55AAB">
            <w:pPr>
              <w:spacing w:line="240" w:lineRule="auto"/>
              <w:jc w:val="center"/>
              <w:rPr>
                <w:rFonts w:eastAsia="Times New Roman"/>
                <w:b/>
                <w:bCs/>
                <w:szCs w:val="24"/>
                <w:lang w:eastAsia="cs-CZ"/>
              </w:rPr>
            </w:pPr>
            <w:r w:rsidRPr="00730B1E">
              <w:rPr>
                <w:rFonts w:eastAsia="Times New Roman"/>
                <w:b/>
                <w:bCs/>
                <w:szCs w:val="24"/>
                <w:lang w:eastAsia="cs-CZ"/>
              </w:rPr>
              <w:t>252</w:t>
            </w:r>
          </w:p>
        </w:tc>
        <w:tc>
          <w:tcPr>
            <w:tcW w:w="1018" w:type="dxa"/>
            <w:tcBorders>
              <w:top w:val="nil"/>
              <w:left w:val="nil"/>
              <w:bottom w:val="double" w:sz="6" w:space="0" w:color="auto"/>
              <w:right w:val="nil"/>
            </w:tcBorders>
            <w:shd w:val="clear" w:color="auto" w:fill="auto"/>
            <w:noWrap/>
            <w:vAlign w:val="center"/>
            <w:hideMark/>
          </w:tcPr>
          <w:p w14:paraId="5915CA62" w14:textId="77777777" w:rsidR="00C55AAB" w:rsidRPr="00730B1E" w:rsidRDefault="00C55AAB" w:rsidP="00C55AAB">
            <w:pPr>
              <w:spacing w:line="240" w:lineRule="auto"/>
              <w:jc w:val="right"/>
              <w:rPr>
                <w:rFonts w:eastAsia="Times New Roman"/>
                <w:b/>
                <w:bCs/>
                <w:sz w:val="20"/>
                <w:szCs w:val="20"/>
                <w:lang w:eastAsia="cs-CZ"/>
              </w:rPr>
            </w:pPr>
            <w:r w:rsidRPr="00730B1E">
              <w:rPr>
                <w:rFonts w:eastAsia="Times New Roman"/>
                <w:b/>
                <w:bCs/>
                <w:sz w:val="20"/>
                <w:szCs w:val="20"/>
                <w:lang w:eastAsia="cs-CZ"/>
              </w:rPr>
              <w:t xml:space="preserve">+0 %  </w:t>
            </w:r>
          </w:p>
        </w:tc>
      </w:tr>
      <w:tr w:rsidR="00B64E96" w:rsidRPr="00730B1E" w14:paraId="4011BA4A" w14:textId="77777777" w:rsidTr="00C55AAB">
        <w:trPr>
          <w:trHeight w:val="330"/>
        </w:trPr>
        <w:tc>
          <w:tcPr>
            <w:tcW w:w="2480" w:type="dxa"/>
            <w:tcBorders>
              <w:top w:val="nil"/>
              <w:left w:val="nil"/>
              <w:bottom w:val="nil"/>
              <w:right w:val="nil"/>
            </w:tcBorders>
            <w:shd w:val="clear" w:color="auto" w:fill="auto"/>
            <w:noWrap/>
            <w:vAlign w:val="bottom"/>
            <w:hideMark/>
          </w:tcPr>
          <w:p w14:paraId="4BD13BC5" w14:textId="77777777" w:rsidR="00C55AAB" w:rsidRPr="00730B1E" w:rsidRDefault="00C55AAB" w:rsidP="00C55AAB">
            <w:pPr>
              <w:spacing w:line="240" w:lineRule="auto"/>
              <w:jc w:val="right"/>
              <w:rPr>
                <w:rFonts w:eastAsia="Times New Roman"/>
                <w:b/>
                <w:bCs/>
                <w:sz w:val="20"/>
                <w:szCs w:val="20"/>
                <w:lang w:eastAsia="cs-CZ"/>
              </w:rPr>
            </w:pPr>
          </w:p>
        </w:tc>
        <w:tc>
          <w:tcPr>
            <w:tcW w:w="662" w:type="dxa"/>
            <w:tcBorders>
              <w:top w:val="nil"/>
              <w:left w:val="nil"/>
              <w:bottom w:val="nil"/>
              <w:right w:val="nil"/>
            </w:tcBorders>
            <w:shd w:val="clear" w:color="auto" w:fill="auto"/>
            <w:noWrap/>
            <w:vAlign w:val="bottom"/>
            <w:hideMark/>
          </w:tcPr>
          <w:p w14:paraId="34EED334" w14:textId="77777777" w:rsidR="00C55AAB" w:rsidRPr="00DF07F3" w:rsidRDefault="00C55AAB" w:rsidP="00C55AAB">
            <w:pPr>
              <w:spacing w:line="240" w:lineRule="auto"/>
              <w:jc w:val="left"/>
              <w:rPr>
                <w:sz w:val="20"/>
              </w:rPr>
            </w:pPr>
          </w:p>
        </w:tc>
        <w:tc>
          <w:tcPr>
            <w:tcW w:w="1018" w:type="dxa"/>
            <w:tcBorders>
              <w:top w:val="nil"/>
              <w:left w:val="nil"/>
              <w:bottom w:val="nil"/>
              <w:right w:val="nil"/>
            </w:tcBorders>
            <w:shd w:val="clear" w:color="auto" w:fill="auto"/>
            <w:noWrap/>
            <w:vAlign w:val="bottom"/>
            <w:hideMark/>
          </w:tcPr>
          <w:p w14:paraId="4929352D" w14:textId="77777777" w:rsidR="00C55AAB" w:rsidRPr="00DF07F3" w:rsidRDefault="00C55AAB" w:rsidP="00C55AAB">
            <w:pPr>
              <w:spacing w:line="240" w:lineRule="auto"/>
              <w:jc w:val="left"/>
              <w:rPr>
                <w:sz w:val="20"/>
              </w:rPr>
            </w:pPr>
          </w:p>
        </w:tc>
        <w:tc>
          <w:tcPr>
            <w:tcW w:w="662" w:type="dxa"/>
            <w:tcBorders>
              <w:top w:val="nil"/>
              <w:left w:val="nil"/>
              <w:bottom w:val="nil"/>
              <w:right w:val="nil"/>
            </w:tcBorders>
            <w:shd w:val="clear" w:color="auto" w:fill="auto"/>
            <w:noWrap/>
            <w:vAlign w:val="bottom"/>
            <w:hideMark/>
          </w:tcPr>
          <w:p w14:paraId="4CE9DD88" w14:textId="77777777" w:rsidR="00C55AAB" w:rsidRPr="00DF07F3" w:rsidRDefault="00C55AAB" w:rsidP="00C55AAB">
            <w:pPr>
              <w:spacing w:line="240" w:lineRule="auto"/>
              <w:jc w:val="left"/>
              <w:rPr>
                <w:sz w:val="20"/>
              </w:rPr>
            </w:pPr>
          </w:p>
        </w:tc>
        <w:tc>
          <w:tcPr>
            <w:tcW w:w="1018" w:type="dxa"/>
            <w:tcBorders>
              <w:top w:val="nil"/>
              <w:left w:val="nil"/>
              <w:bottom w:val="nil"/>
              <w:right w:val="nil"/>
            </w:tcBorders>
            <w:shd w:val="clear" w:color="auto" w:fill="auto"/>
            <w:noWrap/>
            <w:vAlign w:val="bottom"/>
            <w:hideMark/>
          </w:tcPr>
          <w:p w14:paraId="42E4909C" w14:textId="77777777" w:rsidR="00C55AAB" w:rsidRPr="00DF07F3" w:rsidRDefault="00C55AAB" w:rsidP="00C55AAB">
            <w:pPr>
              <w:spacing w:line="240" w:lineRule="auto"/>
              <w:jc w:val="left"/>
              <w:rPr>
                <w:sz w:val="20"/>
              </w:rPr>
            </w:pPr>
          </w:p>
        </w:tc>
        <w:tc>
          <w:tcPr>
            <w:tcW w:w="662" w:type="dxa"/>
            <w:tcBorders>
              <w:top w:val="nil"/>
              <w:left w:val="nil"/>
              <w:bottom w:val="nil"/>
              <w:right w:val="nil"/>
            </w:tcBorders>
            <w:shd w:val="clear" w:color="auto" w:fill="auto"/>
            <w:noWrap/>
            <w:vAlign w:val="bottom"/>
            <w:hideMark/>
          </w:tcPr>
          <w:p w14:paraId="558C8138" w14:textId="77777777" w:rsidR="00C55AAB" w:rsidRPr="00DF07F3" w:rsidRDefault="00C55AAB" w:rsidP="00C55AAB">
            <w:pPr>
              <w:spacing w:line="240" w:lineRule="auto"/>
              <w:jc w:val="left"/>
              <w:rPr>
                <w:sz w:val="20"/>
              </w:rPr>
            </w:pPr>
          </w:p>
        </w:tc>
        <w:tc>
          <w:tcPr>
            <w:tcW w:w="1018" w:type="dxa"/>
            <w:tcBorders>
              <w:top w:val="nil"/>
              <w:left w:val="nil"/>
              <w:bottom w:val="nil"/>
              <w:right w:val="nil"/>
            </w:tcBorders>
            <w:shd w:val="clear" w:color="auto" w:fill="auto"/>
            <w:noWrap/>
            <w:vAlign w:val="bottom"/>
            <w:hideMark/>
          </w:tcPr>
          <w:p w14:paraId="0A46254D" w14:textId="77777777" w:rsidR="00C55AAB" w:rsidRPr="00DF07F3" w:rsidRDefault="00C55AAB" w:rsidP="00C55AAB">
            <w:pPr>
              <w:spacing w:line="240" w:lineRule="auto"/>
              <w:jc w:val="left"/>
              <w:rPr>
                <w:sz w:val="20"/>
              </w:rPr>
            </w:pPr>
          </w:p>
        </w:tc>
      </w:tr>
    </w:tbl>
    <w:p w14:paraId="01E1FED1" w14:textId="7CB952C9" w:rsidR="00C55AAB" w:rsidRPr="00730B1E" w:rsidRDefault="00C55AAB" w:rsidP="00C55AAB">
      <w:pPr>
        <w:pStyle w:val="OdstavecASR"/>
      </w:pPr>
      <w:r w:rsidRPr="00730B1E">
        <w:t>V tabulce vidíme, že nejvyšší délky odvolacího civilního řízení vykazuje KS Brno (a to již několik let při ročních kladných i záporných výkyvech) a KS Ústí nad Labem.</w:t>
      </w:r>
    </w:p>
    <w:p w14:paraId="55F9446F" w14:textId="77777777" w:rsidR="00C55AAB" w:rsidRPr="00730B1E" w:rsidRDefault="00C55AAB" w:rsidP="00C55AAB">
      <w:pPr>
        <w:pStyle w:val="OdstavecASR"/>
      </w:pPr>
      <w:r w:rsidRPr="00730B1E">
        <w:t>Jelikož KS Brno dlouhodobě vykazuje nejvyšší délky civilního odvolacího řízení, zaměřilo se Ministerstvo spravedlnosti společně se soudem na předmětná data hlouběji. Výsledkem je zjištění, že KS Brno postupuje v určité situaci, která nastane v rámci odvolacího řízení, odlišně od ostatních krajských soudů. Tato odlišnost však spočívá převážně v administrativním postupu, nikoliv v rozhodovací činnosti.</w:t>
      </w:r>
    </w:p>
    <w:p w14:paraId="431FB252" w14:textId="2FF3ADEF" w:rsidR="00C55AAB" w:rsidRPr="00730B1E" w:rsidRDefault="00C55AAB" w:rsidP="00C55AAB">
      <w:pPr>
        <w:pStyle w:val="Podnadpis"/>
        <w:numPr>
          <w:ilvl w:val="0"/>
          <w:numId w:val="0"/>
        </w:numPr>
        <w:rPr>
          <w:color w:val="auto"/>
        </w:rPr>
      </w:pPr>
      <w:bookmarkStart w:id="863" w:name="_Toc43841436"/>
      <w:bookmarkStart w:id="864" w:name="_Toc75952239"/>
      <w:bookmarkStart w:id="865" w:name="_Toc106106696"/>
      <w:bookmarkStart w:id="866" w:name="_Toc109802020"/>
      <w:bookmarkStart w:id="867" w:name="_Toc144104171"/>
      <w:bookmarkStart w:id="868" w:name="_Toc169250983"/>
      <w:bookmarkStart w:id="869" w:name="_Toc174080669"/>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64</w:t>
      </w:r>
      <w:r w:rsidRPr="00730B1E">
        <w:rPr>
          <w:color w:val="auto"/>
        </w:rPr>
        <w:fldChar w:fldCharType="end"/>
      </w:r>
      <w:r w:rsidRPr="00730B1E">
        <w:rPr>
          <w:color w:val="auto"/>
        </w:rPr>
        <w:t>: KS – distribuce délek odvolacího civilního řízení</w:t>
      </w:r>
      <w:bookmarkEnd w:id="863"/>
      <w:bookmarkEnd w:id="864"/>
      <w:bookmarkEnd w:id="865"/>
      <w:bookmarkEnd w:id="866"/>
      <w:bookmarkEnd w:id="867"/>
      <w:bookmarkEnd w:id="868"/>
      <w:bookmarkEnd w:id="869"/>
    </w:p>
    <w:p w14:paraId="4DE0C62E" w14:textId="44F7AE00" w:rsidR="00C55AAB" w:rsidRPr="00730B1E" w:rsidRDefault="00C55AAB" w:rsidP="00C55AAB">
      <w:pPr>
        <w:pStyle w:val="OdstavecASR"/>
      </w:pPr>
      <w:r w:rsidRPr="00730B1E">
        <w:rPr>
          <w:noProof/>
          <w:lang w:eastAsia="cs-CZ"/>
        </w:rPr>
        <w:drawing>
          <wp:inline distT="0" distB="0" distL="0" distR="0" wp14:anchorId="36C4E1F8" wp14:editId="42835F9C">
            <wp:extent cx="5029200" cy="3657600"/>
            <wp:effectExtent l="0" t="0" r="0"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D9190BC" w14:textId="77777777" w:rsidR="00C55AAB" w:rsidRPr="00730B1E" w:rsidRDefault="00C55AAB" w:rsidP="00C55AAB">
      <w:pPr>
        <w:pStyle w:val="OdstavecASR"/>
      </w:pPr>
      <w:r w:rsidRPr="00730B1E">
        <w:t xml:space="preserve">Podívejme se ještě na rozložení délek odvolacích řízení pomocí histogramu. Připomínáme, že stejně jako u okresních soudů je šířka jednoho intervalu (sloupce) 25 dnů. Pro lepší přehlednost uvádíme </w:t>
      </w:r>
      <w:r w:rsidRPr="00730B1E">
        <w:lastRenderedPageBreak/>
        <w:t>všechny délky řízení delší než 800 dnů v jednom sloupci (na grafu nejvíce vpravo). Z histogramu pak můžeme opět vyčíst další informace o délkách řízení. Například:</w:t>
      </w:r>
    </w:p>
    <w:p w14:paraId="146A425C" w14:textId="67566D55" w:rsidR="00C55AAB" w:rsidRPr="00730B1E" w:rsidRDefault="00C55AAB" w:rsidP="00A94F8F">
      <w:pPr>
        <w:pStyle w:val="Odstavecseseznamem"/>
        <w:numPr>
          <w:ilvl w:val="0"/>
          <w:numId w:val="18"/>
        </w:numPr>
      </w:pPr>
      <w:r w:rsidRPr="00730B1E">
        <w:t>Necelých 37 % věcí je vyřízeno do 50 dnů.</w:t>
      </w:r>
    </w:p>
    <w:p w14:paraId="4B807087" w14:textId="09C9556F" w:rsidR="00C55AAB" w:rsidRPr="00730B1E" w:rsidRDefault="00C55AAB" w:rsidP="00A94F8F">
      <w:pPr>
        <w:pStyle w:val="Odstavecseseznamem"/>
        <w:numPr>
          <w:ilvl w:val="0"/>
          <w:numId w:val="18"/>
        </w:numPr>
      </w:pPr>
      <w:r w:rsidRPr="00730B1E">
        <w:t>Asi 4 % všech odvolání v civilním řízení u KS trvá déle než 800 kalendářních dnů.</w:t>
      </w:r>
    </w:p>
    <w:p w14:paraId="1969D239" w14:textId="77777777" w:rsidR="00C55AAB" w:rsidRPr="00730B1E" w:rsidRDefault="00C55AAB" w:rsidP="00A94F8F">
      <w:pPr>
        <w:pStyle w:val="Odstavecseseznamem"/>
        <w:numPr>
          <w:ilvl w:val="0"/>
          <w:numId w:val="18"/>
        </w:numPr>
      </w:pPr>
      <w:r w:rsidRPr="00730B1E">
        <w:t>Relativní četnost délek řízení téměř vždy klesá s přibývající délkou řízení.</w:t>
      </w:r>
    </w:p>
    <w:p w14:paraId="5AB22B3B" w14:textId="7D4A4EF2" w:rsidR="00101662" w:rsidRPr="00730B1E" w:rsidRDefault="00101662" w:rsidP="00A94F8F">
      <w:pPr>
        <w:pStyle w:val="Odstavecseseznamem"/>
        <w:numPr>
          <w:ilvl w:val="0"/>
          <w:numId w:val="18"/>
        </w:numPr>
      </w:pPr>
      <w:r w:rsidRPr="00730B1E">
        <w:t>Výše uvedené hodnoty jsou s drobnými výchylkami stabilní již po mnoho let</w:t>
      </w:r>
      <w:r w:rsidR="00D51877" w:rsidRPr="00730B1E">
        <w:t>.</w:t>
      </w:r>
    </w:p>
    <w:p w14:paraId="5646C764" w14:textId="0AC56A8F" w:rsidR="008430BD" w:rsidRPr="00730B1E" w:rsidRDefault="008430BD" w:rsidP="008430BD">
      <w:pPr>
        <w:pStyle w:val="Nadpis3"/>
        <w:numPr>
          <w:ilvl w:val="2"/>
          <w:numId w:val="1"/>
        </w:numPr>
        <w:rPr>
          <w:color w:val="auto"/>
        </w:rPr>
      </w:pPr>
      <w:bookmarkStart w:id="870" w:name="_Toc106092760"/>
      <w:bookmarkStart w:id="871" w:name="_Toc169250836"/>
      <w:bookmarkStart w:id="872" w:name="_Toc174080872"/>
      <w:r w:rsidRPr="00730B1E">
        <w:rPr>
          <w:color w:val="auto"/>
        </w:rPr>
        <w:t>Vyřizování věcí</w:t>
      </w:r>
      <w:bookmarkEnd w:id="870"/>
      <w:bookmarkEnd w:id="871"/>
      <w:bookmarkEnd w:id="872"/>
    </w:p>
    <w:p w14:paraId="0DD5E1AE" w14:textId="1D48B836" w:rsidR="00C55AAB" w:rsidRPr="00730B1E" w:rsidRDefault="00C55AAB" w:rsidP="00C55AAB">
      <w:pPr>
        <w:pStyle w:val="OdstavecASR"/>
      </w:pPr>
      <w:r w:rsidRPr="00730B1E">
        <w:t>Jak jsme uvedli již dříve, data o vyřizování věcí zahrnují více agend než údaje o délce řízení.</w:t>
      </w:r>
    </w:p>
    <w:p w14:paraId="6CD7D623" w14:textId="6A13B7CC" w:rsidR="00094700" w:rsidRPr="00730B1E" w:rsidRDefault="00094700" w:rsidP="00094700">
      <w:pPr>
        <w:pStyle w:val="Podnadpis"/>
        <w:numPr>
          <w:ilvl w:val="0"/>
          <w:numId w:val="0"/>
        </w:numPr>
        <w:rPr>
          <w:color w:val="auto"/>
        </w:rPr>
      </w:pPr>
      <w:bookmarkStart w:id="873" w:name="_Toc515871387"/>
      <w:bookmarkStart w:id="874" w:name="_Toc11135118"/>
      <w:bookmarkStart w:id="875" w:name="_Toc43841437"/>
      <w:bookmarkStart w:id="876" w:name="_Toc75952240"/>
      <w:bookmarkStart w:id="877" w:name="_Toc106106697"/>
      <w:bookmarkStart w:id="878" w:name="_Toc109802021"/>
      <w:bookmarkStart w:id="879" w:name="_Toc144104172"/>
      <w:bookmarkStart w:id="880" w:name="_Toc169250984"/>
      <w:bookmarkStart w:id="881" w:name="_Toc17408067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65</w:t>
      </w:r>
      <w:r w:rsidRPr="00730B1E">
        <w:rPr>
          <w:color w:val="auto"/>
        </w:rPr>
        <w:fldChar w:fldCharType="end"/>
      </w:r>
      <w:r w:rsidRPr="00730B1E">
        <w:rPr>
          <w:color w:val="auto"/>
        </w:rPr>
        <w:t>: KS – vyřizování odvolacích civilních věcí v letech 2014–20</w:t>
      </w:r>
      <w:bookmarkEnd w:id="873"/>
      <w:bookmarkEnd w:id="874"/>
      <w:bookmarkEnd w:id="875"/>
      <w:r w:rsidRPr="00730B1E">
        <w:rPr>
          <w:color w:val="auto"/>
        </w:rPr>
        <w:t>2</w:t>
      </w:r>
      <w:bookmarkEnd w:id="876"/>
      <w:bookmarkEnd w:id="877"/>
      <w:bookmarkEnd w:id="878"/>
      <w:bookmarkEnd w:id="879"/>
      <w:r w:rsidRPr="00730B1E">
        <w:rPr>
          <w:color w:val="auto"/>
        </w:rPr>
        <w:t>3</w:t>
      </w:r>
      <w:bookmarkEnd w:id="880"/>
      <w:bookmarkEnd w:id="881"/>
    </w:p>
    <w:p w14:paraId="3F21707C" w14:textId="5375FA10" w:rsidR="00094700" w:rsidRPr="00730B1E" w:rsidRDefault="00925B14" w:rsidP="00094700">
      <w:r w:rsidRPr="00730B1E">
        <w:rPr>
          <w:noProof/>
          <w:lang w:eastAsia="cs-CZ"/>
        </w:rPr>
        <w:drawing>
          <wp:inline distT="0" distB="0" distL="0" distR="0" wp14:anchorId="18260320" wp14:editId="389F5468">
            <wp:extent cx="5029200" cy="365760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18DFB62" w14:textId="77777777" w:rsidR="00C55AAB" w:rsidRPr="00730B1E" w:rsidRDefault="00C55AAB" w:rsidP="00094700"/>
    <w:p w14:paraId="347476ED" w14:textId="518D8EFA" w:rsidR="00850FB8" w:rsidRPr="00730B1E" w:rsidRDefault="00850FB8" w:rsidP="00850FB8">
      <w:pPr>
        <w:pStyle w:val="OdstavecASR"/>
      </w:pPr>
      <w:r w:rsidRPr="00730B1E">
        <w:t xml:space="preserve">Ve sledovaném období </w:t>
      </w:r>
      <w:r w:rsidR="00123AC4" w:rsidRPr="00730B1E">
        <w:t>vidíme</w:t>
      </w:r>
      <w:r w:rsidRPr="00730B1E">
        <w:t xml:space="preserve"> výrazný postupný pokles v počtu příchozích věcí. Klesající trend ovšem výrazně zpomaluje. Logicky se nabízí hypotéza, že vývoj nápadu v agendě Co by měl za předpokladu konstantní míry odvolání do značné míry kopírovat vývoj prvostupňových vyřízených civilních věcí u okresních soudů. Tento předpoklad ale pro data v této zprávě často neplatí. Lze to vysvětlit již dříve popsanou skutečností, že do rejstříku Co nespadají jen odvolání v rejstříku C (který zkoumáme v kapitole </w:t>
      </w:r>
      <w:r w:rsidRPr="00730B1E">
        <w:fldChar w:fldCharType="begin"/>
      </w:r>
      <w:r w:rsidRPr="00730B1E">
        <w:instrText xml:space="preserve"> REF _Ref9425277 \r \h  \* MERGEFORMAT </w:instrText>
      </w:r>
      <w:r w:rsidRPr="00730B1E">
        <w:fldChar w:fldCharType="separate"/>
      </w:r>
      <w:r w:rsidR="00056825">
        <w:t>2.2</w:t>
      </w:r>
      <w:r w:rsidRPr="00730B1E">
        <w:fldChar w:fldCharType="end"/>
      </w:r>
      <w:r w:rsidRPr="00730B1E">
        <w:t>), ale i odvolání ve všech ostatních věcech, které jsou vyřizovány na civilním úseku okresních soudů.</w:t>
      </w:r>
    </w:p>
    <w:p w14:paraId="73032C93" w14:textId="4EADAAB0" w:rsidR="00850FB8" w:rsidRPr="00730B1E" w:rsidRDefault="00850FB8" w:rsidP="00850FB8">
      <w:pPr>
        <w:pStyle w:val="OdstavecASR"/>
      </w:pPr>
      <w:r w:rsidRPr="00730B1E">
        <w:t>Důležitým zjištěním je především, že počet vyřízených věcí je v posledních letech téměř vždy mírně vyšší než počet věcí příchozích. Počet nevyřízených věcí tedy pomalu, ale jistě klesá. Pokles v roce 2019 z 10 253 věcí na 8 694 věcí, tedy o 15 %, lze dokonce označit za výrazný. V roce 2020 došlo i přes pokles v nápadu k mírnému růstu v počtu nevyřízených věcí (poprvé od roku 2012). To teoreticky může plynout z vlivu pandemie COVID</w:t>
      </w:r>
      <w:r w:rsidRPr="00730B1E">
        <w:noBreakHyphen/>
        <w:t xml:space="preserve">19 a dopadu souvisejících vládních opatření na činnost soudů. Tomuto závěru odporuje fakt, že 4 soudy počet nevyřízených věcí snížily a 4 zvýšily, ale dopad pandemie se mohl lišit soud od soudu. V roce 2021 došlo k dalšímu citelnému poklesu </w:t>
      </w:r>
      <w:r w:rsidRPr="00730B1E">
        <w:lastRenderedPageBreak/>
        <w:t xml:space="preserve">v počtu nevyřízených věcí, tentokrát o 16 %. V roce 2022 pak došlo k mírnému nárůstu nevyřízených věcí. V roce 2023 pak opět došlo k poklesu, a to poměrně výraznému. Od roku 2012 klesl počet nevyřízených věcí asi o 54 %. </w:t>
      </w:r>
      <w:r w:rsidR="00123AC4" w:rsidRPr="00730B1E">
        <w:t xml:space="preserve">Počet </w:t>
      </w:r>
      <w:r w:rsidRPr="00730B1E">
        <w:t xml:space="preserve">nevyřízených věcí </w:t>
      </w:r>
      <w:r w:rsidR="00123AC4" w:rsidRPr="00730B1E">
        <w:t>nicméně</w:t>
      </w:r>
      <w:r w:rsidRPr="00730B1E">
        <w:t xml:space="preserve"> nemůže klesat donekonečna a zřejmě se ustálí</w:t>
      </w:r>
      <w:r w:rsidR="00123AC4" w:rsidRPr="00730B1E">
        <w:t xml:space="preserve">, protože z podstaty věci existuje </w:t>
      </w:r>
      <w:r w:rsidR="00BF7072" w:rsidRPr="00730B1E">
        <w:t>nepodkročitelná minimální délka řízení</w:t>
      </w:r>
      <w:r w:rsidR="00123AC4" w:rsidRPr="00730B1E">
        <w:t>;</w:t>
      </w:r>
      <w:r w:rsidRPr="00730B1E">
        <w:t xml:space="preserve"> </w:t>
      </w:r>
      <w:r w:rsidR="00123AC4" w:rsidRPr="00730B1E">
        <w:t>n</w:t>
      </w:r>
      <w:r w:rsidRPr="00730B1E">
        <w:t xml:space="preserve">abízí se </w:t>
      </w:r>
      <w:r w:rsidR="00123AC4" w:rsidRPr="00730B1E">
        <w:t xml:space="preserve">však </w:t>
      </w:r>
      <w:r w:rsidRPr="00730B1E">
        <w:t xml:space="preserve">otázka, zda </w:t>
      </w:r>
      <w:r w:rsidR="00123AC4" w:rsidRPr="00730B1E">
        <w:t>rovnovážná hladina leží na aktuální úrovni zhruba</w:t>
      </w:r>
      <w:r w:rsidRPr="00730B1E">
        <w:t xml:space="preserve"> 7 000 nevyřízených věcí</w:t>
      </w:r>
      <w:r w:rsidR="00123AC4" w:rsidRPr="00730B1E">
        <w:t>, nebo ještě níže</w:t>
      </w:r>
      <w:r w:rsidRPr="00730B1E">
        <w:t>.</w:t>
      </w:r>
    </w:p>
    <w:p w14:paraId="5CD8AFDE" w14:textId="24413C12" w:rsidR="00850FB8" w:rsidRPr="00730B1E" w:rsidRDefault="00850FB8" w:rsidP="00850FB8">
      <w:pPr>
        <w:pStyle w:val="OdstavecASR"/>
      </w:pPr>
      <w:r w:rsidRPr="00730B1E">
        <w:t xml:space="preserve">V tabulce vidíme, že vývoj v počtu příchozích/vyřízených/nevyřízených </w:t>
      </w:r>
      <w:r w:rsidR="00BF7072" w:rsidRPr="00730B1E">
        <w:t>věcí</w:t>
      </w:r>
      <w:r w:rsidRPr="00730B1E">
        <w:t xml:space="preserve"> se liší kraj od kraje.</w:t>
      </w:r>
    </w:p>
    <w:p w14:paraId="5E280726" w14:textId="63C36561" w:rsidR="00850FB8" w:rsidRPr="00730B1E" w:rsidRDefault="00850FB8" w:rsidP="00850FB8">
      <w:pPr>
        <w:pStyle w:val="Podnadpis"/>
        <w:rPr>
          <w:color w:val="auto"/>
        </w:rPr>
      </w:pPr>
      <w:bookmarkStart w:id="882" w:name="_Toc515871476"/>
      <w:bookmarkStart w:id="883" w:name="_Toc11133244"/>
      <w:bookmarkStart w:id="884" w:name="_Toc43931222"/>
      <w:bookmarkStart w:id="885" w:name="_Toc75952355"/>
      <w:bookmarkStart w:id="886" w:name="_Toc106106811"/>
      <w:bookmarkStart w:id="887" w:name="_Toc109802134"/>
      <w:bookmarkStart w:id="888" w:name="_Toc144104292"/>
      <w:bookmarkStart w:id="889" w:name="_Toc169251106"/>
      <w:bookmarkStart w:id="890" w:name="_Toc174080792"/>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49</w:t>
      </w:r>
      <w:r w:rsidRPr="00730B1E">
        <w:rPr>
          <w:color w:val="auto"/>
        </w:rPr>
        <w:fldChar w:fldCharType="end"/>
      </w:r>
      <w:r w:rsidRPr="00730B1E">
        <w:rPr>
          <w:color w:val="auto"/>
        </w:rPr>
        <w:t>: KS – vyřizování odvolacích civilních věcí dle soudů</w:t>
      </w:r>
      <w:bookmarkEnd w:id="882"/>
      <w:bookmarkEnd w:id="883"/>
      <w:bookmarkEnd w:id="884"/>
      <w:bookmarkEnd w:id="885"/>
      <w:bookmarkEnd w:id="886"/>
      <w:bookmarkEnd w:id="887"/>
      <w:bookmarkEnd w:id="888"/>
      <w:r w:rsidR="00F77E72" w:rsidRPr="00730B1E">
        <w:rPr>
          <w:color w:val="auto"/>
        </w:rPr>
        <w:t>, 2023</w:t>
      </w:r>
      <w:bookmarkEnd w:id="889"/>
      <w:bookmarkEnd w:id="890"/>
    </w:p>
    <w:tbl>
      <w:tblPr>
        <w:tblW w:w="9072" w:type="dxa"/>
        <w:tblCellMar>
          <w:left w:w="70" w:type="dxa"/>
          <w:right w:w="70" w:type="dxa"/>
        </w:tblCellMar>
        <w:tblLook w:val="04A0" w:firstRow="1" w:lastRow="0" w:firstColumn="1" w:lastColumn="0" w:noHBand="0" w:noVBand="1"/>
      </w:tblPr>
      <w:tblGrid>
        <w:gridCol w:w="2020"/>
        <w:gridCol w:w="1051"/>
        <w:gridCol w:w="910"/>
        <w:gridCol w:w="1050"/>
        <w:gridCol w:w="910"/>
        <w:gridCol w:w="869"/>
        <w:gridCol w:w="910"/>
        <w:gridCol w:w="1352"/>
      </w:tblGrid>
      <w:tr w:rsidR="00B64E96" w:rsidRPr="00730B1E" w14:paraId="391318BE" w14:textId="77777777" w:rsidTr="00F77E72">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5CB7ED5F" w14:textId="2D16355E" w:rsidR="00850FB8" w:rsidRPr="00730B1E" w:rsidRDefault="00C16C0D" w:rsidP="00850FB8">
            <w:pPr>
              <w:spacing w:line="240" w:lineRule="auto"/>
              <w:jc w:val="center"/>
              <w:rPr>
                <w:rFonts w:eastAsia="Times New Roman"/>
                <w:b/>
                <w:bCs/>
                <w:szCs w:val="24"/>
                <w:lang w:eastAsia="cs-CZ"/>
              </w:rPr>
            </w:pPr>
            <w:r w:rsidRPr="00730B1E">
              <w:rPr>
                <w:rFonts w:eastAsia="Times New Roman"/>
                <w:b/>
                <w:bCs/>
                <w:szCs w:val="24"/>
                <w:lang w:eastAsia="cs-CZ"/>
              </w:rPr>
              <w:t>S</w:t>
            </w:r>
            <w:r w:rsidR="00850FB8" w:rsidRPr="00730B1E">
              <w:rPr>
                <w:rFonts w:eastAsia="Times New Roman"/>
                <w:b/>
                <w:bCs/>
                <w:szCs w:val="24"/>
                <w:lang w:eastAsia="cs-CZ"/>
              </w:rPr>
              <w:t>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14:paraId="171A3353" w14:textId="77777777"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352" w:type="dxa"/>
            <w:vMerge w:val="restart"/>
            <w:tcBorders>
              <w:top w:val="double" w:sz="6" w:space="0" w:color="auto"/>
              <w:left w:val="nil"/>
              <w:bottom w:val="double" w:sz="6" w:space="0" w:color="000000"/>
              <w:right w:val="nil"/>
            </w:tcBorders>
            <w:shd w:val="clear" w:color="auto" w:fill="auto"/>
            <w:vAlign w:val="center"/>
            <w:hideMark/>
          </w:tcPr>
          <w:p w14:paraId="632FBA83" w14:textId="77777777"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63429032" w14:textId="77777777" w:rsidTr="00F77E72">
        <w:trPr>
          <w:trHeight w:val="330"/>
        </w:trPr>
        <w:tc>
          <w:tcPr>
            <w:tcW w:w="2020" w:type="dxa"/>
            <w:vMerge/>
            <w:tcBorders>
              <w:top w:val="double" w:sz="6" w:space="0" w:color="auto"/>
              <w:left w:val="nil"/>
              <w:bottom w:val="double" w:sz="6" w:space="0" w:color="000000"/>
              <w:right w:val="nil"/>
            </w:tcBorders>
            <w:vAlign w:val="center"/>
            <w:hideMark/>
          </w:tcPr>
          <w:p w14:paraId="2CA9131B" w14:textId="77777777" w:rsidR="00850FB8" w:rsidRPr="00730B1E" w:rsidRDefault="00850FB8" w:rsidP="00850FB8">
            <w:pPr>
              <w:spacing w:line="240" w:lineRule="auto"/>
              <w:jc w:val="left"/>
              <w:rPr>
                <w:rFonts w:eastAsia="Times New Roman"/>
                <w:b/>
                <w:bCs/>
                <w:szCs w:val="24"/>
                <w:lang w:eastAsia="cs-CZ"/>
              </w:rPr>
            </w:pPr>
          </w:p>
        </w:tc>
        <w:tc>
          <w:tcPr>
            <w:tcW w:w="1961" w:type="dxa"/>
            <w:gridSpan w:val="2"/>
            <w:tcBorders>
              <w:top w:val="nil"/>
              <w:left w:val="nil"/>
              <w:bottom w:val="double" w:sz="6" w:space="0" w:color="auto"/>
              <w:right w:val="nil"/>
            </w:tcBorders>
            <w:shd w:val="clear" w:color="auto" w:fill="auto"/>
            <w:noWrap/>
            <w:vAlign w:val="center"/>
            <w:hideMark/>
          </w:tcPr>
          <w:p w14:paraId="6D4EC3BB" w14:textId="36BC3269"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9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1B7BD5F" w14:textId="77777777"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779" w:type="dxa"/>
            <w:gridSpan w:val="2"/>
            <w:tcBorders>
              <w:top w:val="nil"/>
              <w:left w:val="nil"/>
              <w:bottom w:val="double" w:sz="6" w:space="0" w:color="auto"/>
              <w:right w:val="single" w:sz="4" w:space="0" w:color="000000"/>
            </w:tcBorders>
            <w:shd w:val="clear" w:color="auto" w:fill="auto"/>
            <w:noWrap/>
            <w:vAlign w:val="center"/>
            <w:hideMark/>
          </w:tcPr>
          <w:p w14:paraId="00E8904D" w14:textId="77777777"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352" w:type="dxa"/>
            <w:vMerge/>
            <w:tcBorders>
              <w:top w:val="double" w:sz="6" w:space="0" w:color="auto"/>
              <w:left w:val="nil"/>
              <w:bottom w:val="double" w:sz="6" w:space="0" w:color="000000"/>
              <w:right w:val="nil"/>
            </w:tcBorders>
            <w:vAlign w:val="center"/>
            <w:hideMark/>
          </w:tcPr>
          <w:p w14:paraId="74F48295" w14:textId="77777777" w:rsidR="00850FB8" w:rsidRPr="00730B1E" w:rsidRDefault="00850FB8" w:rsidP="00850FB8">
            <w:pPr>
              <w:spacing w:line="240" w:lineRule="auto"/>
              <w:jc w:val="left"/>
              <w:rPr>
                <w:rFonts w:eastAsia="Times New Roman"/>
                <w:b/>
                <w:bCs/>
                <w:szCs w:val="24"/>
                <w:lang w:eastAsia="cs-CZ"/>
              </w:rPr>
            </w:pPr>
          </w:p>
        </w:tc>
      </w:tr>
      <w:tr w:rsidR="00B64E96" w:rsidRPr="00730B1E" w14:paraId="5E10A513" w14:textId="77777777" w:rsidTr="003C41A6">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BA2C7ED" w14:textId="77777777" w:rsidR="00850FB8" w:rsidRPr="00730B1E" w:rsidRDefault="00850FB8" w:rsidP="00850FB8">
            <w:pPr>
              <w:spacing w:line="240" w:lineRule="auto"/>
              <w:jc w:val="left"/>
              <w:rPr>
                <w:rFonts w:eastAsia="Times New Roman"/>
                <w:szCs w:val="24"/>
                <w:lang w:eastAsia="cs-CZ"/>
              </w:rPr>
            </w:pPr>
            <w:r w:rsidRPr="00730B1E">
              <w:rPr>
                <w:rFonts w:eastAsia="Times New Roman"/>
                <w:szCs w:val="24"/>
                <w:lang w:eastAsia="cs-CZ"/>
              </w:rPr>
              <w:t>MS Praha</w:t>
            </w:r>
          </w:p>
        </w:tc>
        <w:tc>
          <w:tcPr>
            <w:tcW w:w="1051" w:type="dxa"/>
            <w:tcBorders>
              <w:top w:val="single" w:sz="4" w:space="0" w:color="auto"/>
              <w:left w:val="nil"/>
              <w:bottom w:val="single" w:sz="4" w:space="0" w:color="auto"/>
              <w:right w:val="nil"/>
            </w:tcBorders>
            <w:shd w:val="clear" w:color="auto" w:fill="auto"/>
            <w:noWrap/>
            <w:vAlign w:val="bottom"/>
            <w:hideMark/>
          </w:tcPr>
          <w:p w14:paraId="7EDC88F0" w14:textId="7777777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12 082</w:t>
            </w:r>
          </w:p>
        </w:tc>
        <w:tc>
          <w:tcPr>
            <w:tcW w:w="910" w:type="dxa"/>
            <w:tcBorders>
              <w:top w:val="single" w:sz="4" w:space="0" w:color="auto"/>
              <w:left w:val="nil"/>
              <w:bottom w:val="single" w:sz="4" w:space="0" w:color="auto"/>
              <w:right w:val="nil"/>
            </w:tcBorders>
            <w:shd w:val="clear" w:color="auto" w:fill="auto"/>
            <w:noWrap/>
            <w:vAlign w:val="center"/>
            <w:hideMark/>
          </w:tcPr>
          <w:p w14:paraId="6D7E6814"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050" w:type="dxa"/>
            <w:tcBorders>
              <w:top w:val="single" w:sz="4" w:space="0" w:color="auto"/>
              <w:left w:val="single" w:sz="4" w:space="0" w:color="auto"/>
              <w:bottom w:val="single" w:sz="4" w:space="0" w:color="auto"/>
              <w:right w:val="nil"/>
            </w:tcBorders>
            <w:shd w:val="clear" w:color="auto" w:fill="auto"/>
            <w:noWrap/>
            <w:vAlign w:val="bottom"/>
            <w:hideMark/>
          </w:tcPr>
          <w:p w14:paraId="256BC213" w14:textId="7777777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12 318</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320121A7"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869" w:type="dxa"/>
            <w:tcBorders>
              <w:top w:val="single" w:sz="4" w:space="0" w:color="auto"/>
              <w:left w:val="nil"/>
              <w:bottom w:val="single" w:sz="4" w:space="0" w:color="auto"/>
              <w:right w:val="nil"/>
            </w:tcBorders>
            <w:shd w:val="clear" w:color="auto" w:fill="auto"/>
            <w:noWrap/>
            <w:vAlign w:val="bottom"/>
            <w:hideMark/>
          </w:tcPr>
          <w:p w14:paraId="7074D9D5" w14:textId="7777777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1 294</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4DD5BC3C"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c>
          <w:tcPr>
            <w:tcW w:w="1352" w:type="dxa"/>
            <w:tcBorders>
              <w:top w:val="nil"/>
              <w:left w:val="nil"/>
              <w:bottom w:val="single" w:sz="4" w:space="0" w:color="auto"/>
              <w:right w:val="nil"/>
            </w:tcBorders>
            <w:shd w:val="clear" w:color="auto" w:fill="auto"/>
            <w:noWrap/>
            <w:vAlign w:val="center"/>
            <w:hideMark/>
          </w:tcPr>
          <w:p w14:paraId="1BA32D61" w14:textId="480A2E4A"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102</w:t>
            </w:r>
            <w:r w:rsidR="00C16C0D" w:rsidRPr="00730B1E">
              <w:rPr>
                <w:rFonts w:eastAsia="Times New Roman"/>
                <w:szCs w:val="24"/>
                <w:lang w:eastAsia="cs-CZ"/>
              </w:rPr>
              <w:t>,</w:t>
            </w:r>
            <w:r w:rsidRPr="00730B1E">
              <w:rPr>
                <w:rFonts w:eastAsia="Times New Roman"/>
                <w:szCs w:val="24"/>
                <w:lang w:eastAsia="cs-CZ"/>
              </w:rPr>
              <w:t>0 %</w:t>
            </w:r>
          </w:p>
        </w:tc>
      </w:tr>
      <w:tr w:rsidR="00B64E96" w:rsidRPr="00730B1E" w14:paraId="233BE008" w14:textId="77777777" w:rsidTr="003C41A6">
        <w:trPr>
          <w:trHeight w:val="315"/>
        </w:trPr>
        <w:tc>
          <w:tcPr>
            <w:tcW w:w="2020" w:type="dxa"/>
            <w:tcBorders>
              <w:top w:val="nil"/>
              <w:left w:val="nil"/>
              <w:bottom w:val="single" w:sz="4" w:space="0" w:color="auto"/>
              <w:right w:val="nil"/>
            </w:tcBorders>
            <w:shd w:val="clear" w:color="auto" w:fill="auto"/>
            <w:noWrap/>
            <w:vAlign w:val="bottom"/>
            <w:hideMark/>
          </w:tcPr>
          <w:p w14:paraId="3F99A4A4" w14:textId="77777777" w:rsidR="00850FB8" w:rsidRPr="00730B1E" w:rsidRDefault="00850FB8" w:rsidP="00850FB8">
            <w:pPr>
              <w:spacing w:line="240" w:lineRule="auto"/>
              <w:jc w:val="left"/>
              <w:rPr>
                <w:rFonts w:eastAsia="Times New Roman"/>
                <w:szCs w:val="24"/>
                <w:lang w:eastAsia="cs-CZ"/>
              </w:rPr>
            </w:pPr>
            <w:r w:rsidRPr="00730B1E">
              <w:rPr>
                <w:rFonts w:eastAsia="Times New Roman"/>
                <w:szCs w:val="24"/>
                <w:lang w:eastAsia="cs-CZ"/>
              </w:rPr>
              <w:t>KS Praha</w:t>
            </w:r>
          </w:p>
        </w:tc>
        <w:tc>
          <w:tcPr>
            <w:tcW w:w="1051" w:type="dxa"/>
            <w:tcBorders>
              <w:top w:val="nil"/>
              <w:left w:val="nil"/>
              <w:bottom w:val="single" w:sz="4" w:space="0" w:color="auto"/>
              <w:right w:val="nil"/>
            </w:tcBorders>
            <w:shd w:val="clear" w:color="auto" w:fill="auto"/>
            <w:noWrap/>
            <w:vAlign w:val="bottom"/>
            <w:hideMark/>
          </w:tcPr>
          <w:p w14:paraId="044E0026" w14:textId="47038DDE"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4</w:t>
            </w:r>
            <w:r w:rsidR="00C16C0D" w:rsidRPr="00730B1E">
              <w:rPr>
                <w:rFonts w:eastAsia="Times New Roman"/>
                <w:szCs w:val="24"/>
                <w:lang w:eastAsia="cs-CZ"/>
              </w:rPr>
              <w:t xml:space="preserve"> </w:t>
            </w:r>
            <w:r w:rsidRPr="00730B1E">
              <w:rPr>
                <w:rFonts w:eastAsia="Times New Roman"/>
                <w:szCs w:val="24"/>
                <w:lang w:eastAsia="cs-CZ"/>
              </w:rPr>
              <w:t>749</w:t>
            </w:r>
          </w:p>
        </w:tc>
        <w:tc>
          <w:tcPr>
            <w:tcW w:w="910" w:type="dxa"/>
            <w:tcBorders>
              <w:top w:val="nil"/>
              <w:left w:val="nil"/>
              <w:bottom w:val="single" w:sz="4" w:space="0" w:color="auto"/>
              <w:right w:val="nil"/>
            </w:tcBorders>
            <w:shd w:val="clear" w:color="auto" w:fill="auto"/>
            <w:noWrap/>
            <w:vAlign w:val="center"/>
            <w:hideMark/>
          </w:tcPr>
          <w:p w14:paraId="3F6859BE"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050" w:type="dxa"/>
            <w:tcBorders>
              <w:top w:val="nil"/>
              <w:left w:val="single" w:sz="4" w:space="0" w:color="auto"/>
              <w:bottom w:val="single" w:sz="4" w:space="0" w:color="auto"/>
              <w:right w:val="nil"/>
            </w:tcBorders>
            <w:shd w:val="clear" w:color="auto" w:fill="auto"/>
            <w:noWrap/>
            <w:vAlign w:val="bottom"/>
            <w:hideMark/>
          </w:tcPr>
          <w:p w14:paraId="2147A0BF" w14:textId="4845532A"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4</w:t>
            </w:r>
            <w:r w:rsidR="00C16C0D" w:rsidRPr="00730B1E">
              <w:rPr>
                <w:rFonts w:eastAsia="Times New Roman"/>
                <w:szCs w:val="24"/>
                <w:lang w:eastAsia="cs-CZ"/>
              </w:rPr>
              <w:t xml:space="preserve"> </w:t>
            </w:r>
            <w:r w:rsidRPr="00730B1E">
              <w:rPr>
                <w:rFonts w:eastAsia="Times New Roman"/>
                <w:szCs w:val="24"/>
                <w:lang w:eastAsia="cs-CZ"/>
              </w:rPr>
              <w:t>851</w:t>
            </w:r>
          </w:p>
        </w:tc>
        <w:tc>
          <w:tcPr>
            <w:tcW w:w="910" w:type="dxa"/>
            <w:tcBorders>
              <w:top w:val="nil"/>
              <w:left w:val="nil"/>
              <w:bottom w:val="single" w:sz="4" w:space="0" w:color="auto"/>
              <w:right w:val="single" w:sz="4" w:space="0" w:color="auto"/>
            </w:tcBorders>
            <w:shd w:val="clear" w:color="auto" w:fill="auto"/>
            <w:noWrap/>
            <w:vAlign w:val="center"/>
            <w:hideMark/>
          </w:tcPr>
          <w:p w14:paraId="53EE873E"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869" w:type="dxa"/>
            <w:tcBorders>
              <w:top w:val="nil"/>
              <w:left w:val="nil"/>
              <w:bottom w:val="single" w:sz="4" w:space="0" w:color="auto"/>
              <w:right w:val="nil"/>
            </w:tcBorders>
            <w:shd w:val="clear" w:color="auto" w:fill="auto"/>
            <w:noWrap/>
            <w:vAlign w:val="bottom"/>
            <w:hideMark/>
          </w:tcPr>
          <w:p w14:paraId="00C736C9" w14:textId="7777777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464</w:t>
            </w:r>
          </w:p>
        </w:tc>
        <w:tc>
          <w:tcPr>
            <w:tcW w:w="910" w:type="dxa"/>
            <w:tcBorders>
              <w:top w:val="nil"/>
              <w:left w:val="nil"/>
              <w:bottom w:val="single" w:sz="4" w:space="0" w:color="auto"/>
              <w:right w:val="single" w:sz="4" w:space="0" w:color="auto"/>
            </w:tcBorders>
            <w:shd w:val="clear" w:color="auto" w:fill="auto"/>
            <w:noWrap/>
            <w:vAlign w:val="center"/>
            <w:hideMark/>
          </w:tcPr>
          <w:p w14:paraId="758D67A7"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c>
          <w:tcPr>
            <w:tcW w:w="1352" w:type="dxa"/>
            <w:tcBorders>
              <w:top w:val="nil"/>
              <w:left w:val="nil"/>
              <w:bottom w:val="single" w:sz="4" w:space="0" w:color="auto"/>
              <w:right w:val="nil"/>
            </w:tcBorders>
            <w:shd w:val="clear" w:color="auto" w:fill="auto"/>
            <w:noWrap/>
            <w:vAlign w:val="center"/>
            <w:hideMark/>
          </w:tcPr>
          <w:p w14:paraId="4CCE5912" w14:textId="499EB03D"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102</w:t>
            </w:r>
            <w:r w:rsidR="00C16C0D" w:rsidRPr="00730B1E">
              <w:rPr>
                <w:rFonts w:eastAsia="Times New Roman"/>
                <w:szCs w:val="24"/>
                <w:lang w:eastAsia="cs-CZ"/>
              </w:rPr>
              <w:t>,</w:t>
            </w:r>
            <w:r w:rsidRPr="00730B1E">
              <w:rPr>
                <w:rFonts w:eastAsia="Times New Roman"/>
                <w:szCs w:val="24"/>
                <w:lang w:eastAsia="cs-CZ"/>
              </w:rPr>
              <w:t>1 %</w:t>
            </w:r>
          </w:p>
        </w:tc>
      </w:tr>
      <w:tr w:rsidR="00B64E96" w:rsidRPr="00730B1E" w14:paraId="3510ABA5" w14:textId="77777777" w:rsidTr="003C41A6">
        <w:trPr>
          <w:trHeight w:val="315"/>
        </w:trPr>
        <w:tc>
          <w:tcPr>
            <w:tcW w:w="2020" w:type="dxa"/>
            <w:tcBorders>
              <w:top w:val="nil"/>
              <w:left w:val="nil"/>
              <w:bottom w:val="single" w:sz="4" w:space="0" w:color="auto"/>
              <w:right w:val="nil"/>
            </w:tcBorders>
            <w:shd w:val="clear" w:color="auto" w:fill="auto"/>
            <w:noWrap/>
            <w:vAlign w:val="bottom"/>
            <w:hideMark/>
          </w:tcPr>
          <w:p w14:paraId="4B0E5A3D" w14:textId="77777777" w:rsidR="00850FB8" w:rsidRPr="00730B1E" w:rsidRDefault="00850FB8" w:rsidP="00850FB8">
            <w:pPr>
              <w:spacing w:line="240" w:lineRule="auto"/>
              <w:jc w:val="left"/>
              <w:rPr>
                <w:rFonts w:eastAsia="Times New Roman"/>
                <w:szCs w:val="24"/>
                <w:lang w:eastAsia="cs-CZ"/>
              </w:rPr>
            </w:pPr>
            <w:r w:rsidRPr="00730B1E">
              <w:rPr>
                <w:rFonts w:eastAsia="Times New Roman"/>
                <w:szCs w:val="24"/>
                <w:lang w:eastAsia="cs-CZ"/>
              </w:rPr>
              <w:t>KS Č. Budějovice</w:t>
            </w:r>
          </w:p>
        </w:tc>
        <w:tc>
          <w:tcPr>
            <w:tcW w:w="1051" w:type="dxa"/>
            <w:tcBorders>
              <w:top w:val="nil"/>
              <w:left w:val="nil"/>
              <w:bottom w:val="single" w:sz="4" w:space="0" w:color="auto"/>
              <w:right w:val="nil"/>
            </w:tcBorders>
            <w:shd w:val="clear" w:color="auto" w:fill="auto"/>
            <w:noWrap/>
            <w:vAlign w:val="bottom"/>
            <w:hideMark/>
          </w:tcPr>
          <w:p w14:paraId="00A8AD02" w14:textId="71F881A3"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w:t>
            </w:r>
            <w:r w:rsidR="00C16C0D" w:rsidRPr="00730B1E">
              <w:rPr>
                <w:rFonts w:eastAsia="Times New Roman"/>
                <w:szCs w:val="24"/>
                <w:lang w:eastAsia="cs-CZ"/>
              </w:rPr>
              <w:t xml:space="preserve"> </w:t>
            </w:r>
            <w:r w:rsidRPr="00730B1E">
              <w:rPr>
                <w:rFonts w:eastAsia="Times New Roman"/>
                <w:szCs w:val="24"/>
                <w:lang w:eastAsia="cs-CZ"/>
              </w:rPr>
              <w:t>805</w:t>
            </w:r>
          </w:p>
        </w:tc>
        <w:tc>
          <w:tcPr>
            <w:tcW w:w="910" w:type="dxa"/>
            <w:tcBorders>
              <w:top w:val="nil"/>
              <w:left w:val="nil"/>
              <w:bottom w:val="single" w:sz="4" w:space="0" w:color="auto"/>
              <w:right w:val="nil"/>
            </w:tcBorders>
            <w:shd w:val="clear" w:color="auto" w:fill="auto"/>
            <w:noWrap/>
            <w:vAlign w:val="center"/>
            <w:hideMark/>
          </w:tcPr>
          <w:p w14:paraId="6201C6D8"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050" w:type="dxa"/>
            <w:tcBorders>
              <w:top w:val="nil"/>
              <w:left w:val="single" w:sz="4" w:space="0" w:color="auto"/>
              <w:bottom w:val="single" w:sz="4" w:space="0" w:color="auto"/>
              <w:right w:val="nil"/>
            </w:tcBorders>
            <w:shd w:val="clear" w:color="auto" w:fill="auto"/>
            <w:noWrap/>
            <w:vAlign w:val="bottom"/>
            <w:hideMark/>
          </w:tcPr>
          <w:p w14:paraId="7936313F" w14:textId="141ADF58"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w:t>
            </w:r>
            <w:r w:rsidR="00C16C0D" w:rsidRPr="00730B1E">
              <w:rPr>
                <w:rFonts w:eastAsia="Times New Roman"/>
                <w:szCs w:val="24"/>
                <w:lang w:eastAsia="cs-CZ"/>
              </w:rPr>
              <w:t xml:space="preserve"> </w:t>
            </w:r>
            <w:r w:rsidRPr="00730B1E">
              <w:rPr>
                <w:rFonts w:eastAsia="Times New Roman"/>
                <w:szCs w:val="24"/>
                <w:lang w:eastAsia="cs-CZ"/>
              </w:rPr>
              <w:t>765</w:t>
            </w:r>
          </w:p>
        </w:tc>
        <w:tc>
          <w:tcPr>
            <w:tcW w:w="910" w:type="dxa"/>
            <w:tcBorders>
              <w:top w:val="nil"/>
              <w:left w:val="nil"/>
              <w:bottom w:val="single" w:sz="4" w:space="0" w:color="auto"/>
              <w:right w:val="single" w:sz="4" w:space="0" w:color="auto"/>
            </w:tcBorders>
            <w:shd w:val="clear" w:color="auto" w:fill="auto"/>
            <w:noWrap/>
            <w:vAlign w:val="center"/>
            <w:hideMark/>
          </w:tcPr>
          <w:p w14:paraId="2F0C2EF4"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869" w:type="dxa"/>
            <w:tcBorders>
              <w:top w:val="nil"/>
              <w:left w:val="nil"/>
              <w:bottom w:val="single" w:sz="4" w:space="0" w:color="auto"/>
              <w:right w:val="nil"/>
            </w:tcBorders>
            <w:shd w:val="clear" w:color="auto" w:fill="auto"/>
            <w:noWrap/>
            <w:vAlign w:val="bottom"/>
            <w:hideMark/>
          </w:tcPr>
          <w:p w14:paraId="0172243B" w14:textId="7777777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212</w:t>
            </w:r>
          </w:p>
        </w:tc>
        <w:tc>
          <w:tcPr>
            <w:tcW w:w="910" w:type="dxa"/>
            <w:tcBorders>
              <w:top w:val="nil"/>
              <w:left w:val="nil"/>
              <w:bottom w:val="single" w:sz="4" w:space="0" w:color="auto"/>
              <w:right w:val="single" w:sz="4" w:space="0" w:color="auto"/>
            </w:tcBorders>
            <w:shd w:val="clear" w:color="auto" w:fill="auto"/>
            <w:noWrap/>
            <w:vAlign w:val="center"/>
            <w:hideMark/>
          </w:tcPr>
          <w:p w14:paraId="12E499E4"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c>
          <w:tcPr>
            <w:tcW w:w="1352" w:type="dxa"/>
            <w:tcBorders>
              <w:top w:val="nil"/>
              <w:left w:val="nil"/>
              <w:bottom w:val="single" w:sz="4" w:space="0" w:color="auto"/>
              <w:right w:val="nil"/>
            </w:tcBorders>
            <w:shd w:val="clear" w:color="auto" w:fill="auto"/>
            <w:noWrap/>
            <w:vAlign w:val="center"/>
            <w:hideMark/>
          </w:tcPr>
          <w:p w14:paraId="66F08AFB" w14:textId="67DBE874"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97</w:t>
            </w:r>
            <w:r w:rsidR="00C16C0D" w:rsidRPr="00730B1E">
              <w:rPr>
                <w:rFonts w:eastAsia="Times New Roman"/>
                <w:szCs w:val="24"/>
                <w:lang w:eastAsia="cs-CZ"/>
              </w:rPr>
              <w:t>,</w:t>
            </w:r>
            <w:r w:rsidRPr="00730B1E">
              <w:rPr>
                <w:rFonts w:eastAsia="Times New Roman"/>
                <w:szCs w:val="24"/>
                <w:lang w:eastAsia="cs-CZ"/>
              </w:rPr>
              <w:t>8 %</w:t>
            </w:r>
          </w:p>
        </w:tc>
      </w:tr>
      <w:tr w:rsidR="00B64E96" w:rsidRPr="00730B1E" w14:paraId="55DF4369" w14:textId="77777777" w:rsidTr="003C41A6">
        <w:trPr>
          <w:trHeight w:val="315"/>
        </w:trPr>
        <w:tc>
          <w:tcPr>
            <w:tcW w:w="2020" w:type="dxa"/>
            <w:tcBorders>
              <w:top w:val="nil"/>
              <w:left w:val="nil"/>
              <w:bottom w:val="single" w:sz="4" w:space="0" w:color="auto"/>
              <w:right w:val="nil"/>
            </w:tcBorders>
            <w:shd w:val="clear" w:color="auto" w:fill="auto"/>
            <w:noWrap/>
            <w:vAlign w:val="bottom"/>
            <w:hideMark/>
          </w:tcPr>
          <w:p w14:paraId="5B959CAD" w14:textId="77777777" w:rsidR="00850FB8" w:rsidRPr="00730B1E" w:rsidRDefault="00850FB8" w:rsidP="00850FB8">
            <w:pPr>
              <w:spacing w:line="240" w:lineRule="auto"/>
              <w:jc w:val="left"/>
              <w:rPr>
                <w:rFonts w:eastAsia="Times New Roman"/>
                <w:szCs w:val="24"/>
                <w:lang w:eastAsia="cs-CZ"/>
              </w:rPr>
            </w:pPr>
            <w:r w:rsidRPr="00730B1E">
              <w:rPr>
                <w:rFonts w:eastAsia="Times New Roman"/>
                <w:szCs w:val="24"/>
                <w:lang w:eastAsia="cs-CZ"/>
              </w:rPr>
              <w:t>KS Plzeň</w:t>
            </w:r>
          </w:p>
        </w:tc>
        <w:tc>
          <w:tcPr>
            <w:tcW w:w="1051" w:type="dxa"/>
            <w:tcBorders>
              <w:top w:val="nil"/>
              <w:left w:val="nil"/>
              <w:bottom w:val="single" w:sz="4" w:space="0" w:color="auto"/>
              <w:right w:val="nil"/>
            </w:tcBorders>
            <w:shd w:val="clear" w:color="auto" w:fill="auto"/>
            <w:noWrap/>
            <w:vAlign w:val="bottom"/>
            <w:hideMark/>
          </w:tcPr>
          <w:p w14:paraId="15A87A7B" w14:textId="3C0F6BBB"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3</w:t>
            </w:r>
            <w:r w:rsidR="00C16C0D" w:rsidRPr="00730B1E">
              <w:rPr>
                <w:rFonts w:eastAsia="Times New Roman"/>
                <w:szCs w:val="24"/>
                <w:lang w:eastAsia="cs-CZ"/>
              </w:rPr>
              <w:t xml:space="preserve"> </w:t>
            </w:r>
            <w:r w:rsidRPr="00730B1E">
              <w:rPr>
                <w:rFonts w:eastAsia="Times New Roman"/>
                <w:szCs w:val="24"/>
                <w:lang w:eastAsia="cs-CZ"/>
              </w:rPr>
              <w:t>167</w:t>
            </w:r>
          </w:p>
        </w:tc>
        <w:tc>
          <w:tcPr>
            <w:tcW w:w="910" w:type="dxa"/>
            <w:tcBorders>
              <w:top w:val="nil"/>
              <w:left w:val="nil"/>
              <w:bottom w:val="single" w:sz="4" w:space="0" w:color="auto"/>
              <w:right w:val="nil"/>
            </w:tcBorders>
            <w:shd w:val="clear" w:color="auto" w:fill="auto"/>
            <w:noWrap/>
            <w:vAlign w:val="center"/>
            <w:hideMark/>
          </w:tcPr>
          <w:p w14:paraId="7B6F8E28"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c>
          <w:tcPr>
            <w:tcW w:w="1050" w:type="dxa"/>
            <w:tcBorders>
              <w:top w:val="nil"/>
              <w:left w:val="single" w:sz="4" w:space="0" w:color="auto"/>
              <w:bottom w:val="single" w:sz="4" w:space="0" w:color="auto"/>
              <w:right w:val="nil"/>
            </w:tcBorders>
            <w:shd w:val="clear" w:color="auto" w:fill="auto"/>
            <w:noWrap/>
            <w:vAlign w:val="bottom"/>
            <w:hideMark/>
          </w:tcPr>
          <w:p w14:paraId="01AD8DB2" w14:textId="73B8EA09"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3</w:t>
            </w:r>
            <w:r w:rsidR="00C16C0D" w:rsidRPr="00730B1E">
              <w:rPr>
                <w:rFonts w:eastAsia="Times New Roman"/>
                <w:szCs w:val="24"/>
                <w:lang w:eastAsia="cs-CZ"/>
              </w:rPr>
              <w:t xml:space="preserve"> </w:t>
            </w:r>
            <w:r w:rsidRPr="00730B1E">
              <w:rPr>
                <w:rFonts w:eastAsia="Times New Roman"/>
                <w:szCs w:val="24"/>
                <w:lang w:eastAsia="cs-CZ"/>
              </w:rPr>
              <w:t>175</w:t>
            </w:r>
          </w:p>
        </w:tc>
        <w:tc>
          <w:tcPr>
            <w:tcW w:w="910" w:type="dxa"/>
            <w:tcBorders>
              <w:top w:val="nil"/>
              <w:left w:val="nil"/>
              <w:bottom w:val="single" w:sz="4" w:space="0" w:color="auto"/>
              <w:right w:val="single" w:sz="4" w:space="0" w:color="auto"/>
            </w:tcBorders>
            <w:shd w:val="clear" w:color="auto" w:fill="auto"/>
            <w:noWrap/>
            <w:vAlign w:val="center"/>
            <w:hideMark/>
          </w:tcPr>
          <w:p w14:paraId="7A218E32"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869" w:type="dxa"/>
            <w:tcBorders>
              <w:top w:val="nil"/>
              <w:left w:val="nil"/>
              <w:bottom w:val="single" w:sz="4" w:space="0" w:color="auto"/>
              <w:right w:val="nil"/>
            </w:tcBorders>
            <w:shd w:val="clear" w:color="auto" w:fill="auto"/>
            <w:noWrap/>
            <w:vAlign w:val="bottom"/>
            <w:hideMark/>
          </w:tcPr>
          <w:p w14:paraId="74591EA2" w14:textId="7777777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344</w:t>
            </w:r>
          </w:p>
        </w:tc>
        <w:tc>
          <w:tcPr>
            <w:tcW w:w="910" w:type="dxa"/>
            <w:tcBorders>
              <w:top w:val="nil"/>
              <w:left w:val="nil"/>
              <w:bottom w:val="single" w:sz="4" w:space="0" w:color="auto"/>
              <w:right w:val="single" w:sz="4" w:space="0" w:color="auto"/>
            </w:tcBorders>
            <w:shd w:val="clear" w:color="auto" w:fill="auto"/>
            <w:noWrap/>
            <w:vAlign w:val="center"/>
            <w:hideMark/>
          </w:tcPr>
          <w:p w14:paraId="19F9112F"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352" w:type="dxa"/>
            <w:tcBorders>
              <w:top w:val="nil"/>
              <w:left w:val="nil"/>
              <w:bottom w:val="single" w:sz="4" w:space="0" w:color="auto"/>
              <w:right w:val="nil"/>
            </w:tcBorders>
            <w:shd w:val="clear" w:color="auto" w:fill="auto"/>
            <w:noWrap/>
            <w:vAlign w:val="center"/>
            <w:hideMark/>
          </w:tcPr>
          <w:p w14:paraId="0314F3F2" w14:textId="7A71913D"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100</w:t>
            </w:r>
            <w:r w:rsidR="00C16C0D" w:rsidRPr="00730B1E">
              <w:rPr>
                <w:rFonts w:eastAsia="Times New Roman"/>
                <w:szCs w:val="24"/>
                <w:lang w:eastAsia="cs-CZ"/>
              </w:rPr>
              <w:t>,</w:t>
            </w:r>
            <w:r w:rsidRPr="00730B1E">
              <w:rPr>
                <w:rFonts w:eastAsia="Times New Roman"/>
                <w:szCs w:val="24"/>
                <w:lang w:eastAsia="cs-CZ"/>
              </w:rPr>
              <w:t>3 %</w:t>
            </w:r>
          </w:p>
        </w:tc>
      </w:tr>
      <w:tr w:rsidR="00B64E96" w:rsidRPr="00730B1E" w14:paraId="7E8B7BB3" w14:textId="77777777" w:rsidTr="003C41A6">
        <w:trPr>
          <w:trHeight w:val="315"/>
        </w:trPr>
        <w:tc>
          <w:tcPr>
            <w:tcW w:w="2020" w:type="dxa"/>
            <w:tcBorders>
              <w:top w:val="nil"/>
              <w:left w:val="nil"/>
              <w:bottom w:val="single" w:sz="4" w:space="0" w:color="auto"/>
              <w:right w:val="nil"/>
            </w:tcBorders>
            <w:shd w:val="clear" w:color="auto" w:fill="auto"/>
            <w:noWrap/>
            <w:vAlign w:val="bottom"/>
            <w:hideMark/>
          </w:tcPr>
          <w:p w14:paraId="7129EB56" w14:textId="77777777" w:rsidR="00850FB8" w:rsidRPr="00730B1E" w:rsidRDefault="00850FB8" w:rsidP="00850FB8">
            <w:pPr>
              <w:spacing w:line="240" w:lineRule="auto"/>
              <w:jc w:val="left"/>
              <w:rPr>
                <w:rFonts w:eastAsia="Times New Roman"/>
                <w:szCs w:val="24"/>
                <w:lang w:eastAsia="cs-CZ"/>
              </w:rPr>
            </w:pPr>
            <w:r w:rsidRPr="00730B1E">
              <w:rPr>
                <w:rFonts w:eastAsia="Times New Roman"/>
                <w:szCs w:val="24"/>
                <w:lang w:eastAsia="cs-CZ"/>
              </w:rPr>
              <w:t>KS Ústí n. Labem</w:t>
            </w:r>
          </w:p>
        </w:tc>
        <w:tc>
          <w:tcPr>
            <w:tcW w:w="1051" w:type="dxa"/>
            <w:tcBorders>
              <w:top w:val="nil"/>
              <w:left w:val="nil"/>
              <w:bottom w:val="single" w:sz="4" w:space="0" w:color="auto"/>
              <w:right w:val="nil"/>
            </w:tcBorders>
            <w:shd w:val="clear" w:color="auto" w:fill="auto"/>
            <w:noWrap/>
            <w:vAlign w:val="bottom"/>
            <w:hideMark/>
          </w:tcPr>
          <w:p w14:paraId="70362B10" w14:textId="40A54495"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3</w:t>
            </w:r>
            <w:r w:rsidR="00C16C0D" w:rsidRPr="00730B1E">
              <w:rPr>
                <w:rFonts w:eastAsia="Times New Roman"/>
                <w:szCs w:val="24"/>
                <w:lang w:eastAsia="cs-CZ"/>
              </w:rPr>
              <w:t xml:space="preserve"> </w:t>
            </w:r>
            <w:r w:rsidRPr="00730B1E">
              <w:rPr>
                <w:rFonts w:eastAsia="Times New Roman"/>
                <w:szCs w:val="24"/>
                <w:lang w:eastAsia="cs-CZ"/>
              </w:rPr>
              <w:t>969</w:t>
            </w:r>
          </w:p>
        </w:tc>
        <w:tc>
          <w:tcPr>
            <w:tcW w:w="910" w:type="dxa"/>
            <w:tcBorders>
              <w:top w:val="nil"/>
              <w:left w:val="nil"/>
              <w:bottom w:val="single" w:sz="4" w:space="0" w:color="auto"/>
              <w:right w:val="nil"/>
            </w:tcBorders>
            <w:shd w:val="clear" w:color="auto" w:fill="auto"/>
            <w:noWrap/>
            <w:vAlign w:val="center"/>
            <w:hideMark/>
          </w:tcPr>
          <w:p w14:paraId="691F0982"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1050" w:type="dxa"/>
            <w:tcBorders>
              <w:top w:val="nil"/>
              <w:left w:val="single" w:sz="4" w:space="0" w:color="auto"/>
              <w:bottom w:val="single" w:sz="4" w:space="0" w:color="auto"/>
              <w:right w:val="nil"/>
            </w:tcBorders>
            <w:shd w:val="clear" w:color="auto" w:fill="auto"/>
            <w:noWrap/>
            <w:vAlign w:val="bottom"/>
            <w:hideMark/>
          </w:tcPr>
          <w:p w14:paraId="66BCB470" w14:textId="6EB8B6D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3</w:t>
            </w:r>
            <w:r w:rsidR="00C16C0D" w:rsidRPr="00730B1E">
              <w:rPr>
                <w:rFonts w:eastAsia="Times New Roman"/>
                <w:szCs w:val="24"/>
                <w:lang w:eastAsia="cs-CZ"/>
              </w:rPr>
              <w:t xml:space="preserve"> </w:t>
            </w:r>
            <w:r w:rsidRPr="00730B1E">
              <w:rPr>
                <w:rFonts w:eastAsia="Times New Roman"/>
                <w:szCs w:val="24"/>
                <w:lang w:eastAsia="cs-CZ"/>
              </w:rPr>
              <w:t>963</w:t>
            </w:r>
          </w:p>
        </w:tc>
        <w:tc>
          <w:tcPr>
            <w:tcW w:w="910" w:type="dxa"/>
            <w:tcBorders>
              <w:top w:val="nil"/>
              <w:left w:val="nil"/>
              <w:bottom w:val="single" w:sz="4" w:space="0" w:color="auto"/>
              <w:right w:val="single" w:sz="4" w:space="0" w:color="auto"/>
            </w:tcBorders>
            <w:shd w:val="clear" w:color="auto" w:fill="auto"/>
            <w:noWrap/>
            <w:vAlign w:val="center"/>
            <w:hideMark/>
          </w:tcPr>
          <w:p w14:paraId="70632253"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869" w:type="dxa"/>
            <w:tcBorders>
              <w:top w:val="nil"/>
              <w:left w:val="nil"/>
              <w:bottom w:val="single" w:sz="4" w:space="0" w:color="auto"/>
              <w:right w:val="nil"/>
            </w:tcBorders>
            <w:shd w:val="clear" w:color="auto" w:fill="auto"/>
            <w:noWrap/>
            <w:vAlign w:val="bottom"/>
            <w:hideMark/>
          </w:tcPr>
          <w:p w14:paraId="2628AABD" w14:textId="7777777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909</w:t>
            </w:r>
          </w:p>
        </w:tc>
        <w:tc>
          <w:tcPr>
            <w:tcW w:w="910" w:type="dxa"/>
            <w:tcBorders>
              <w:top w:val="nil"/>
              <w:left w:val="nil"/>
              <w:bottom w:val="single" w:sz="4" w:space="0" w:color="auto"/>
              <w:right w:val="single" w:sz="4" w:space="0" w:color="auto"/>
            </w:tcBorders>
            <w:shd w:val="clear" w:color="auto" w:fill="auto"/>
            <w:noWrap/>
            <w:vAlign w:val="center"/>
            <w:hideMark/>
          </w:tcPr>
          <w:p w14:paraId="012ACD63"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352" w:type="dxa"/>
            <w:tcBorders>
              <w:top w:val="nil"/>
              <w:left w:val="nil"/>
              <w:bottom w:val="single" w:sz="4" w:space="0" w:color="auto"/>
              <w:right w:val="nil"/>
            </w:tcBorders>
            <w:shd w:val="clear" w:color="auto" w:fill="auto"/>
            <w:noWrap/>
            <w:vAlign w:val="center"/>
            <w:hideMark/>
          </w:tcPr>
          <w:p w14:paraId="6215EF55" w14:textId="71DDCEF6"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99</w:t>
            </w:r>
            <w:r w:rsidR="00C16C0D" w:rsidRPr="00730B1E">
              <w:rPr>
                <w:rFonts w:eastAsia="Times New Roman"/>
                <w:szCs w:val="24"/>
                <w:lang w:eastAsia="cs-CZ"/>
              </w:rPr>
              <w:t>,</w:t>
            </w:r>
            <w:r w:rsidRPr="00730B1E">
              <w:rPr>
                <w:rFonts w:eastAsia="Times New Roman"/>
                <w:szCs w:val="24"/>
                <w:lang w:eastAsia="cs-CZ"/>
              </w:rPr>
              <w:t>8 %</w:t>
            </w:r>
          </w:p>
        </w:tc>
      </w:tr>
      <w:tr w:rsidR="00B64E96" w:rsidRPr="00730B1E" w14:paraId="1F3C96FF" w14:textId="77777777" w:rsidTr="003C41A6">
        <w:trPr>
          <w:trHeight w:val="315"/>
        </w:trPr>
        <w:tc>
          <w:tcPr>
            <w:tcW w:w="2020" w:type="dxa"/>
            <w:tcBorders>
              <w:top w:val="nil"/>
              <w:left w:val="nil"/>
              <w:bottom w:val="single" w:sz="4" w:space="0" w:color="auto"/>
              <w:right w:val="nil"/>
            </w:tcBorders>
            <w:shd w:val="clear" w:color="auto" w:fill="auto"/>
            <w:noWrap/>
            <w:vAlign w:val="bottom"/>
            <w:hideMark/>
          </w:tcPr>
          <w:p w14:paraId="481575F1" w14:textId="77777777" w:rsidR="00850FB8" w:rsidRPr="00730B1E" w:rsidRDefault="00850FB8" w:rsidP="00850FB8">
            <w:pPr>
              <w:spacing w:line="240" w:lineRule="auto"/>
              <w:jc w:val="left"/>
              <w:rPr>
                <w:rFonts w:eastAsia="Times New Roman"/>
                <w:szCs w:val="24"/>
                <w:lang w:eastAsia="cs-CZ"/>
              </w:rPr>
            </w:pPr>
            <w:r w:rsidRPr="00730B1E">
              <w:rPr>
                <w:rFonts w:eastAsia="Times New Roman"/>
                <w:szCs w:val="24"/>
                <w:lang w:eastAsia="cs-CZ"/>
              </w:rPr>
              <w:t>KS Hr. Králové</w:t>
            </w:r>
          </w:p>
        </w:tc>
        <w:tc>
          <w:tcPr>
            <w:tcW w:w="1051" w:type="dxa"/>
            <w:tcBorders>
              <w:top w:val="nil"/>
              <w:left w:val="nil"/>
              <w:bottom w:val="single" w:sz="4" w:space="0" w:color="auto"/>
              <w:right w:val="nil"/>
            </w:tcBorders>
            <w:shd w:val="clear" w:color="auto" w:fill="auto"/>
            <w:noWrap/>
            <w:vAlign w:val="bottom"/>
            <w:hideMark/>
          </w:tcPr>
          <w:p w14:paraId="7A5A7863" w14:textId="68A4F824"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3</w:t>
            </w:r>
            <w:r w:rsidR="00C16C0D" w:rsidRPr="00730B1E">
              <w:rPr>
                <w:rFonts w:eastAsia="Times New Roman"/>
                <w:szCs w:val="24"/>
                <w:lang w:eastAsia="cs-CZ"/>
              </w:rPr>
              <w:t xml:space="preserve"> </w:t>
            </w:r>
            <w:r w:rsidRPr="00730B1E">
              <w:rPr>
                <w:rFonts w:eastAsia="Times New Roman"/>
                <w:szCs w:val="24"/>
                <w:lang w:eastAsia="cs-CZ"/>
              </w:rPr>
              <w:t>352</w:t>
            </w:r>
          </w:p>
        </w:tc>
        <w:tc>
          <w:tcPr>
            <w:tcW w:w="910" w:type="dxa"/>
            <w:tcBorders>
              <w:top w:val="nil"/>
              <w:left w:val="nil"/>
              <w:bottom w:val="single" w:sz="4" w:space="0" w:color="auto"/>
              <w:right w:val="nil"/>
            </w:tcBorders>
            <w:shd w:val="clear" w:color="auto" w:fill="auto"/>
            <w:noWrap/>
            <w:vAlign w:val="center"/>
            <w:hideMark/>
          </w:tcPr>
          <w:p w14:paraId="7BC965FF"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50" w:type="dxa"/>
            <w:tcBorders>
              <w:top w:val="nil"/>
              <w:left w:val="single" w:sz="4" w:space="0" w:color="auto"/>
              <w:bottom w:val="single" w:sz="4" w:space="0" w:color="auto"/>
              <w:right w:val="nil"/>
            </w:tcBorders>
            <w:shd w:val="clear" w:color="auto" w:fill="auto"/>
            <w:noWrap/>
            <w:vAlign w:val="bottom"/>
            <w:hideMark/>
          </w:tcPr>
          <w:p w14:paraId="785AE789" w14:textId="395BA32C"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3</w:t>
            </w:r>
            <w:r w:rsidR="00C16C0D" w:rsidRPr="00730B1E">
              <w:rPr>
                <w:rFonts w:eastAsia="Times New Roman"/>
                <w:szCs w:val="24"/>
                <w:lang w:eastAsia="cs-CZ"/>
              </w:rPr>
              <w:t xml:space="preserve"> </w:t>
            </w:r>
            <w:r w:rsidRPr="00730B1E">
              <w:rPr>
                <w:rFonts w:eastAsia="Times New Roman"/>
                <w:szCs w:val="24"/>
                <w:lang w:eastAsia="cs-CZ"/>
              </w:rPr>
              <w:t>313</w:t>
            </w:r>
          </w:p>
        </w:tc>
        <w:tc>
          <w:tcPr>
            <w:tcW w:w="910" w:type="dxa"/>
            <w:tcBorders>
              <w:top w:val="nil"/>
              <w:left w:val="nil"/>
              <w:bottom w:val="single" w:sz="4" w:space="0" w:color="auto"/>
              <w:right w:val="single" w:sz="4" w:space="0" w:color="auto"/>
            </w:tcBorders>
            <w:shd w:val="clear" w:color="auto" w:fill="auto"/>
            <w:noWrap/>
            <w:vAlign w:val="center"/>
            <w:hideMark/>
          </w:tcPr>
          <w:p w14:paraId="5271755E"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869" w:type="dxa"/>
            <w:tcBorders>
              <w:top w:val="nil"/>
              <w:left w:val="nil"/>
              <w:bottom w:val="single" w:sz="4" w:space="0" w:color="auto"/>
              <w:right w:val="nil"/>
            </w:tcBorders>
            <w:shd w:val="clear" w:color="auto" w:fill="auto"/>
            <w:noWrap/>
            <w:vAlign w:val="bottom"/>
            <w:hideMark/>
          </w:tcPr>
          <w:p w14:paraId="65B08810" w14:textId="7777777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424</w:t>
            </w:r>
          </w:p>
        </w:tc>
        <w:tc>
          <w:tcPr>
            <w:tcW w:w="910" w:type="dxa"/>
            <w:tcBorders>
              <w:top w:val="nil"/>
              <w:left w:val="nil"/>
              <w:bottom w:val="single" w:sz="4" w:space="0" w:color="auto"/>
              <w:right w:val="single" w:sz="4" w:space="0" w:color="auto"/>
            </w:tcBorders>
            <w:shd w:val="clear" w:color="auto" w:fill="auto"/>
            <w:noWrap/>
            <w:vAlign w:val="center"/>
            <w:hideMark/>
          </w:tcPr>
          <w:p w14:paraId="4060C3C0"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1352" w:type="dxa"/>
            <w:tcBorders>
              <w:top w:val="nil"/>
              <w:left w:val="nil"/>
              <w:bottom w:val="single" w:sz="4" w:space="0" w:color="auto"/>
              <w:right w:val="nil"/>
            </w:tcBorders>
            <w:shd w:val="clear" w:color="auto" w:fill="auto"/>
            <w:noWrap/>
            <w:vAlign w:val="center"/>
            <w:hideMark/>
          </w:tcPr>
          <w:p w14:paraId="5B4272D7" w14:textId="6559B2AB"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98</w:t>
            </w:r>
            <w:r w:rsidR="00C16C0D" w:rsidRPr="00730B1E">
              <w:rPr>
                <w:rFonts w:eastAsia="Times New Roman"/>
                <w:szCs w:val="24"/>
                <w:lang w:eastAsia="cs-CZ"/>
              </w:rPr>
              <w:t>,</w:t>
            </w:r>
            <w:r w:rsidRPr="00730B1E">
              <w:rPr>
                <w:rFonts w:eastAsia="Times New Roman"/>
                <w:szCs w:val="24"/>
                <w:lang w:eastAsia="cs-CZ"/>
              </w:rPr>
              <w:t>8 %</w:t>
            </w:r>
          </w:p>
        </w:tc>
      </w:tr>
      <w:tr w:rsidR="00B64E96" w:rsidRPr="00730B1E" w14:paraId="0D8DB1FA" w14:textId="77777777" w:rsidTr="003C41A6">
        <w:trPr>
          <w:trHeight w:val="315"/>
        </w:trPr>
        <w:tc>
          <w:tcPr>
            <w:tcW w:w="2020" w:type="dxa"/>
            <w:tcBorders>
              <w:top w:val="nil"/>
              <w:left w:val="nil"/>
              <w:bottom w:val="single" w:sz="4" w:space="0" w:color="auto"/>
              <w:right w:val="nil"/>
            </w:tcBorders>
            <w:shd w:val="clear" w:color="auto" w:fill="auto"/>
            <w:noWrap/>
            <w:vAlign w:val="bottom"/>
            <w:hideMark/>
          </w:tcPr>
          <w:p w14:paraId="727975E6" w14:textId="77777777" w:rsidR="00850FB8" w:rsidRPr="00730B1E" w:rsidRDefault="00850FB8" w:rsidP="00850FB8">
            <w:pPr>
              <w:spacing w:line="240" w:lineRule="auto"/>
              <w:jc w:val="left"/>
              <w:rPr>
                <w:rFonts w:eastAsia="Times New Roman"/>
                <w:szCs w:val="24"/>
                <w:lang w:eastAsia="cs-CZ"/>
              </w:rPr>
            </w:pPr>
            <w:r w:rsidRPr="00730B1E">
              <w:rPr>
                <w:rFonts w:eastAsia="Times New Roman"/>
                <w:szCs w:val="24"/>
                <w:lang w:eastAsia="cs-CZ"/>
              </w:rPr>
              <w:t>KS Brno</w:t>
            </w:r>
          </w:p>
        </w:tc>
        <w:tc>
          <w:tcPr>
            <w:tcW w:w="1051" w:type="dxa"/>
            <w:tcBorders>
              <w:top w:val="nil"/>
              <w:left w:val="nil"/>
              <w:bottom w:val="single" w:sz="4" w:space="0" w:color="auto"/>
              <w:right w:val="nil"/>
            </w:tcBorders>
            <w:shd w:val="clear" w:color="auto" w:fill="auto"/>
            <w:noWrap/>
            <w:vAlign w:val="bottom"/>
            <w:hideMark/>
          </w:tcPr>
          <w:p w14:paraId="38ACDA69" w14:textId="5E88F7C5"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5</w:t>
            </w:r>
            <w:r w:rsidR="00C16C0D" w:rsidRPr="00730B1E">
              <w:rPr>
                <w:rFonts w:eastAsia="Times New Roman"/>
                <w:szCs w:val="24"/>
                <w:lang w:eastAsia="cs-CZ"/>
              </w:rPr>
              <w:t xml:space="preserve"> </w:t>
            </w:r>
            <w:r w:rsidRPr="00730B1E">
              <w:rPr>
                <w:rFonts w:eastAsia="Times New Roman"/>
                <w:szCs w:val="24"/>
                <w:lang w:eastAsia="cs-CZ"/>
              </w:rPr>
              <w:t>931</w:t>
            </w:r>
          </w:p>
        </w:tc>
        <w:tc>
          <w:tcPr>
            <w:tcW w:w="910" w:type="dxa"/>
            <w:tcBorders>
              <w:top w:val="nil"/>
              <w:left w:val="nil"/>
              <w:bottom w:val="single" w:sz="4" w:space="0" w:color="auto"/>
              <w:right w:val="nil"/>
            </w:tcBorders>
            <w:shd w:val="clear" w:color="auto" w:fill="auto"/>
            <w:noWrap/>
            <w:vAlign w:val="center"/>
            <w:hideMark/>
          </w:tcPr>
          <w:p w14:paraId="5A43D0AD"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050" w:type="dxa"/>
            <w:tcBorders>
              <w:top w:val="nil"/>
              <w:left w:val="single" w:sz="4" w:space="0" w:color="auto"/>
              <w:bottom w:val="single" w:sz="4" w:space="0" w:color="auto"/>
              <w:right w:val="nil"/>
            </w:tcBorders>
            <w:shd w:val="clear" w:color="auto" w:fill="auto"/>
            <w:noWrap/>
            <w:vAlign w:val="bottom"/>
            <w:hideMark/>
          </w:tcPr>
          <w:p w14:paraId="76A95137" w14:textId="4578F7BB"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6</w:t>
            </w:r>
            <w:r w:rsidR="00C16C0D" w:rsidRPr="00730B1E">
              <w:rPr>
                <w:rFonts w:eastAsia="Times New Roman"/>
                <w:szCs w:val="24"/>
                <w:lang w:eastAsia="cs-CZ"/>
              </w:rPr>
              <w:t xml:space="preserve"> </w:t>
            </w:r>
            <w:r w:rsidRPr="00730B1E">
              <w:rPr>
                <w:rFonts w:eastAsia="Times New Roman"/>
                <w:szCs w:val="24"/>
                <w:lang w:eastAsia="cs-CZ"/>
              </w:rPr>
              <w:t>472</w:t>
            </w:r>
          </w:p>
        </w:tc>
        <w:tc>
          <w:tcPr>
            <w:tcW w:w="910" w:type="dxa"/>
            <w:tcBorders>
              <w:top w:val="nil"/>
              <w:left w:val="nil"/>
              <w:bottom w:val="single" w:sz="4" w:space="0" w:color="auto"/>
              <w:right w:val="single" w:sz="4" w:space="0" w:color="auto"/>
            </w:tcBorders>
            <w:shd w:val="clear" w:color="auto" w:fill="auto"/>
            <w:noWrap/>
            <w:vAlign w:val="center"/>
            <w:hideMark/>
          </w:tcPr>
          <w:p w14:paraId="589D990D"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869" w:type="dxa"/>
            <w:tcBorders>
              <w:top w:val="nil"/>
              <w:left w:val="nil"/>
              <w:bottom w:val="single" w:sz="4" w:space="0" w:color="auto"/>
              <w:right w:val="nil"/>
            </w:tcBorders>
            <w:shd w:val="clear" w:color="auto" w:fill="auto"/>
            <w:noWrap/>
            <w:vAlign w:val="bottom"/>
            <w:hideMark/>
          </w:tcPr>
          <w:p w14:paraId="31055B1E" w14:textId="2F80E29D"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w:t>
            </w:r>
            <w:r w:rsidR="00C16C0D" w:rsidRPr="00730B1E">
              <w:rPr>
                <w:rFonts w:eastAsia="Times New Roman"/>
                <w:szCs w:val="24"/>
                <w:lang w:eastAsia="cs-CZ"/>
              </w:rPr>
              <w:t xml:space="preserve"> </w:t>
            </w:r>
            <w:r w:rsidRPr="00730B1E">
              <w:rPr>
                <w:rFonts w:eastAsia="Times New Roman"/>
                <w:szCs w:val="24"/>
                <w:lang w:eastAsia="cs-CZ"/>
              </w:rPr>
              <w:t>704</w:t>
            </w:r>
          </w:p>
        </w:tc>
        <w:tc>
          <w:tcPr>
            <w:tcW w:w="910" w:type="dxa"/>
            <w:tcBorders>
              <w:top w:val="nil"/>
              <w:left w:val="nil"/>
              <w:bottom w:val="single" w:sz="4" w:space="0" w:color="auto"/>
              <w:right w:val="single" w:sz="4" w:space="0" w:color="auto"/>
            </w:tcBorders>
            <w:shd w:val="clear" w:color="auto" w:fill="auto"/>
            <w:noWrap/>
            <w:vAlign w:val="center"/>
            <w:hideMark/>
          </w:tcPr>
          <w:p w14:paraId="35856E1B"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-24 %  </w:t>
            </w:r>
          </w:p>
        </w:tc>
        <w:tc>
          <w:tcPr>
            <w:tcW w:w="1352" w:type="dxa"/>
            <w:tcBorders>
              <w:top w:val="nil"/>
              <w:left w:val="nil"/>
              <w:bottom w:val="single" w:sz="4" w:space="0" w:color="auto"/>
              <w:right w:val="nil"/>
            </w:tcBorders>
            <w:shd w:val="clear" w:color="auto" w:fill="auto"/>
            <w:noWrap/>
            <w:vAlign w:val="center"/>
            <w:hideMark/>
          </w:tcPr>
          <w:p w14:paraId="5ADDE457" w14:textId="3D283B57"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109</w:t>
            </w:r>
            <w:r w:rsidR="00C16C0D" w:rsidRPr="00730B1E">
              <w:rPr>
                <w:rFonts w:eastAsia="Times New Roman"/>
                <w:szCs w:val="24"/>
                <w:lang w:eastAsia="cs-CZ"/>
              </w:rPr>
              <w:t>,</w:t>
            </w:r>
            <w:r w:rsidRPr="00730B1E">
              <w:rPr>
                <w:rFonts w:eastAsia="Times New Roman"/>
                <w:szCs w:val="24"/>
                <w:lang w:eastAsia="cs-CZ"/>
              </w:rPr>
              <w:t>1 %</w:t>
            </w:r>
          </w:p>
        </w:tc>
      </w:tr>
      <w:tr w:rsidR="00B64E96" w:rsidRPr="00730B1E" w14:paraId="7AC3CB27" w14:textId="77777777" w:rsidTr="00F77E72">
        <w:trPr>
          <w:trHeight w:val="330"/>
        </w:trPr>
        <w:tc>
          <w:tcPr>
            <w:tcW w:w="2020" w:type="dxa"/>
            <w:tcBorders>
              <w:top w:val="nil"/>
              <w:left w:val="nil"/>
              <w:bottom w:val="double" w:sz="6" w:space="0" w:color="auto"/>
              <w:right w:val="nil"/>
            </w:tcBorders>
            <w:shd w:val="clear" w:color="auto" w:fill="auto"/>
            <w:noWrap/>
            <w:vAlign w:val="bottom"/>
            <w:hideMark/>
          </w:tcPr>
          <w:p w14:paraId="0FF18B88" w14:textId="77777777" w:rsidR="00850FB8" w:rsidRPr="00730B1E" w:rsidRDefault="00850FB8" w:rsidP="00850FB8">
            <w:pPr>
              <w:spacing w:line="240" w:lineRule="auto"/>
              <w:jc w:val="left"/>
              <w:rPr>
                <w:rFonts w:eastAsia="Times New Roman"/>
                <w:szCs w:val="24"/>
                <w:lang w:eastAsia="cs-CZ"/>
              </w:rPr>
            </w:pPr>
            <w:r w:rsidRPr="00730B1E">
              <w:rPr>
                <w:rFonts w:eastAsia="Times New Roman"/>
                <w:szCs w:val="24"/>
                <w:lang w:eastAsia="cs-CZ"/>
              </w:rPr>
              <w:t>KS Ostrava</w:t>
            </w:r>
          </w:p>
        </w:tc>
        <w:tc>
          <w:tcPr>
            <w:tcW w:w="1051" w:type="dxa"/>
            <w:tcBorders>
              <w:top w:val="nil"/>
              <w:left w:val="nil"/>
              <w:bottom w:val="double" w:sz="6" w:space="0" w:color="auto"/>
              <w:right w:val="nil"/>
            </w:tcBorders>
            <w:shd w:val="clear" w:color="auto" w:fill="auto"/>
            <w:noWrap/>
            <w:vAlign w:val="bottom"/>
            <w:hideMark/>
          </w:tcPr>
          <w:p w14:paraId="40828D5D" w14:textId="229F2605"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5</w:t>
            </w:r>
            <w:r w:rsidR="00C16C0D" w:rsidRPr="00730B1E">
              <w:rPr>
                <w:rFonts w:eastAsia="Times New Roman"/>
                <w:szCs w:val="24"/>
                <w:lang w:eastAsia="cs-CZ"/>
              </w:rPr>
              <w:t xml:space="preserve"> </w:t>
            </w:r>
            <w:r w:rsidRPr="00730B1E">
              <w:rPr>
                <w:rFonts w:eastAsia="Times New Roman"/>
                <w:szCs w:val="24"/>
                <w:lang w:eastAsia="cs-CZ"/>
              </w:rPr>
              <w:t>865</w:t>
            </w:r>
          </w:p>
        </w:tc>
        <w:tc>
          <w:tcPr>
            <w:tcW w:w="910" w:type="dxa"/>
            <w:tcBorders>
              <w:top w:val="nil"/>
              <w:left w:val="nil"/>
              <w:bottom w:val="double" w:sz="6" w:space="0" w:color="auto"/>
              <w:right w:val="nil"/>
            </w:tcBorders>
            <w:shd w:val="clear" w:color="auto" w:fill="auto"/>
            <w:noWrap/>
            <w:vAlign w:val="center"/>
            <w:hideMark/>
          </w:tcPr>
          <w:p w14:paraId="6B760206"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-22 %  </w:t>
            </w:r>
          </w:p>
        </w:tc>
        <w:tc>
          <w:tcPr>
            <w:tcW w:w="1050" w:type="dxa"/>
            <w:tcBorders>
              <w:top w:val="nil"/>
              <w:left w:val="single" w:sz="4" w:space="0" w:color="auto"/>
              <w:bottom w:val="double" w:sz="6" w:space="0" w:color="auto"/>
              <w:right w:val="nil"/>
            </w:tcBorders>
            <w:shd w:val="clear" w:color="auto" w:fill="auto"/>
            <w:noWrap/>
            <w:vAlign w:val="bottom"/>
            <w:hideMark/>
          </w:tcPr>
          <w:p w14:paraId="293886D5" w14:textId="04AADBFC"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6</w:t>
            </w:r>
            <w:r w:rsidR="00C16C0D" w:rsidRPr="00730B1E">
              <w:rPr>
                <w:rFonts w:eastAsia="Times New Roman"/>
                <w:szCs w:val="24"/>
                <w:lang w:eastAsia="cs-CZ"/>
              </w:rPr>
              <w:t xml:space="preserve"> </w:t>
            </w:r>
            <w:r w:rsidRPr="00730B1E">
              <w:rPr>
                <w:rFonts w:eastAsia="Times New Roman"/>
                <w:szCs w:val="24"/>
                <w:lang w:eastAsia="cs-CZ"/>
              </w:rPr>
              <w:t>064</w:t>
            </w:r>
          </w:p>
        </w:tc>
        <w:tc>
          <w:tcPr>
            <w:tcW w:w="910" w:type="dxa"/>
            <w:tcBorders>
              <w:top w:val="nil"/>
              <w:left w:val="nil"/>
              <w:bottom w:val="double" w:sz="6" w:space="0" w:color="auto"/>
              <w:right w:val="single" w:sz="4" w:space="0" w:color="auto"/>
            </w:tcBorders>
            <w:shd w:val="clear" w:color="auto" w:fill="auto"/>
            <w:noWrap/>
            <w:vAlign w:val="center"/>
            <w:hideMark/>
          </w:tcPr>
          <w:p w14:paraId="78996D85"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869" w:type="dxa"/>
            <w:tcBorders>
              <w:top w:val="nil"/>
              <w:left w:val="nil"/>
              <w:bottom w:val="double" w:sz="6" w:space="0" w:color="auto"/>
              <w:right w:val="nil"/>
            </w:tcBorders>
            <w:shd w:val="clear" w:color="auto" w:fill="auto"/>
            <w:noWrap/>
            <w:vAlign w:val="bottom"/>
            <w:hideMark/>
          </w:tcPr>
          <w:p w14:paraId="310B86D8" w14:textId="68D3739E"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w:t>
            </w:r>
            <w:r w:rsidR="00C16C0D" w:rsidRPr="00730B1E">
              <w:rPr>
                <w:rFonts w:eastAsia="Times New Roman"/>
                <w:szCs w:val="24"/>
                <w:lang w:eastAsia="cs-CZ"/>
              </w:rPr>
              <w:t xml:space="preserve"> </w:t>
            </w:r>
            <w:r w:rsidRPr="00730B1E">
              <w:rPr>
                <w:rFonts w:eastAsia="Times New Roman"/>
                <w:szCs w:val="24"/>
                <w:lang w:eastAsia="cs-CZ"/>
              </w:rPr>
              <w:t>656</w:t>
            </w:r>
          </w:p>
        </w:tc>
        <w:tc>
          <w:tcPr>
            <w:tcW w:w="910" w:type="dxa"/>
            <w:tcBorders>
              <w:top w:val="nil"/>
              <w:left w:val="nil"/>
              <w:bottom w:val="double" w:sz="6" w:space="0" w:color="auto"/>
              <w:right w:val="single" w:sz="4" w:space="0" w:color="auto"/>
            </w:tcBorders>
            <w:shd w:val="clear" w:color="auto" w:fill="auto"/>
            <w:noWrap/>
            <w:vAlign w:val="center"/>
            <w:hideMark/>
          </w:tcPr>
          <w:p w14:paraId="2240EC4E" w14:textId="77777777" w:rsidR="00850FB8" w:rsidRPr="00730B1E" w:rsidRDefault="00850FB8" w:rsidP="00850FB8">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1352" w:type="dxa"/>
            <w:tcBorders>
              <w:top w:val="nil"/>
              <w:left w:val="nil"/>
              <w:bottom w:val="nil"/>
              <w:right w:val="nil"/>
            </w:tcBorders>
            <w:shd w:val="clear" w:color="auto" w:fill="auto"/>
            <w:noWrap/>
            <w:vAlign w:val="center"/>
            <w:hideMark/>
          </w:tcPr>
          <w:p w14:paraId="2FB62C07" w14:textId="4B793DB0" w:rsidR="00850FB8" w:rsidRPr="00730B1E" w:rsidRDefault="00850FB8" w:rsidP="00850FB8">
            <w:pPr>
              <w:spacing w:line="240" w:lineRule="auto"/>
              <w:jc w:val="center"/>
              <w:rPr>
                <w:rFonts w:eastAsia="Times New Roman"/>
                <w:szCs w:val="24"/>
                <w:lang w:eastAsia="cs-CZ"/>
              </w:rPr>
            </w:pPr>
            <w:r w:rsidRPr="00730B1E">
              <w:rPr>
                <w:rFonts w:eastAsia="Times New Roman"/>
                <w:szCs w:val="24"/>
                <w:lang w:eastAsia="cs-CZ"/>
              </w:rPr>
              <w:t>103</w:t>
            </w:r>
            <w:r w:rsidR="00C16C0D" w:rsidRPr="00730B1E">
              <w:rPr>
                <w:rFonts w:eastAsia="Times New Roman"/>
                <w:szCs w:val="24"/>
                <w:lang w:eastAsia="cs-CZ"/>
              </w:rPr>
              <w:t>,</w:t>
            </w:r>
            <w:r w:rsidRPr="00730B1E">
              <w:rPr>
                <w:rFonts w:eastAsia="Times New Roman"/>
                <w:szCs w:val="24"/>
                <w:lang w:eastAsia="cs-CZ"/>
              </w:rPr>
              <w:t>4 %</w:t>
            </w:r>
          </w:p>
        </w:tc>
      </w:tr>
      <w:tr w:rsidR="00B64E96" w:rsidRPr="00730B1E" w14:paraId="5E5E2A63" w14:textId="77777777" w:rsidTr="00F77E72">
        <w:trPr>
          <w:trHeight w:val="345"/>
        </w:trPr>
        <w:tc>
          <w:tcPr>
            <w:tcW w:w="2020" w:type="dxa"/>
            <w:tcBorders>
              <w:top w:val="nil"/>
              <w:left w:val="nil"/>
              <w:bottom w:val="double" w:sz="6" w:space="0" w:color="auto"/>
              <w:right w:val="nil"/>
            </w:tcBorders>
            <w:shd w:val="clear" w:color="auto" w:fill="auto"/>
            <w:noWrap/>
            <w:vAlign w:val="bottom"/>
            <w:hideMark/>
          </w:tcPr>
          <w:p w14:paraId="4455835D" w14:textId="77777777" w:rsidR="00850FB8" w:rsidRPr="00730B1E" w:rsidRDefault="00850FB8" w:rsidP="00850FB8">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51" w:type="dxa"/>
            <w:tcBorders>
              <w:top w:val="nil"/>
              <w:left w:val="nil"/>
              <w:bottom w:val="double" w:sz="6" w:space="0" w:color="auto"/>
              <w:right w:val="nil"/>
            </w:tcBorders>
            <w:shd w:val="clear" w:color="auto" w:fill="auto"/>
            <w:noWrap/>
            <w:vAlign w:val="bottom"/>
            <w:hideMark/>
          </w:tcPr>
          <w:p w14:paraId="1F9D6BB7" w14:textId="3C356ED2"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40</w:t>
            </w:r>
            <w:r w:rsidR="00C16C0D" w:rsidRPr="00730B1E">
              <w:rPr>
                <w:rFonts w:eastAsia="Times New Roman"/>
                <w:b/>
                <w:bCs/>
                <w:szCs w:val="24"/>
                <w:lang w:eastAsia="cs-CZ"/>
              </w:rPr>
              <w:t xml:space="preserve"> </w:t>
            </w:r>
            <w:r w:rsidRPr="00730B1E">
              <w:rPr>
                <w:rFonts w:eastAsia="Times New Roman"/>
                <w:b/>
                <w:bCs/>
                <w:szCs w:val="24"/>
                <w:lang w:eastAsia="cs-CZ"/>
              </w:rPr>
              <w:t>920</w:t>
            </w:r>
          </w:p>
        </w:tc>
        <w:tc>
          <w:tcPr>
            <w:tcW w:w="910" w:type="dxa"/>
            <w:tcBorders>
              <w:top w:val="nil"/>
              <w:left w:val="nil"/>
              <w:bottom w:val="double" w:sz="6" w:space="0" w:color="auto"/>
              <w:right w:val="nil"/>
            </w:tcBorders>
            <w:shd w:val="clear" w:color="auto" w:fill="auto"/>
            <w:noWrap/>
            <w:vAlign w:val="center"/>
            <w:hideMark/>
          </w:tcPr>
          <w:p w14:paraId="753A18A7" w14:textId="77777777" w:rsidR="00850FB8" w:rsidRPr="00730B1E" w:rsidRDefault="00850FB8" w:rsidP="00850FB8">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-8 %  </w:t>
            </w:r>
          </w:p>
        </w:tc>
        <w:tc>
          <w:tcPr>
            <w:tcW w:w="1050" w:type="dxa"/>
            <w:tcBorders>
              <w:top w:val="nil"/>
              <w:left w:val="single" w:sz="4" w:space="0" w:color="auto"/>
              <w:bottom w:val="double" w:sz="6" w:space="0" w:color="auto"/>
              <w:right w:val="nil"/>
            </w:tcBorders>
            <w:shd w:val="clear" w:color="auto" w:fill="auto"/>
            <w:noWrap/>
            <w:vAlign w:val="bottom"/>
            <w:hideMark/>
          </w:tcPr>
          <w:p w14:paraId="50D0C251" w14:textId="1D6B2D80"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41</w:t>
            </w:r>
            <w:r w:rsidR="00C16C0D" w:rsidRPr="00730B1E">
              <w:rPr>
                <w:rFonts w:eastAsia="Times New Roman"/>
                <w:b/>
                <w:bCs/>
                <w:szCs w:val="24"/>
                <w:lang w:eastAsia="cs-CZ"/>
              </w:rPr>
              <w:t xml:space="preserve"> </w:t>
            </w:r>
            <w:r w:rsidRPr="00730B1E">
              <w:rPr>
                <w:rFonts w:eastAsia="Times New Roman"/>
                <w:b/>
                <w:bCs/>
                <w:szCs w:val="24"/>
                <w:lang w:eastAsia="cs-CZ"/>
              </w:rPr>
              <w:t>921</w:t>
            </w:r>
          </w:p>
        </w:tc>
        <w:tc>
          <w:tcPr>
            <w:tcW w:w="910" w:type="dxa"/>
            <w:tcBorders>
              <w:top w:val="nil"/>
              <w:left w:val="nil"/>
              <w:bottom w:val="double" w:sz="6" w:space="0" w:color="auto"/>
              <w:right w:val="single" w:sz="4" w:space="0" w:color="auto"/>
            </w:tcBorders>
            <w:shd w:val="clear" w:color="auto" w:fill="auto"/>
            <w:noWrap/>
            <w:vAlign w:val="center"/>
            <w:hideMark/>
          </w:tcPr>
          <w:p w14:paraId="73BB7CCF" w14:textId="77777777" w:rsidR="00850FB8" w:rsidRPr="00730B1E" w:rsidRDefault="00850FB8" w:rsidP="00850FB8">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-5 %  </w:t>
            </w:r>
          </w:p>
        </w:tc>
        <w:tc>
          <w:tcPr>
            <w:tcW w:w="869" w:type="dxa"/>
            <w:tcBorders>
              <w:top w:val="nil"/>
              <w:left w:val="nil"/>
              <w:bottom w:val="double" w:sz="6" w:space="0" w:color="auto"/>
              <w:right w:val="nil"/>
            </w:tcBorders>
            <w:shd w:val="clear" w:color="auto" w:fill="auto"/>
            <w:noWrap/>
            <w:vAlign w:val="bottom"/>
            <w:hideMark/>
          </w:tcPr>
          <w:p w14:paraId="7AAFF3CD" w14:textId="4E26BDE9"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7</w:t>
            </w:r>
            <w:r w:rsidR="00C16C0D" w:rsidRPr="00730B1E">
              <w:rPr>
                <w:rFonts w:eastAsia="Times New Roman"/>
                <w:b/>
                <w:bCs/>
                <w:szCs w:val="24"/>
                <w:lang w:eastAsia="cs-CZ"/>
              </w:rPr>
              <w:t xml:space="preserve"> </w:t>
            </w:r>
            <w:r w:rsidRPr="00730B1E">
              <w:rPr>
                <w:rFonts w:eastAsia="Times New Roman"/>
                <w:b/>
                <w:bCs/>
                <w:szCs w:val="24"/>
                <w:lang w:eastAsia="cs-CZ"/>
              </w:rPr>
              <w:t>007</w:t>
            </w:r>
          </w:p>
        </w:tc>
        <w:tc>
          <w:tcPr>
            <w:tcW w:w="910" w:type="dxa"/>
            <w:tcBorders>
              <w:top w:val="nil"/>
              <w:left w:val="nil"/>
              <w:bottom w:val="double" w:sz="6" w:space="0" w:color="auto"/>
              <w:right w:val="single" w:sz="4" w:space="0" w:color="auto"/>
            </w:tcBorders>
            <w:shd w:val="clear" w:color="auto" w:fill="auto"/>
            <w:noWrap/>
            <w:vAlign w:val="center"/>
            <w:hideMark/>
          </w:tcPr>
          <w:p w14:paraId="4B29012C" w14:textId="77777777" w:rsidR="00850FB8" w:rsidRPr="00730B1E" w:rsidRDefault="00850FB8" w:rsidP="00850FB8">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-13 %  </w:t>
            </w:r>
          </w:p>
        </w:tc>
        <w:tc>
          <w:tcPr>
            <w:tcW w:w="1352" w:type="dxa"/>
            <w:tcBorders>
              <w:top w:val="double" w:sz="6" w:space="0" w:color="auto"/>
              <w:left w:val="nil"/>
              <w:bottom w:val="double" w:sz="6" w:space="0" w:color="auto"/>
              <w:right w:val="nil"/>
            </w:tcBorders>
            <w:shd w:val="clear" w:color="auto" w:fill="auto"/>
            <w:noWrap/>
            <w:vAlign w:val="center"/>
            <w:hideMark/>
          </w:tcPr>
          <w:p w14:paraId="7F1EDF01" w14:textId="054074EA" w:rsidR="00850FB8" w:rsidRPr="00730B1E" w:rsidRDefault="00850FB8" w:rsidP="00850FB8">
            <w:pPr>
              <w:spacing w:line="240" w:lineRule="auto"/>
              <w:jc w:val="center"/>
              <w:rPr>
                <w:rFonts w:eastAsia="Times New Roman"/>
                <w:b/>
                <w:bCs/>
                <w:szCs w:val="24"/>
                <w:lang w:eastAsia="cs-CZ"/>
              </w:rPr>
            </w:pPr>
            <w:r w:rsidRPr="00730B1E">
              <w:rPr>
                <w:rFonts w:eastAsia="Times New Roman"/>
                <w:b/>
                <w:bCs/>
                <w:szCs w:val="24"/>
                <w:lang w:eastAsia="cs-CZ"/>
              </w:rPr>
              <w:t>102</w:t>
            </w:r>
            <w:r w:rsidR="00C16C0D" w:rsidRPr="00730B1E">
              <w:rPr>
                <w:rFonts w:eastAsia="Times New Roman"/>
                <w:b/>
                <w:bCs/>
                <w:szCs w:val="24"/>
                <w:lang w:eastAsia="cs-CZ"/>
              </w:rPr>
              <w:t>,</w:t>
            </w:r>
            <w:r w:rsidRPr="00730B1E">
              <w:rPr>
                <w:rFonts w:eastAsia="Times New Roman"/>
                <w:b/>
                <w:bCs/>
                <w:szCs w:val="24"/>
                <w:lang w:eastAsia="cs-CZ"/>
              </w:rPr>
              <w:t>4 %</w:t>
            </w:r>
          </w:p>
        </w:tc>
      </w:tr>
      <w:tr w:rsidR="00B64E96" w:rsidRPr="00730B1E" w14:paraId="28399D82" w14:textId="77777777" w:rsidTr="00F77E72">
        <w:trPr>
          <w:trHeight w:val="330"/>
        </w:trPr>
        <w:tc>
          <w:tcPr>
            <w:tcW w:w="2020" w:type="dxa"/>
            <w:tcBorders>
              <w:top w:val="nil"/>
              <w:left w:val="nil"/>
              <w:bottom w:val="nil"/>
              <w:right w:val="nil"/>
            </w:tcBorders>
            <w:shd w:val="clear" w:color="auto" w:fill="auto"/>
            <w:noWrap/>
            <w:vAlign w:val="bottom"/>
            <w:hideMark/>
          </w:tcPr>
          <w:p w14:paraId="5D8D1013" w14:textId="77777777" w:rsidR="00850FB8" w:rsidRPr="00730B1E" w:rsidRDefault="00850FB8" w:rsidP="00850FB8">
            <w:pPr>
              <w:spacing w:line="240" w:lineRule="auto"/>
              <w:jc w:val="center"/>
              <w:rPr>
                <w:rFonts w:eastAsia="Times New Roman"/>
                <w:b/>
                <w:bCs/>
                <w:szCs w:val="24"/>
                <w:lang w:eastAsia="cs-CZ"/>
              </w:rPr>
            </w:pPr>
          </w:p>
        </w:tc>
        <w:tc>
          <w:tcPr>
            <w:tcW w:w="1051" w:type="dxa"/>
            <w:tcBorders>
              <w:top w:val="nil"/>
              <w:left w:val="nil"/>
              <w:bottom w:val="nil"/>
              <w:right w:val="nil"/>
            </w:tcBorders>
            <w:shd w:val="clear" w:color="auto" w:fill="auto"/>
            <w:noWrap/>
            <w:vAlign w:val="bottom"/>
            <w:hideMark/>
          </w:tcPr>
          <w:p w14:paraId="07AE8944" w14:textId="77777777" w:rsidR="00850FB8" w:rsidRPr="00DF07F3" w:rsidRDefault="00850FB8" w:rsidP="00850FB8">
            <w:pPr>
              <w:spacing w:line="240" w:lineRule="auto"/>
              <w:jc w:val="left"/>
              <w:rPr>
                <w:sz w:val="20"/>
              </w:rPr>
            </w:pPr>
          </w:p>
        </w:tc>
        <w:tc>
          <w:tcPr>
            <w:tcW w:w="910" w:type="dxa"/>
            <w:tcBorders>
              <w:top w:val="nil"/>
              <w:left w:val="nil"/>
              <w:bottom w:val="nil"/>
              <w:right w:val="nil"/>
            </w:tcBorders>
            <w:shd w:val="clear" w:color="auto" w:fill="auto"/>
            <w:noWrap/>
            <w:vAlign w:val="bottom"/>
            <w:hideMark/>
          </w:tcPr>
          <w:p w14:paraId="4DD49972" w14:textId="77777777" w:rsidR="00850FB8" w:rsidRPr="00DF07F3" w:rsidRDefault="00850FB8" w:rsidP="00850FB8">
            <w:pPr>
              <w:spacing w:line="240" w:lineRule="auto"/>
              <w:jc w:val="left"/>
              <w:rPr>
                <w:sz w:val="20"/>
              </w:rPr>
            </w:pPr>
          </w:p>
        </w:tc>
        <w:tc>
          <w:tcPr>
            <w:tcW w:w="1050" w:type="dxa"/>
            <w:tcBorders>
              <w:top w:val="nil"/>
              <w:left w:val="nil"/>
              <w:bottom w:val="nil"/>
              <w:right w:val="nil"/>
            </w:tcBorders>
            <w:shd w:val="clear" w:color="auto" w:fill="auto"/>
            <w:noWrap/>
            <w:vAlign w:val="bottom"/>
            <w:hideMark/>
          </w:tcPr>
          <w:p w14:paraId="700F768A" w14:textId="77777777" w:rsidR="00850FB8" w:rsidRPr="00DF07F3" w:rsidRDefault="00850FB8" w:rsidP="00850FB8">
            <w:pPr>
              <w:spacing w:line="240" w:lineRule="auto"/>
              <w:jc w:val="left"/>
              <w:rPr>
                <w:sz w:val="20"/>
              </w:rPr>
            </w:pPr>
          </w:p>
        </w:tc>
        <w:tc>
          <w:tcPr>
            <w:tcW w:w="910" w:type="dxa"/>
            <w:tcBorders>
              <w:top w:val="nil"/>
              <w:left w:val="nil"/>
              <w:bottom w:val="nil"/>
              <w:right w:val="nil"/>
            </w:tcBorders>
            <w:shd w:val="clear" w:color="auto" w:fill="auto"/>
            <w:noWrap/>
            <w:vAlign w:val="bottom"/>
            <w:hideMark/>
          </w:tcPr>
          <w:p w14:paraId="1C437AF4" w14:textId="77777777" w:rsidR="00850FB8" w:rsidRPr="00DF07F3" w:rsidRDefault="00850FB8" w:rsidP="00850FB8">
            <w:pPr>
              <w:spacing w:line="240" w:lineRule="auto"/>
              <w:jc w:val="left"/>
              <w:rPr>
                <w:sz w:val="20"/>
              </w:rPr>
            </w:pPr>
          </w:p>
        </w:tc>
        <w:tc>
          <w:tcPr>
            <w:tcW w:w="869" w:type="dxa"/>
            <w:tcBorders>
              <w:top w:val="nil"/>
              <w:left w:val="nil"/>
              <w:bottom w:val="nil"/>
              <w:right w:val="nil"/>
            </w:tcBorders>
            <w:shd w:val="clear" w:color="auto" w:fill="auto"/>
            <w:noWrap/>
            <w:vAlign w:val="bottom"/>
            <w:hideMark/>
          </w:tcPr>
          <w:p w14:paraId="63D0AEFE" w14:textId="77777777" w:rsidR="00850FB8" w:rsidRPr="00DF07F3" w:rsidRDefault="00850FB8" w:rsidP="00850FB8">
            <w:pPr>
              <w:spacing w:line="240" w:lineRule="auto"/>
              <w:jc w:val="left"/>
              <w:rPr>
                <w:sz w:val="20"/>
              </w:rPr>
            </w:pPr>
          </w:p>
        </w:tc>
        <w:tc>
          <w:tcPr>
            <w:tcW w:w="910" w:type="dxa"/>
            <w:tcBorders>
              <w:top w:val="nil"/>
              <w:left w:val="nil"/>
              <w:bottom w:val="nil"/>
              <w:right w:val="nil"/>
            </w:tcBorders>
            <w:shd w:val="clear" w:color="auto" w:fill="auto"/>
            <w:noWrap/>
            <w:vAlign w:val="bottom"/>
            <w:hideMark/>
          </w:tcPr>
          <w:p w14:paraId="57D623A2" w14:textId="77777777" w:rsidR="00850FB8" w:rsidRPr="00DF07F3" w:rsidRDefault="00850FB8" w:rsidP="00850FB8">
            <w:pPr>
              <w:spacing w:line="240" w:lineRule="auto"/>
              <w:jc w:val="left"/>
              <w:rPr>
                <w:sz w:val="20"/>
              </w:rPr>
            </w:pPr>
          </w:p>
        </w:tc>
        <w:tc>
          <w:tcPr>
            <w:tcW w:w="1352" w:type="dxa"/>
            <w:tcBorders>
              <w:top w:val="nil"/>
              <w:left w:val="nil"/>
              <w:bottom w:val="nil"/>
              <w:right w:val="nil"/>
            </w:tcBorders>
            <w:shd w:val="clear" w:color="auto" w:fill="auto"/>
            <w:noWrap/>
            <w:vAlign w:val="bottom"/>
            <w:hideMark/>
          </w:tcPr>
          <w:p w14:paraId="4D21E421" w14:textId="77777777" w:rsidR="00850FB8" w:rsidRPr="00DF07F3" w:rsidRDefault="00850FB8" w:rsidP="00850FB8">
            <w:pPr>
              <w:spacing w:line="240" w:lineRule="auto"/>
              <w:jc w:val="left"/>
              <w:rPr>
                <w:sz w:val="20"/>
              </w:rPr>
            </w:pPr>
          </w:p>
        </w:tc>
      </w:tr>
    </w:tbl>
    <w:p w14:paraId="23134775" w14:textId="4C56A1F9" w:rsidR="001A527D" w:rsidRPr="00730B1E" w:rsidRDefault="001A527D" w:rsidP="001A527D">
      <w:pPr>
        <w:pStyle w:val="Nadpis3"/>
        <w:numPr>
          <w:ilvl w:val="2"/>
          <w:numId w:val="1"/>
        </w:numPr>
        <w:rPr>
          <w:color w:val="auto"/>
        </w:rPr>
      </w:pPr>
      <w:bookmarkStart w:id="891" w:name="_Toc106092761"/>
      <w:bookmarkStart w:id="892" w:name="_Toc169250837"/>
      <w:bookmarkStart w:id="893" w:name="_Toc174080873"/>
      <w:r w:rsidRPr="00730B1E">
        <w:rPr>
          <w:color w:val="auto"/>
        </w:rPr>
        <w:t>Vyřizování věcí v přepočtu na soudce</w:t>
      </w:r>
      <w:bookmarkEnd w:id="891"/>
      <w:bookmarkEnd w:id="892"/>
      <w:bookmarkEnd w:id="893"/>
    </w:p>
    <w:p w14:paraId="741A9AFC" w14:textId="77777777" w:rsidR="00850FB8" w:rsidRPr="00730B1E" w:rsidRDefault="00850FB8" w:rsidP="00850FB8">
      <w:r w:rsidRPr="00730B1E">
        <w:t>I zde lze pomocí dat o úvazcích provést přepočet na soudce. Výsledek je uveden v tabulce níže.</w:t>
      </w:r>
    </w:p>
    <w:p w14:paraId="33416C28" w14:textId="360B717C" w:rsidR="00850FB8" w:rsidRPr="00730B1E" w:rsidRDefault="00850FB8" w:rsidP="00850FB8">
      <w:pPr>
        <w:pStyle w:val="Podnadpis"/>
        <w:rPr>
          <w:color w:val="auto"/>
        </w:rPr>
      </w:pPr>
      <w:bookmarkStart w:id="894" w:name="_Toc144104293"/>
      <w:bookmarkStart w:id="895" w:name="_Toc169251107"/>
      <w:bookmarkStart w:id="896" w:name="_Toc174080793"/>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50</w:t>
      </w:r>
      <w:r w:rsidRPr="00730B1E">
        <w:rPr>
          <w:color w:val="auto"/>
        </w:rPr>
        <w:fldChar w:fldCharType="end"/>
      </w:r>
      <w:r w:rsidRPr="00730B1E">
        <w:rPr>
          <w:color w:val="auto"/>
        </w:rPr>
        <w:t>: KS – vyřiz. odvolacích civil. věcí na skutečný úvazek dle soudů</w:t>
      </w:r>
      <w:bookmarkEnd w:id="894"/>
      <w:bookmarkEnd w:id="895"/>
      <w:bookmarkEnd w:id="896"/>
    </w:p>
    <w:tbl>
      <w:tblPr>
        <w:tblW w:w="9072" w:type="dxa"/>
        <w:tblCellMar>
          <w:left w:w="70" w:type="dxa"/>
          <w:right w:w="70" w:type="dxa"/>
        </w:tblCellMar>
        <w:tblLook w:val="04A0" w:firstRow="1" w:lastRow="0" w:firstColumn="1" w:lastColumn="0" w:noHBand="0" w:noVBand="1"/>
      </w:tblPr>
      <w:tblGrid>
        <w:gridCol w:w="2040"/>
        <w:gridCol w:w="937"/>
        <w:gridCol w:w="1187"/>
        <w:gridCol w:w="939"/>
        <w:gridCol w:w="1187"/>
        <w:gridCol w:w="940"/>
        <w:gridCol w:w="981"/>
        <w:gridCol w:w="861"/>
      </w:tblGrid>
      <w:tr w:rsidR="00B64E96" w:rsidRPr="00730B1E" w14:paraId="7C12649C" w14:textId="77777777" w:rsidTr="00F77E72">
        <w:trPr>
          <w:trHeight w:val="330"/>
        </w:trPr>
        <w:tc>
          <w:tcPr>
            <w:tcW w:w="2040" w:type="dxa"/>
            <w:vMerge w:val="restart"/>
            <w:tcBorders>
              <w:top w:val="double" w:sz="6" w:space="0" w:color="auto"/>
              <w:left w:val="nil"/>
              <w:bottom w:val="double" w:sz="6" w:space="0" w:color="000000"/>
              <w:right w:val="nil"/>
            </w:tcBorders>
            <w:shd w:val="clear" w:color="auto" w:fill="auto"/>
            <w:noWrap/>
            <w:vAlign w:val="center"/>
            <w:hideMark/>
          </w:tcPr>
          <w:p w14:paraId="67BB1AA1" w14:textId="77777777"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937" w:type="dxa"/>
            <w:vMerge w:val="restart"/>
            <w:tcBorders>
              <w:top w:val="double" w:sz="6" w:space="0" w:color="auto"/>
              <w:left w:val="nil"/>
              <w:bottom w:val="double" w:sz="6" w:space="0" w:color="000000"/>
              <w:right w:val="nil"/>
            </w:tcBorders>
            <w:shd w:val="clear" w:color="auto" w:fill="auto"/>
            <w:vAlign w:val="center"/>
            <w:hideMark/>
          </w:tcPr>
          <w:p w14:paraId="0FF97612" w14:textId="77777777"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6095" w:type="dxa"/>
            <w:gridSpan w:val="6"/>
            <w:tcBorders>
              <w:top w:val="double" w:sz="6" w:space="0" w:color="auto"/>
              <w:left w:val="nil"/>
              <w:bottom w:val="nil"/>
              <w:right w:val="nil"/>
            </w:tcBorders>
            <w:shd w:val="clear" w:color="auto" w:fill="auto"/>
            <w:noWrap/>
            <w:vAlign w:val="center"/>
            <w:hideMark/>
          </w:tcPr>
          <w:p w14:paraId="7033535F" w14:textId="4ABB3B19" w:rsidR="00151464" w:rsidRPr="00730B1E" w:rsidRDefault="00404267" w:rsidP="00151464">
            <w:pPr>
              <w:spacing w:line="240" w:lineRule="auto"/>
              <w:jc w:val="center"/>
              <w:rPr>
                <w:rFonts w:eastAsia="Times New Roman"/>
                <w:b/>
                <w:bCs/>
                <w:szCs w:val="24"/>
                <w:lang w:eastAsia="cs-CZ"/>
              </w:rPr>
            </w:pPr>
            <w:r w:rsidRPr="00730B1E">
              <w:rPr>
                <w:rFonts w:eastAsia="Times New Roman"/>
                <w:b/>
                <w:bCs/>
                <w:szCs w:val="24"/>
                <w:lang w:eastAsia="cs-CZ"/>
              </w:rPr>
              <w:t>Počet věcí na úvazek</w:t>
            </w:r>
          </w:p>
        </w:tc>
      </w:tr>
      <w:tr w:rsidR="00B64E96" w:rsidRPr="00730B1E" w14:paraId="4D4644E6" w14:textId="77777777" w:rsidTr="00F77E72">
        <w:trPr>
          <w:trHeight w:val="330"/>
        </w:trPr>
        <w:tc>
          <w:tcPr>
            <w:tcW w:w="2040" w:type="dxa"/>
            <w:vMerge/>
            <w:tcBorders>
              <w:top w:val="double" w:sz="6" w:space="0" w:color="auto"/>
              <w:left w:val="nil"/>
              <w:bottom w:val="double" w:sz="6" w:space="0" w:color="000000"/>
              <w:right w:val="nil"/>
            </w:tcBorders>
            <w:vAlign w:val="center"/>
            <w:hideMark/>
          </w:tcPr>
          <w:p w14:paraId="68AAB3AC" w14:textId="77777777" w:rsidR="00151464" w:rsidRPr="00730B1E" w:rsidRDefault="00151464" w:rsidP="00151464">
            <w:pPr>
              <w:spacing w:line="240" w:lineRule="auto"/>
              <w:jc w:val="left"/>
              <w:rPr>
                <w:rFonts w:eastAsia="Times New Roman"/>
                <w:b/>
                <w:bCs/>
                <w:szCs w:val="24"/>
                <w:lang w:eastAsia="cs-CZ"/>
              </w:rPr>
            </w:pPr>
          </w:p>
        </w:tc>
        <w:tc>
          <w:tcPr>
            <w:tcW w:w="937" w:type="dxa"/>
            <w:vMerge/>
            <w:tcBorders>
              <w:top w:val="double" w:sz="6" w:space="0" w:color="auto"/>
              <w:left w:val="nil"/>
              <w:bottom w:val="double" w:sz="6" w:space="0" w:color="000000"/>
              <w:right w:val="nil"/>
            </w:tcBorders>
            <w:vAlign w:val="center"/>
            <w:hideMark/>
          </w:tcPr>
          <w:p w14:paraId="77BBC930" w14:textId="77777777" w:rsidR="00151464" w:rsidRPr="00730B1E" w:rsidRDefault="00151464" w:rsidP="00151464">
            <w:pPr>
              <w:spacing w:line="240" w:lineRule="auto"/>
              <w:jc w:val="left"/>
              <w:rPr>
                <w:rFonts w:eastAsia="Times New Roman"/>
                <w:b/>
                <w:bCs/>
                <w:szCs w:val="24"/>
                <w:lang w:eastAsia="cs-CZ"/>
              </w:rPr>
            </w:pPr>
          </w:p>
        </w:tc>
        <w:tc>
          <w:tcPr>
            <w:tcW w:w="2126" w:type="dxa"/>
            <w:gridSpan w:val="2"/>
            <w:tcBorders>
              <w:top w:val="nil"/>
              <w:left w:val="nil"/>
              <w:bottom w:val="double" w:sz="6" w:space="0" w:color="auto"/>
              <w:right w:val="nil"/>
            </w:tcBorders>
            <w:shd w:val="clear" w:color="auto" w:fill="auto"/>
            <w:noWrap/>
            <w:vAlign w:val="center"/>
            <w:hideMark/>
          </w:tcPr>
          <w:p w14:paraId="7A22325E" w14:textId="48E3F161"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212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CF32AC6" w14:textId="77777777"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842" w:type="dxa"/>
            <w:gridSpan w:val="2"/>
            <w:tcBorders>
              <w:top w:val="nil"/>
              <w:left w:val="nil"/>
              <w:bottom w:val="double" w:sz="6" w:space="0" w:color="auto"/>
              <w:right w:val="nil"/>
            </w:tcBorders>
            <w:shd w:val="clear" w:color="auto" w:fill="auto"/>
            <w:noWrap/>
            <w:vAlign w:val="center"/>
            <w:hideMark/>
          </w:tcPr>
          <w:p w14:paraId="67BCB3B0" w14:textId="77777777"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00EAEBDE" w14:textId="77777777" w:rsidTr="00F77E72">
        <w:trPr>
          <w:trHeight w:val="330"/>
        </w:trPr>
        <w:tc>
          <w:tcPr>
            <w:tcW w:w="2040" w:type="dxa"/>
            <w:tcBorders>
              <w:top w:val="single" w:sz="4" w:space="0" w:color="auto"/>
              <w:left w:val="nil"/>
              <w:bottom w:val="single" w:sz="4" w:space="0" w:color="auto"/>
              <w:right w:val="nil"/>
            </w:tcBorders>
            <w:shd w:val="clear" w:color="auto" w:fill="auto"/>
            <w:noWrap/>
            <w:vAlign w:val="bottom"/>
            <w:hideMark/>
          </w:tcPr>
          <w:p w14:paraId="1BCDFCDB" w14:textId="77777777" w:rsidR="00151464" w:rsidRPr="00730B1E" w:rsidRDefault="00151464" w:rsidP="00151464">
            <w:pPr>
              <w:spacing w:line="240" w:lineRule="auto"/>
              <w:jc w:val="left"/>
              <w:rPr>
                <w:rFonts w:eastAsia="Times New Roman"/>
                <w:szCs w:val="24"/>
                <w:lang w:eastAsia="cs-CZ"/>
              </w:rPr>
            </w:pPr>
            <w:r w:rsidRPr="00730B1E">
              <w:rPr>
                <w:rFonts w:eastAsia="Times New Roman"/>
                <w:szCs w:val="24"/>
                <w:lang w:eastAsia="cs-CZ"/>
              </w:rPr>
              <w:t>MS Praha</w:t>
            </w:r>
          </w:p>
        </w:tc>
        <w:tc>
          <w:tcPr>
            <w:tcW w:w="937" w:type="dxa"/>
            <w:tcBorders>
              <w:top w:val="single" w:sz="4" w:space="0" w:color="auto"/>
              <w:left w:val="nil"/>
              <w:bottom w:val="single" w:sz="4" w:space="0" w:color="auto"/>
              <w:right w:val="nil"/>
            </w:tcBorders>
            <w:shd w:val="clear" w:color="auto" w:fill="auto"/>
            <w:noWrap/>
            <w:vAlign w:val="bottom"/>
            <w:hideMark/>
          </w:tcPr>
          <w:p w14:paraId="486A141B" w14:textId="15BE434B"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95,00</w:t>
            </w:r>
          </w:p>
        </w:tc>
        <w:tc>
          <w:tcPr>
            <w:tcW w:w="1187" w:type="dxa"/>
            <w:tcBorders>
              <w:top w:val="single" w:sz="4" w:space="0" w:color="auto"/>
              <w:left w:val="nil"/>
              <w:bottom w:val="single" w:sz="4" w:space="0" w:color="auto"/>
              <w:right w:val="nil"/>
            </w:tcBorders>
            <w:shd w:val="clear" w:color="auto" w:fill="auto"/>
            <w:noWrap/>
            <w:vAlign w:val="bottom"/>
            <w:hideMark/>
          </w:tcPr>
          <w:p w14:paraId="289232A4" w14:textId="08D2A4AF"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127,18</w:t>
            </w:r>
          </w:p>
        </w:tc>
        <w:tc>
          <w:tcPr>
            <w:tcW w:w="939" w:type="dxa"/>
            <w:tcBorders>
              <w:top w:val="single" w:sz="4" w:space="0" w:color="auto"/>
              <w:left w:val="nil"/>
              <w:bottom w:val="single" w:sz="4" w:space="0" w:color="auto"/>
              <w:right w:val="nil"/>
            </w:tcBorders>
            <w:shd w:val="clear" w:color="auto" w:fill="auto"/>
            <w:noWrap/>
            <w:vAlign w:val="center"/>
            <w:hideMark/>
          </w:tcPr>
          <w:p w14:paraId="0BAD8776"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187" w:type="dxa"/>
            <w:tcBorders>
              <w:top w:val="nil"/>
              <w:left w:val="single" w:sz="4" w:space="0" w:color="auto"/>
              <w:bottom w:val="single" w:sz="4" w:space="0" w:color="auto"/>
              <w:right w:val="nil"/>
            </w:tcBorders>
            <w:shd w:val="clear" w:color="auto" w:fill="auto"/>
            <w:noWrap/>
            <w:vAlign w:val="bottom"/>
            <w:hideMark/>
          </w:tcPr>
          <w:p w14:paraId="1B327118" w14:textId="0A1FD52F"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129,66</w:t>
            </w:r>
          </w:p>
        </w:tc>
        <w:tc>
          <w:tcPr>
            <w:tcW w:w="940" w:type="dxa"/>
            <w:tcBorders>
              <w:top w:val="nil"/>
              <w:left w:val="nil"/>
              <w:bottom w:val="single" w:sz="4" w:space="0" w:color="auto"/>
              <w:right w:val="single" w:sz="4" w:space="0" w:color="auto"/>
            </w:tcBorders>
            <w:shd w:val="clear" w:color="auto" w:fill="auto"/>
            <w:noWrap/>
            <w:vAlign w:val="center"/>
            <w:hideMark/>
          </w:tcPr>
          <w:p w14:paraId="7929542C"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981" w:type="dxa"/>
            <w:tcBorders>
              <w:top w:val="single" w:sz="4" w:space="0" w:color="auto"/>
              <w:left w:val="nil"/>
              <w:bottom w:val="single" w:sz="4" w:space="0" w:color="auto"/>
              <w:right w:val="nil"/>
            </w:tcBorders>
            <w:shd w:val="clear" w:color="auto" w:fill="auto"/>
            <w:noWrap/>
            <w:vAlign w:val="bottom"/>
            <w:hideMark/>
          </w:tcPr>
          <w:p w14:paraId="418F0D80" w14:textId="4030F9D5"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13,62</w:t>
            </w:r>
          </w:p>
        </w:tc>
        <w:tc>
          <w:tcPr>
            <w:tcW w:w="861" w:type="dxa"/>
            <w:tcBorders>
              <w:top w:val="single" w:sz="4" w:space="0" w:color="auto"/>
              <w:left w:val="nil"/>
              <w:bottom w:val="single" w:sz="4" w:space="0" w:color="auto"/>
              <w:right w:val="nil"/>
            </w:tcBorders>
            <w:shd w:val="clear" w:color="auto" w:fill="auto"/>
            <w:noWrap/>
            <w:vAlign w:val="center"/>
            <w:hideMark/>
          </w:tcPr>
          <w:p w14:paraId="2805C889"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r>
      <w:tr w:rsidR="00B64E96" w:rsidRPr="00730B1E" w14:paraId="7CD564BD" w14:textId="77777777" w:rsidTr="00F77E72">
        <w:trPr>
          <w:trHeight w:val="315"/>
        </w:trPr>
        <w:tc>
          <w:tcPr>
            <w:tcW w:w="2040" w:type="dxa"/>
            <w:tcBorders>
              <w:top w:val="nil"/>
              <w:left w:val="nil"/>
              <w:bottom w:val="single" w:sz="4" w:space="0" w:color="auto"/>
              <w:right w:val="nil"/>
            </w:tcBorders>
            <w:shd w:val="clear" w:color="auto" w:fill="auto"/>
            <w:noWrap/>
            <w:vAlign w:val="bottom"/>
            <w:hideMark/>
          </w:tcPr>
          <w:p w14:paraId="4F674AAF" w14:textId="77777777" w:rsidR="00151464" w:rsidRPr="00730B1E" w:rsidRDefault="00151464" w:rsidP="00151464">
            <w:pPr>
              <w:spacing w:line="240" w:lineRule="auto"/>
              <w:jc w:val="left"/>
              <w:rPr>
                <w:rFonts w:eastAsia="Times New Roman"/>
                <w:szCs w:val="24"/>
                <w:lang w:eastAsia="cs-CZ"/>
              </w:rPr>
            </w:pPr>
            <w:r w:rsidRPr="00730B1E">
              <w:rPr>
                <w:rFonts w:eastAsia="Times New Roman"/>
                <w:szCs w:val="24"/>
                <w:lang w:eastAsia="cs-CZ"/>
              </w:rPr>
              <w:t>KS Praha</w:t>
            </w:r>
          </w:p>
        </w:tc>
        <w:tc>
          <w:tcPr>
            <w:tcW w:w="937" w:type="dxa"/>
            <w:tcBorders>
              <w:top w:val="nil"/>
              <w:left w:val="nil"/>
              <w:bottom w:val="single" w:sz="4" w:space="0" w:color="auto"/>
              <w:right w:val="nil"/>
            </w:tcBorders>
            <w:shd w:val="clear" w:color="auto" w:fill="auto"/>
            <w:noWrap/>
            <w:vAlign w:val="bottom"/>
            <w:hideMark/>
          </w:tcPr>
          <w:p w14:paraId="48A90DC4" w14:textId="7305145B"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48,55</w:t>
            </w:r>
          </w:p>
        </w:tc>
        <w:tc>
          <w:tcPr>
            <w:tcW w:w="1187" w:type="dxa"/>
            <w:tcBorders>
              <w:top w:val="nil"/>
              <w:left w:val="nil"/>
              <w:bottom w:val="single" w:sz="4" w:space="0" w:color="auto"/>
              <w:right w:val="nil"/>
            </w:tcBorders>
            <w:shd w:val="clear" w:color="auto" w:fill="auto"/>
            <w:noWrap/>
            <w:vAlign w:val="bottom"/>
            <w:hideMark/>
          </w:tcPr>
          <w:p w14:paraId="1881F69E" w14:textId="5FB469BF"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97,82</w:t>
            </w:r>
          </w:p>
        </w:tc>
        <w:tc>
          <w:tcPr>
            <w:tcW w:w="939" w:type="dxa"/>
            <w:tcBorders>
              <w:top w:val="nil"/>
              <w:left w:val="nil"/>
              <w:bottom w:val="single" w:sz="4" w:space="0" w:color="auto"/>
              <w:right w:val="nil"/>
            </w:tcBorders>
            <w:shd w:val="clear" w:color="auto" w:fill="auto"/>
            <w:noWrap/>
            <w:vAlign w:val="center"/>
            <w:hideMark/>
          </w:tcPr>
          <w:p w14:paraId="4CDEB9C7"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1187" w:type="dxa"/>
            <w:tcBorders>
              <w:top w:val="nil"/>
              <w:left w:val="single" w:sz="4" w:space="0" w:color="auto"/>
              <w:bottom w:val="single" w:sz="4" w:space="0" w:color="auto"/>
              <w:right w:val="nil"/>
            </w:tcBorders>
            <w:shd w:val="clear" w:color="auto" w:fill="auto"/>
            <w:noWrap/>
            <w:vAlign w:val="bottom"/>
            <w:hideMark/>
          </w:tcPr>
          <w:p w14:paraId="1789F1D8" w14:textId="4E0B8B75"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99,92</w:t>
            </w:r>
          </w:p>
        </w:tc>
        <w:tc>
          <w:tcPr>
            <w:tcW w:w="940" w:type="dxa"/>
            <w:tcBorders>
              <w:top w:val="nil"/>
              <w:left w:val="nil"/>
              <w:bottom w:val="single" w:sz="4" w:space="0" w:color="auto"/>
              <w:right w:val="single" w:sz="4" w:space="0" w:color="auto"/>
            </w:tcBorders>
            <w:shd w:val="clear" w:color="auto" w:fill="auto"/>
            <w:noWrap/>
            <w:vAlign w:val="center"/>
            <w:hideMark/>
          </w:tcPr>
          <w:p w14:paraId="220FAA30"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81" w:type="dxa"/>
            <w:tcBorders>
              <w:top w:val="nil"/>
              <w:left w:val="nil"/>
              <w:bottom w:val="single" w:sz="4" w:space="0" w:color="auto"/>
              <w:right w:val="nil"/>
            </w:tcBorders>
            <w:shd w:val="clear" w:color="auto" w:fill="auto"/>
            <w:noWrap/>
            <w:vAlign w:val="bottom"/>
            <w:hideMark/>
          </w:tcPr>
          <w:p w14:paraId="4E00A830" w14:textId="7AC60E79"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9,56</w:t>
            </w:r>
          </w:p>
        </w:tc>
        <w:tc>
          <w:tcPr>
            <w:tcW w:w="861" w:type="dxa"/>
            <w:tcBorders>
              <w:top w:val="nil"/>
              <w:left w:val="nil"/>
              <w:bottom w:val="single" w:sz="4" w:space="0" w:color="auto"/>
              <w:right w:val="nil"/>
            </w:tcBorders>
            <w:shd w:val="clear" w:color="auto" w:fill="auto"/>
            <w:noWrap/>
            <w:vAlign w:val="center"/>
            <w:hideMark/>
          </w:tcPr>
          <w:p w14:paraId="0A410E7C"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-22 %  </w:t>
            </w:r>
          </w:p>
        </w:tc>
      </w:tr>
      <w:tr w:rsidR="00B64E96" w:rsidRPr="00730B1E" w14:paraId="0802047E" w14:textId="77777777" w:rsidTr="00F77E72">
        <w:trPr>
          <w:trHeight w:val="315"/>
        </w:trPr>
        <w:tc>
          <w:tcPr>
            <w:tcW w:w="2040" w:type="dxa"/>
            <w:tcBorders>
              <w:top w:val="nil"/>
              <w:left w:val="nil"/>
              <w:bottom w:val="single" w:sz="4" w:space="0" w:color="auto"/>
              <w:right w:val="nil"/>
            </w:tcBorders>
            <w:shd w:val="clear" w:color="auto" w:fill="auto"/>
            <w:noWrap/>
            <w:vAlign w:val="bottom"/>
            <w:hideMark/>
          </w:tcPr>
          <w:p w14:paraId="2186A19F" w14:textId="77777777" w:rsidR="00151464" w:rsidRPr="00730B1E" w:rsidRDefault="00151464" w:rsidP="00151464">
            <w:pPr>
              <w:spacing w:line="240" w:lineRule="auto"/>
              <w:jc w:val="left"/>
              <w:rPr>
                <w:rFonts w:eastAsia="Times New Roman"/>
                <w:szCs w:val="24"/>
                <w:lang w:eastAsia="cs-CZ"/>
              </w:rPr>
            </w:pPr>
            <w:r w:rsidRPr="00730B1E">
              <w:rPr>
                <w:rFonts w:eastAsia="Times New Roman"/>
                <w:szCs w:val="24"/>
                <w:lang w:eastAsia="cs-CZ"/>
              </w:rPr>
              <w:t>KS Č. Budějovice</w:t>
            </w:r>
          </w:p>
        </w:tc>
        <w:tc>
          <w:tcPr>
            <w:tcW w:w="937" w:type="dxa"/>
            <w:tcBorders>
              <w:top w:val="nil"/>
              <w:left w:val="nil"/>
              <w:bottom w:val="single" w:sz="4" w:space="0" w:color="auto"/>
              <w:right w:val="nil"/>
            </w:tcBorders>
            <w:shd w:val="clear" w:color="auto" w:fill="auto"/>
            <w:noWrap/>
            <w:vAlign w:val="bottom"/>
            <w:hideMark/>
          </w:tcPr>
          <w:p w14:paraId="44F30716" w14:textId="21BE8BD1"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19,75</w:t>
            </w:r>
          </w:p>
        </w:tc>
        <w:tc>
          <w:tcPr>
            <w:tcW w:w="1187" w:type="dxa"/>
            <w:tcBorders>
              <w:top w:val="nil"/>
              <w:left w:val="nil"/>
              <w:bottom w:val="single" w:sz="4" w:space="0" w:color="auto"/>
              <w:right w:val="nil"/>
            </w:tcBorders>
            <w:shd w:val="clear" w:color="auto" w:fill="auto"/>
            <w:noWrap/>
            <w:vAlign w:val="bottom"/>
            <w:hideMark/>
          </w:tcPr>
          <w:p w14:paraId="3A63A4EB" w14:textId="6611B28F"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91,39</w:t>
            </w:r>
          </w:p>
        </w:tc>
        <w:tc>
          <w:tcPr>
            <w:tcW w:w="939" w:type="dxa"/>
            <w:tcBorders>
              <w:top w:val="nil"/>
              <w:left w:val="nil"/>
              <w:bottom w:val="single" w:sz="4" w:space="0" w:color="auto"/>
              <w:right w:val="nil"/>
            </w:tcBorders>
            <w:shd w:val="clear" w:color="auto" w:fill="auto"/>
            <w:noWrap/>
            <w:vAlign w:val="center"/>
            <w:hideMark/>
          </w:tcPr>
          <w:p w14:paraId="1BBAA19E"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1187" w:type="dxa"/>
            <w:tcBorders>
              <w:top w:val="nil"/>
              <w:left w:val="single" w:sz="4" w:space="0" w:color="auto"/>
              <w:bottom w:val="single" w:sz="4" w:space="0" w:color="auto"/>
              <w:right w:val="nil"/>
            </w:tcBorders>
            <w:shd w:val="clear" w:color="auto" w:fill="auto"/>
            <w:noWrap/>
            <w:vAlign w:val="bottom"/>
            <w:hideMark/>
          </w:tcPr>
          <w:p w14:paraId="61D6E07F" w14:textId="113AEFC1"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89,37</w:t>
            </w:r>
          </w:p>
        </w:tc>
        <w:tc>
          <w:tcPr>
            <w:tcW w:w="940" w:type="dxa"/>
            <w:tcBorders>
              <w:top w:val="nil"/>
              <w:left w:val="nil"/>
              <w:bottom w:val="single" w:sz="4" w:space="0" w:color="auto"/>
              <w:right w:val="single" w:sz="4" w:space="0" w:color="auto"/>
            </w:tcBorders>
            <w:shd w:val="clear" w:color="auto" w:fill="auto"/>
            <w:noWrap/>
            <w:vAlign w:val="center"/>
            <w:hideMark/>
          </w:tcPr>
          <w:p w14:paraId="0B6F4786"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981" w:type="dxa"/>
            <w:tcBorders>
              <w:top w:val="nil"/>
              <w:left w:val="nil"/>
              <w:bottom w:val="single" w:sz="4" w:space="0" w:color="auto"/>
              <w:right w:val="nil"/>
            </w:tcBorders>
            <w:shd w:val="clear" w:color="auto" w:fill="auto"/>
            <w:noWrap/>
            <w:vAlign w:val="bottom"/>
            <w:hideMark/>
          </w:tcPr>
          <w:p w14:paraId="47179BEC" w14:textId="0249F462"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10,73</w:t>
            </w:r>
          </w:p>
        </w:tc>
        <w:tc>
          <w:tcPr>
            <w:tcW w:w="861" w:type="dxa"/>
            <w:tcBorders>
              <w:top w:val="nil"/>
              <w:left w:val="nil"/>
              <w:bottom w:val="single" w:sz="4" w:space="0" w:color="auto"/>
              <w:right w:val="nil"/>
            </w:tcBorders>
            <w:shd w:val="clear" w:color="auto" w:fill="auto"/>
            <w:noWrap/>
            <w:vAlign w:val="center"/>
            <w:hideMark/>
          </w:tcPr>
          <w:p w14:paraId="6FC58812"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+46 %  </w:t>
            </w:r>
          </w:p>
        </w:tc>
      </w:tr>
      <w:tr w:rsidR="00B64E96" w:rsidRPr="00730B1E" w14:paraId="7069C5D8" w14:textId="77777777" w:rsidTr="00F77E72">
        <w:trPr>
          <w:trHeight w:val="315"/>
        </w:trPr>
        <w:tc>
          <w:tcPr>
            <w:tcW w:w="2040" w:type="dxa"/>
            <w:tcBorders>
              <w:top w:val="nil"/>
              <w:left w:val="nil"/>
              <w:bottom w:val="single" w:sz="4" w:space="0" w:color="auto"/>
              <w:right w:val="nil"/>
            </w:tcBorders>
            <w:shd w:val="clear" w:color="auto" w:fill="auto"/>
            <w:noWrap/>
            <w:vAlign w:val="bottom"/>
            <w:hideMark/>
          </w:tcPr>
          <w:p w14:paraId="50730341" w14:textId="77777777" w:rsidR="00151464" w:rsidRPr="00730B1E" w:rsidRDefault="00151464" w:rsidP="00151464">
            <w:pPr>
              <w:spacing w:line="240" w:lineRule="auto"/>
              <w:jc w:val="left"/>
              <w:rPr>
                <w:rFonts w:eastAsia="Times New Roman"/>
                <w:szCs w:val="24"/>
                <w:lang w:eastAsia="cs-CZ"/>
              </w:rPr>
            </w:pPr>
            <w:r w:rsidRPr="00730B1E">
              <w:rPr>
                <w:rFonts w:eastAsia="Times New Roman"/>
                <w:szCs w:val="24"/>
                <w:lang w:eastAsia="cs-CZ"/>
              </w:rPr>
              <w:t>KS Plzeň</w:t>
            </w:r>
          </w:p>
        </w:tc>
        <w:tc>
          <w:tcPr>
            <w:tcW w:w="937" w:type="dxa"/>
            <w:tcBorders>
              <w:top w:val="nil"/>
              <w:left w:val="nil"/>
              <w:bottom w:val="single" w:sz="4" w:space="0" w:color="auto"/>
              <w:right w:val="nil"/>
            </w:tcBorders>
            <w:shd w:val="clear" w:color="auto" w:fill="auto"/>
            <w:noWrap/>
            <w:vAlign w:val="bottom"/>
            <w:hideMark/>
          </w:tcPr>
          <w:p w14:paraId="6750B844" w14:textId="772E2D53"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25,50</w:t>
            </w:r>
          </w:p>
        </w:tc>
        <w:tc>
          <w:tcPr>
            <w:tcW w:w="1187" w:type="dxa"/>
            <w:tcBorders>
              <w:top w:val="nil"/>
              <w:left w:val="nil"/>
              <w:bottom w:val="single" w:sz="4" w:space="0" w:color="auto"/>
              <w:right w:val="nil"/>
            </w:tcBorders>
            <w:shd w:val="clear" w:color="auto" w:fill="auto"/>
            <w:noWrap/>
            <w:vAlign w:val="bottom"/>
            <w:hideMark/>
          </w:tcPr>
          <w:p w14:paraId="1EB9F8E0" w14:textId="7447DE46"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124,20</w:t>
            </w:r>
          </w:p>
        </w:tc>
        <w:tc>
          <w:tcPr>
            <w:tcW w:w="939" w:type="dxa"/>
            <w:tcBorders>
              <w:top w:val="nil"/>
              <w:left w:val="nil"/>
              <w:bottom w:val="single" w:sz="4" w:space="0" w:color="auto"/>
              <w:right w:val="nil"/>
            </w:tcBorders>
            <w:shd w:val="clear" w:color="auto" w:fill="auto"/>
            <w:noWrap/>
            <w:vAlign w:val="center"/>
            <w:hideMark/>
          </w:tcPr>
          <w:p w14:paraId="5F8D59A1"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c>
          <w:tcPr>
            <w:tcW w:w="1187" w:type="dxa"/>
            <w:tcBorders>
              <w:top w:val="nil"/>
              <w:left w:val="single" w:sz="4" w:space="0" w:color="auto"/>
              <w:bottom w:val="single" w:sz="4" w:space="0" w:color="auto"/>
              <w:right w:val="nil"/>
            </w:tcBorders>
            <w:shd w:val="clear" w:color="auto" w:fill="auto"/>
            <w:noWrap/>
            <w:vAlign w:val="bottom"/>
            <w:hideMark/>
          </w:tcPr>
          <w:p w14:paraId="4CB44E6D" w14:textId="69785316"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124,51</w:t>
            </w:r>
          </w:p>
        </w:tc>
        <w:tc>
          <w:tcPr>
            <w:tcW w:w="940" w:type="dxa"/>
            <w:tcBorders>
              <w:top w:val="nil"/>
              <w:left w:val="nil"/>
              <w:bottom w:val="single" w:sz="4" w:space="0" w:color="auto"/>
              <w:right w:val="single" w:sz="4" w:space="0" w:color="auto"/>
            </w:tcBorders>
            <w:shd w:val="clear" w:color="auto" w:fill="auto"/>
            <w:noWrap/>
            <w:vAlign w:val="center"/>
            <w:hideMark/>
          </w:tcPr>
          <w:p w14:paraId="3C319CBD"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c>
          <w:tcPr>
            <w:tcW w:w="981" w:type="dxa"/>
            <w:tcBorders>
              <w:top w:val="nil"/>
              <w:left w:val="nil"/>
              <w:bottom w:val="single" w:sz="4" w:space="0" w:color="auto"/>
              <w:right w:val="nil"/>
            </w:tcBorders>
            <w:shd w:val="clear" w:color="auto" w:fill="auto"/>
            <w:noWrap/>
            <w:vAlign w:val="bottom"/>
            <w:hideMark/>
          </w:tcPr>
          <w:p w14:paraId="5656E323" w14:textId="6A535600"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13,49</w:t>
            </w:r>
          </w:p>
        </w:tc>
        <w:tc>
          <w:tcPr>
            <w:tcW w:w="861" w:type="dxa"/>
            <w:tcBorders>
              <w:top w:val="nil"/>
              <w:left w:val="nil"/>
              <w:bottom w:val="single" w:sz="4" w:space="0" w:color="auto"/>
              <w:right w:val="nil"/>
            </w:tcBorders>
            <w:shd w:val="clear" w:color="auto" w:fill="auto"/>
            <w:noWrap/>
            <w:vAlign w:val="center"/>
            <w:hideMark/>
          </w:tcPr>
          <w:p w14:paraId="5E54A5CE"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209792C0" w14:textId="77777777" w:rsidTr="00F77E72">
        <w:trPr>
          <w:trHeight w:val="315"/>
        </w:trPr>
        <w:tc>
          <w:tcPr>
            <w:tcW w:w="2040" w:type="dxa"/>
            <w:tcBorders>
              <w:top w:val="nil"/>
              <w:left w:val="nil"/>
              <w:bottom w:val="single" w:sz="4" w:space="0" w:color="auto"/>
              <w:right w:val="nil"/>
            </w:tcBorders>
            <w:shd w:val="clear" w:color="auto" w:fill="auto"/>
            <w:noWrap/>
            <w:vAlign w:val="bottom"/>
            <w:hideMark/>
          </w:tcPr>
          <w:p w14:paraId="24D7F2E5" w14:textId="77777777" w:rsidR="00151464" w:rsidRPr="00730B1E" w:rsidRDefault="00151464" w:rsidP="00151464">
            <w:pPr>
              <w:spacing w:line="240" w:lineRule="auto"/>
              <w:jc w:val="left"/>
              <w:rPr>
                <w:rFonts w:eastAsia="Times New Roman"/>
                <w:szCs w:val="24"/>
                <w:lang w:eastAsia="cs-CZ"/>
              </w:rPr>
            </w:pPr>
            <w:r w:rsidRPr="00730B1E">
              <w:rPr>
                <w:rFonts w:eastAsia="Times New Roman"/>
                <w:szCs w:val="24"/>
                <w:lang w:eastAsia="cs-CZ"/>
              </w:rPr>
              <w:t>KS Ústí n. Labem</w:t>
            </w:r>
          </w:p>
        </w:tc>
        <w:tc>
          <w:tcPr>
            <w:tcW w:w="937" w:type="dxa"/>
            <w:tcBorders>
              <w:top w:val="nil"/>
              <w:left w:val="nil"/>
              <w:bottom w:val="single" w:sz="4" w:space="0" w:color="auto"/>
              <w:right w:val="nil"/>
            </w:tcBorders>
            <w:shd w:val="clear" w:color="auto" w:fill="auto"/>
            <w:noWrap/>
            <w:vAlign w:val="bottom"/>
            <w:hideMark/>
          </w:tcPr>
          <w:p w14:paraId="0B8E05C0" w14:textId="08050AB7"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45,38</w:t>
            </w:r>
          </w:p>
        </w:tc>
        <w:tc>
          <w:tcPr>
            <w:tcW w:w="1187" w:type="dxa"/>
            <w:tcBorders>
              <w:top w:val="nil"/>
              <w:left w:val="nil"/>
              <w:bottom w:val="single" w:sz="4" w:space="0" w:color="auto"/>
              <w:right w:val="nil"/>
            </w:tcBorders>
            <w:shd w:val="clear" w:color="auto" w:fill="auto"/>
            <w:noWrap/>
            <w:vAlign w:val="bottom"/>
            <w:hideMark/>
          </w:tcPr>
          <w:p w14:paraId="627F3FF5" w14:textId="664E55D7"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87,46</w:t>
            </w:r>
          </w:p>
        </w:tc>
        <w:tc>
          <w:tcPr>
            <w:tcW w:w="939" w:type="dxa"/>
            <w:tcBorders>
              <w:top w:val="nil"/>
              <w:left w:val="nil"/>
              <w:bottom w:val="single" w:sz="4" w:space="0" w:color="auto"/>
              <w:right w:val="nil"/>
            </w:tcBorders>
            <w:shd w:val="clear" w:color="auto" w:fill="auto"/>
            <w:noWrap/>
            <w:vAlign w:val="center"/>
            <w:hideMark/>
          </w:tcPr>
          <w:p w14:paraId="46C59676"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187" w:type="dxa"/>
            <w:tcBorders>
              <w:top w:val="nil"/>
              <w:left w:val="single" w:sz="4" w:space="0" w:color="auto"/>
              <w:bottom w:val="single" w:sz="4" w:space="0" w:color="auto"/>
              <w:right w:val="nil"/>
            </w:tcBorders>
            <w:shd w:val="clear" w:color="auto" w:fill="auto"/>
            <w:noWrap/>
            <w:vAlign w:val="bottom"/>
            <w:hideMark/>
          </w:tcPr>
          <w:p w14:paraId="2529FB65" w14:textId="40BC440A"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87,33</w:t>
            </w:r>
          </w:p>
        </w:tc>
        <w:tc>
          <w:tcPr>
            <w:tcW w:w="940" w:type="dxa"/>
            <w:tcBorders>
              <w:top w:val="nil"/>
              <w:left w:val="nil"/>
              <w:bottom w:val="single" w:sz="4" w:space="0" w:color="auto"/>
              <w:right w:val="single" w:sz="4" w:space="0" w:color="auto"/>
            </w:tcBorders>
            <w:shd w:val="clear" w:color="auto" w:fill="auto"/>
            <w:noWrap/>
            <w:vAlign w:val="center"/>
            <w:hideMark/>
          </w:tcPr>
          <w:p w14:paraId="569E12F4"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981" w:type="dxa"/>
            <w:tcBorders>
              <w:top w:val="nil"/>
              <w:left w:val="nil"/>
              <w:bottom w:val="single" w:sz="4" w:space="0" w:color="auto"/>
              <w:right w:val="nil"/>
            </w:tcBorders>
            <w:shd w:val="clear" w:color="auto" w:fill="auto"/>
            <w:noWrap/>
            <w:vAlign w:val="bottom"/>
            <w:hideMark/>
          </w:tcPr>
          <w:p w14:paraId="0949FC80" w14:textId="1F2EC585"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20,03</w:t>
            </w:r>
          </w:p>
        </w:tc>
        <w:tc>
          <w:tcPr>
            <w:tcW w:w="861" w:type="dxa"/>
            <w:tcBorders>
              <w:top w:val="nil"/>
              <w:left w:val="nil"/>
              <w:bottom w:val="single" w:sz="4" w:space="0" w:color="auto"/>
              <w:right w:val="nil"/>
            </w:tcBorders>
            <w:shd w:val="clear" w:color="auto" w:fill="auto"/>
            <w:noWrap/>
            <w:vAlign w:val="center"/>
            <w:hideMark/>
          </w:tcPr>
          <w:p w14:paraId="76687684"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r>
      <w:tr w:rsidR="00B64E96" w:rsidRPr="00730B1E" w14:paraId="08958620" w14:textId="77777777" w:rsidTr="00F77E72">
        <w:trPr>
          <w:trHeight w:val="315"/>
        </w:trPr>
        <w:tc>
          <w:tcPr>
            <w:tcW w:w="2040" w:type="dxa"/>
            <w:tcBorders>
              <w:top w:val="nil"/>
              <w:left w:val="nil"/>
              <w:bottom w:val="single" w:sz="4" w:space="0" w:color="auto"/>
              <w:right w:val="nil"/>
            </w:tcBorders>
            <w:shd w:val="clear" w:color="auto" w:fill="auto"/>
            <w:noWrap/>
            <w:vAlign w:val="bottom"/>
            <w:hideMark/>
          </w:tcPr>
          <w:p w14:paraId="71E59FB2" w14:textId="77777777" w:rsidR="00151464" w:rsidRPr="00730B1E" w:rsidRDefault="00151464" w:rsidP="00151464">
            <w:pPr>
              <w:spacing w:line="240" w:lineRule="auto"/>
              <w:jc w:val="left"/>
              <w:rPr>
                <w:rFonts w:eastAsia="Times New Roman"/>
                <w:szCs w:val="24"/>
                <w:lang w:eastAsia="cs-CZ"/>
              </w:rPr>
            </w:pPr>
            <w:r w:rsidRPr="00730B1E">
              <w:rPr>
                <w:rFonts w:eastAsia="Times New Roman"/>
                <w:szCs w:val="24"/>
                <w:lang w:eastAsia="cs-CZ"/>
              </w:rPr>
              <w:t>KS Hr. Králové</w:t>
            </w:r>
          </w:p>
        </w:tc>
        <w:tc>
          <w:tcPr>
            <w:tcW w:w="937" w:type="dxa"/>
            <w:tcBorders>
              <w:top w:val="nil"/>
              <w:left w:val="nil"/>
              <w:bottom w:val="single" w:sz="4" w:space="0" w:color="auto"/>
              <w:right w:val="nil"/>
            </w:tcBorders>
            <w:shd w:val="clear" w:color="auto" w:fill="auto"/>
            <w:noWrap/>
            <w:vAlign w:val="bottom"/>
            <w:hideMark/>
          </w:tcPr>
          <w:p w14:paraId="112C689A" w14:textId="4C8B421D"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29,90</w:t>
            </w:r>
          </w:p>
        </w:tc>
        <w:tc>
          <w:tcPr>
            <w:tcW w:w="1187" w:type="dxa"/>
            <w:tcBorders>
              <w:top w:val="nil"/>
              <w:left w:val="nil"/>
              <w:bottom w:val="single" w:sz="4" w:space="0" w:color="auto"/>
              <w:right w:val="nil"/>
            </w:tcBorders>
            <w:shd w:val="clear" w:color="auto" w:fill="auto"/>
            <w:noWrap/>
            <w:vAlign w:val="bottom"/>
            <w:hideMark/>
          </w:tcPr>
          <w:p w14:paraId="6FB59603" w14:textId="2832A9E1"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112,11</w:t>
            </w:r>
          </w:p>
        </w:tc>
        <w:tc>
          <w:tcPr>
            <w:tcW w:w="939" w:type="dxa"/>
            <w:tcBorders>
              <w:top w:val="nil"/>
              <w:left w:val="nil"/>
              <w:bottom w:val="single" w:sz="4" w:space="0" w:color="auto"/>
              <w:right w:val="nil"/>
            </w:tcBorders>
            <w:shd w:val="clear" w:color="auto" w:fill="auto"/>
            <w:noWrap/>
            <w:vAlign w:val="center"/>
            <w:hideMark/>
          </w:tcPr>
          <w:p w14:paraId="2448E887"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1187" w:type="dxa"/>
            <w:tcBorders>
              <w:top w:val="nil"/>
              <w:left w:val="single" w:sz="4" w:space="0" w:color="auto"/>
              <w:bottom w:val="single" w:sz="4" w:space="0" w:color="auto"/>
              <w:right w:val="nil"/>
            </w:tcBorders>
            <w:shd w:val="clear" w:color="auto" w:fill="auto"/>
            <w:noWrap/>
            <w:vAlign w:val="bottom"/>
            <w:hideMark/>
          </w:tcPr>
          <w:p w14:paraId="1C0D4B34" w14:textId="715EC61A"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110,80</w:t>
            </w:r>
          </w:p>
        </w:tc>
        <w:tc>
          <w:tcPr>
            <w:tcW w:w="940" w:type="dxa"/>
            <w:tcBorders>
              <w:top w:val="nil"/>
              <w:left w:val="nil"/>
              <w:bottom w:val="single" w:sz="4" w:space="0" w:color="auto"/>
              <w:right w:val="single" w:sz="4" w:space="0" w:color="auto"/>
            </w:tcBorders>
            <w:shd w:val="clear" w:color="auto" w:fill="auto"/>
            <w:noWrap/>
            <w:vAlign w:val="center"/>
            <w:hideMark/>
          </w:tcPr>
          <w:p w14:paraId="450ABA4B"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981" w:type="dxa"/>
            <w:tcBorders>
              <w:top w:val="nil"/>
              <w:left w:val="nil"/>
              <w:bottom w:val="single" w:sz="4" w:space="0" w:color="auto"/>
              <w:right w:val="nil"/>
            </w:tcBorders>
            <w:shd w:val="clear" w:color="auto" w:fill="auto"/>
            <w:noWrap/>
            <w:vAlign w:val="bottom"/>
            <w:hideMark/>
          </w:tcPr>
          <w:p w14:paraId="4799B61F" w14:textId="232FAF0F"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14,18</w:t>
            </w:r>
          </w:p>
        </w:tc>
        <w:tc>
          <w:tcPr>
            <w:tcW w:w="861" w:type="dxa"/>
            <w:tcBorders>
              <w:top w:val="nil"/>
              <w:left w:val="nil"/>
              <w:bottom w:val="single" w:sz="4" w:space="0" w:color="auto"/>
              <w:right w:val="nil"/>
            </w:tcBorders>
            <w:shd w:val="clear" w:color="auto" w:fill="auto"/>
            <w:noWrap/>
            <w:vAlign w:val="center"/>
            <w:hideMark/>
          </w:tcPr>
          <w:p w14:paraId="6EECAC29"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+22 %  </w:t>
            </w:r>
          </w:p>
        </w:tc>
      </w:tr>
      <w:tr w:rsidR="00B64E96" w:rsidRPr="00730B1E" w14:paraId="281990B7" w14:textId="77777777" w:rsidTr="00F77E72">
        <w:trPr>
          <w:trHeight w:val="315"/>
        </w:trPr>
        <w:tc>
          <w:tcPr>
            <w:tcW w:w="2040" w:type="dxa"/>
            <w:tcBorders>
              <w:top w:val="nil"/>
              <w:left w:val="nil"/>
              <w:bottom w:val="single" w:sz="4" w:space="0" w:color="auto"/>
              <w:right w:val="nil"/>
            </w:tcBorders>
            <w:shd w:val="clear" w:color="auto" w:fill="auto"/>
            <w:noWrap/>
            <w:vAlign w:val="bottom"/>
            <w:hideMark/>
          </w:tcPr>
          <w:p w14:paraId="6B473C62" w14:textId="77777777" w:rsidR="00151464" w:rsidRPr="00730B1E" w:rsidRDefault="00151464" w:rsidP="00151464">
            <w:pPr>
              <w:spacing w:line="240" w:lineRule="auto"/>
              <w:jc w:val="left"/>
              <w:rPr>
                <w:rFonts w:eastAsia="Times New Roman"/>
                <w:szCs w:val="24"/>
                <w:lang w:eastAsia="cs-CZ"/>
              </w:rPr>
            </w:pPr>
            <w:r w:rsidRPr="00730B1E">
              <w:rPr>
                <w:rFonts w:eastAsia="Times New Roman"/>
                <w:szCs w:val="24"/>
                <w:lang w:eastAsia="cs-CZ"/>
              </w:rPr>
              <w:t>KS Brno</w:t>
            </w:r>
          </w:p>
        </w:tc>
        <w:tc>
          <w:tcPr>
            <w:tcW w:w="937" w:type="dxa"/>
            <w:tcBorders>
              <w:top w:val="nil"/>
              <w:left w:val="nil"/>
              <w:bottom w:val="single" w:sz="4" w:space="0" w:color="auto"/>
              <w:right w:val="nil"/>
            </w:tcBorders>
            <w:shd w:val="clear" w:color="auto" w:fill="auto"/>
            <w:noWrap/>
            <w:vAlign w:val="bottom"/>
            <w:hideMark/>
          </w:tcPr>
          <w:p w14:paraId="26E475BD" w14:textId="0E053D13"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72,00</w:t>
            </w:r>
          </w:p>
        </w:tc>
        <w:tc>
          <w:tcPr>
            <w:tcW w:w="1187" w:type="dxa"/>
            <w:tcBorders>
              <w:top w:val="nil"/>
              <w:left w:val="nil"/>
              <w:bottom w:val="single" w:sz="4" w:space="0" w:color="auto"/>
              <w:right w:val="nil"/>
            </w:tcBorders>
            <w:shd w:val="clear" w:color="auto" w:fill="auto"/>
            <w:noWrap/>
            <w:vAlign w:val="bottom"/>
            <w:hideMark/>
          </w:tcPr>
          <w:p w14:paraId="25858A23" w14:textId="214D604F"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82,38</w:t>
            </w:r>
          </w:p>
        </w:tc>
        <w:tc>
          <w:tcPr>
            <w:tcW w:w="939" w:type="dxa"/>
            <w:tcBorders>
              <w:top w:val="nil"/>
              <w:left w:val="nil"/>
              <w:bottom w:val="single" w:sz="4" w:space="0" w:color="auto"/>
              <w:right w:val="nil"/>
            </w:tcBorders>
            <w:shd w:val="clear" w:color="auto" w:fill="auto"/>
            <w:noWrap/>
            <w:vAlign w:val="center"/>
            <w:hideMark/>
          </w:tcPr>
          <w:p w14:paraId="0F111638"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187" w:type="dxa"/>
            <w:tcBorders>
              <w:top w:val="nil"/>
              <w:left w:val="single" w:sz="4" w:space="0" w:color="auto"/>
              <w:bottom w:val="single" w:sz="4" w:space="0" w:color="auto"/>
              <w:right w:val="nil"/>
            </w:tcBorders>
            <w:shd w:val="clear" w:color="auto" w:fill="auto"/>
            <w:noWrap/>
            <w:vAlign w:val="bottom"/>
            <w:hideMark/>
          </w:tcPr>
          <w:p w14:paraId="1D8E09FC" w14:textId="00C8E79B"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89,89</w:t>
            </w:r>
          </w:p>
        </w:tc>
        <w:tc>
          <w:tcPr>
            <w:tcW w:w="940" w:type="dxa"/>
            <w:tcBorders>
              <w:top w:val="nil"/>
              <w:left w:val="nil"/>
              <w:bottom w:val="single" w:sz="4" w:space="0" w:color="auto"/>
              <w:right w:val="single" w:sz="4" w:space="0" w:color="auto"/>
            </w:tcBorders>
            <w:shd w:val="clear" w:color="auto" w:fill="auto"/>
            <w:noWrap/>
            <w:vAlign w:val="center"/>
            <w:hideMark/>
          </w:tcPr>
          <w:p w14:paraId="6D21BF64"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81" w:type="dxa"/>
            <w:tcBorders>
              <w:top w:val="nil"/>
              <w:left w:val="nil"/>
              <w:bottom w:val="single" w:sz="4" w:space="0" w:color="auto"/>
              <w:right w:val="nil"/>
            </w:tcBorders>
            <w:shd w:val="clear" w:color="auto" w:fill="auto"/>
            <w:noWrap/>
            <w:vAlign w:val="bottom"/>
            <w:hideMark/>
          </w:tcPr>
          <w:p w14:paraId="42B85E08" w14:textId="144438FE"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23,67</w:t>
            </w:r>
          </w:p>
        </w:tc>
        <w:tc>
          <w:tcPr>
            <w:tcW w:w="861" w:type="dxa"/>
            <w:tcBorders>
              <w:top w:val="nil"/>
              <w:left w:val="nil"/>
              <w:bottom w:val="single" w:sz="4" w:space="0" w:color="auto"/>
              <w:right w:val="nil"/>
            </w:tcBorders>
            <w:shd w:val="clear" w:color="auto" w:fill="auto"/>
            <w:noWrap/>
            <w:vAlign w:val="center"/>
            <w:hideMark/>
          </w:tcPr>
          <w:p w14:paraId="35FC38BE"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-28 %  </w:t>
            </w:r>
          </w:p>
        </w:tc>
      </w:tr>
      <w:tr w:rsidR="00B64E96" w:rsidRPr="00730B1E" w14:paraId="4FB338AB" w14:textId="77777777" w:rsidTr="00F77E72">
        <w:trPr>
          <w:trHeight w:val="330"/>
        </w:trPr>
        <w:tc>
          <w:tcPr>
            <w:tcW w:w="2040" w:type="dxa"/>
            <w:tcBorders>
              <w:top w:val="nil"/>
              <w:left w:val="nil"/>
              <w:bottom w:val="double" w:sz="6" w:space="0" w:color="auto"/>
              <w:right w:val="nil"/>
            </w:tcBorders>
            <w:shd w:val="clear" w:color="auto" w:fill="auto"/>
            <w:noWrap/>
            <w:vAlign w:val="bottom"/>
            <w:hideMark/>
          </w:tcPr>
          <w:p w14:paraId="77D17F17" w14:textId="77777777" w:rsidR="00151464" w:rsidRPr="00730B1E" w:rsidRDefault="00151464" w:rsidP="00151464">
            <w:pPr>
              <w:spacing w:line="240" w:lineRule="auto"/>
              <w:jc w:val="left"/>
              <w:rPr>
                <w:rFonts w:eastAsia="Times New Roman"/>
                <w:szCs w:val="24"/>
                <w:lang w:eastAsia="cs-CZ"/>
              </w:rPr>
            </w:pPr>
            <w:r w:rsidRPr="00730B1E">
              <w:rPr>
                <w:rFonts w:eastAsia="Times New Roman"/>
                <w:szCs w:val="24"/>
                <w:lang w:eastAsia="cs-CZ"/>
              </w:rPr>
              <w:t>KS Ostrava</w:t>
            </w:r>
          </w:p>
        </w:tc>
        <w:tc>
          <w:tcPr>
            <w:tcW w:w="937" w:type="dxa"/>
            <w:tcBorders>
              <w:top w:val="nil"/>
              <w:left w:val="nil"/>
              <w:bottom w:val="double" w:sz="6" w:space="0" w:color="auto"/>
              <w:right w:val="nil"/>
            </w:tcBorders>
            <w:shd w:val="clear" w:color="auto" w:fill="auto"/>
            <w:noWrap/>
            <w:vAlign w:val="bottom"/>
            <w:hideMark/>
          </w:tcPr>
          <w:p w14:paraId="3B05818D" w14:textId="136ED232"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45,70</w:t>
            </w:r>
          </w:p>
        </w:tc>
        <w:tc>
          <w:tcPr>
            <w:tcW w:w="1187" w:type="dxa"/>
            <w:tcBorders>
              <w:top w:val="nil"/>
              <w:left w:val="nil"/>
              <w:bottom w:val="double" w:sz="6" w:space="0" w:color="auto"/>
              <w:right w:val="nil"/>
            </w:tcBorders>
            <w:shd w:val="clear" w:color="auto" w:fill="auto"/>
            <w:noWrap/>
            <w:vAlign w:val="bottom"/>
            <w:hideMark/>
          </w:tcPr>
          <w:p w14:paraId="5D47E326" w14:textId="307243E6"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128,34</w:t>
            </w:r>
          </w:p>
        </w:tc>
        <w:tc>
          <w:tcPr>
            <w:tcW w:w="939" w:type="dxa"/>
            <w:tcBorders>
              <w:top w:val="nil"/>
              <w:left w:val="nil"/>
              <w:bottom w:val="double" w:sz="6" w:space="0" w:color="auto"/>
              <w:right w:val="nil"/>
            </w:tcBorders>
            <w:shd w:val="clear" w:color="auto" w:fill="auto"/>
            <w:noWrap/>
            <w:vAlign w:val="center"/>
            <w:hideMark/>
          </w:tcPr>
          <w:p w14:paraId="29E21C59"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-21 %  </w:t>
            </w:r>
          </w:p>
        </w:tc>
        <w:tc>
          <w:tcPr>
            <w:tcW w:w="1187" w:type="dxa"/>
            <w:tcBorders>
              <w:top w:val="nil"/>
              <w:left w:val="single" w:sz="4" w:space="0" w:color="auto"/>
              <w:bottom w:val="double" w:sz="6" w:space="0" w:color="auto"/>
              <w:right w:val="nil"/>
            </w:tcBorders>
            <w:shd w:val="clear" w:color="auto" w:fill="auto"/>
            <w:noWrap/>
            <w:vAlign w:val="bottom"/>
            <w:hideMark/>
          </w:tcPr>
          <w:p w14:paraId="62663941" w14:textId="636BDD44"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132,69</w:t>
            </w:r>
          </w:p>
        </w:tc>
        <w:tc>
          <w:tcPr>
            <w:tcW w:w="940" w:type="dxa"/>
            <w:tcBorders>
              <w:top w:val="nil"/>
              <w:left w:val="nil"/>
              <w:bottom w:val="double" w:sz="6" w:space="0" w:color="auto"/>
              <w:right w:val="single" w:sz="4" w:space="0" w:color="auto"/>
            </w:tcBorders>
            <w:shd w:val="clear" w:color="auto" w:fill="auto"/>
            <w:noWrap/>
            <w:vAlign w:val="center"/>
            <w:hideMark/>
          </w:tcPr>
          <w:p w14:paraId="06AF51ED"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981" w:type="dxa"/>
            <w:tcBorders>
              <w:top w:val="nil"/>
              <w:left w:val="nil"/>
              <w:bottom w:val="double" w:sz="6" w:space="0" w:color="auto"/>
              <w:right w:val="nil"/>
            </w:tcBorders>
            <w:shd w:val="clear" w:color="auto" w:fill="auto"/>
            <w:noWrap/>
            <w:vAlign w:val="bottom"/>
            <w:hideMark/>
          </w:tcPr>
          <w:p w14:paraId="0EE6A660" w14:textId="77173C27" w:rsidR="00151464" w:rsidRPr="00730B1E" w:rsidRDefault="00151464" w:rsidP="00151464">
            <w:pPr>
              <w:spacing w:line="240" w:lineRule="auto"/>
              <w:jc w:val="center"/>
              <w:rPr>
                <w:rFonts w:eastAsia="Times New Roman"/>
                <w:szCs w:val="24"/>
                <w:lang w:eastAsia="cs-CZ"/>
              </w:rPr>
            </w:pPr>
            <w:r w:rsidRPr="00730B1E">
              <w:rPr>
                <w:rFonts w:eastAsia="Times New Roman"/>
                <w:szCs w:val="24"/>
                <w:lang w:eastAsia="cs-CZ"/>
              </w:rPr>
              <w:t>36,24</w:t>
            </w:r>
          </w:p>
        </w:tc>
        <w:tc>
          <w:tcPr>
            <w:tcW w:w="861" w:type="dxa"/>
            <w:tcBorders>
              <w:top w:val="nil"/>
              <w:left w:val="nil"/>
              <w:bottom w:val="double" w:sz="6" w:space="0" w:color="auto"/>
              <w:right w:val="nil"/>
            </w:tcBorders>
            <w:shd w:val="clear" w:color="auto" w:fill="auto"/>
            <w:noWrap/>
            <w:vAlign w:val="center"/>
            <w:hideMark/>
          </w:tcPr>
          <w:p w14:paraId="418969F8" w14:textId="77777777" w:rsidR="00151464" w:rsidRPr="00730B1E" w:rsidRDefault="00151464" w:rsidP="00151464">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r>
      <w:tr w:rsidR="00B64E96" w:rsidRPr="00730B1E" w14:paraId="043E2378" w14:textId="77777777" w:rsidTr="00F77E72">
        <w:trPr>
          <w:trHeight w:val="345"/>
        </w:trPr>
        <w:tc>
          <w:tcPr>
            <w:tcW w:w="2040" w:type="dxa"/>
            <w:tcBorders>
              <w:top w:val="nil"/>
              <w:left w:val="nil"/>
              <w:bottom w:val="double" w:sz="6" w:space="0" w:color="auto"/>
              <w:right w:val="nil"/>
            </w:tcBorders>
            <w:shd w:val="clear" w:color="auto" w:fill="auto"/>
            <w:noWrap/>
            <w:vAlign w:val="bottom"/>
            <w:hideMark/>
          </w:tcPr>
          <w:p w14:paraId="2991CF57" w14:textId="77777777" w:rsidR="00151464" w:rsidRPr="00730B1E" w:rsidRDefault="00151464" w:rsidP="00151464">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937" w:type="dxa"/>
            <w:tcBorders>
              <w:top w:val="nil"/>
              <w:left w:val="nil"/>
              <w:bottom w:val="double" w:sz="6" w:space="0" w:color="auto"/>
              <w:right w:val="nil"/>
            </w:tcBorders>
            <w:shd w:val="clear" w:color="auto" w:fill="auto"/>
            <w:noWrap/>
            <w:vAlign w:val="bottom"/>
            <w:hideMark/>
          </w:tcPr>
          <w:p w14:paraId="59CC0090" w14:textId="2563322A"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381,78</w:t>
            </w:r>
          </w:p>
        </w:tc>
        <w:tc>
          <w:tcPr>
            <w:tcW w:w="1187" w:type="dxa"/>
            <w:tcBorders>
              <w:top w:val="nil"/>
              <w:left w:val="nil"/>
              <w:bottom w:val="double" w:sz="6" w:space="0" w:color="auto"/>
              <w:right w:val="nil"/>
            </w:tcBorders>
            <w:shd w:val="clear" w:color="auto" w:fill="auto"/>
            <w:noWrap/>
            <w:vAlign w:val="bottom"/>
            <w:hideMark/>
          </w:tcPr>
          <w:p w14:paraId="023E8ADA" w14:textId="2C666E3B"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107,18</w:t>
            </w:r>
          </w:p>
        </w:tc>
        <w:tc>
          <w:tcPr>
            <w:tcW w:w="939" w:type="dxa"/>
            <w:tcBorders>
              <w:top w:val="nil"/>
              <w:left w:val="nil"/>
              <w:bottom w:val="double" w:sz="6" w:space="0" w:color="auto"/>
              <w:right w:val="nil"/>
            </w:tcBorders>
            <w:shd w:val="clear" w:color="auto" w:fill="auto"/>
            <w:noWrap/>
            <w:vAlign w:val="center"/>
            <w:hideMark/>
          </w:tcPr>
          <w:p w14:paraId="34618E4F" w14:textId="77777777" w:rsidR="00151464" w:rsidRPr="00730B1E" w:rsidRDefault="00151464" w:rsidP="00151464">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-7 %  </w:t>
            </w:r>
          </w:p>
        </w:tc>
        <w:tc>
          <w:tcPr>
            <w:tcW w:w="1187" w:type="dxa"/>
            <w:tcBorders>
              <w:top w:val="nil"/>
              <w:left w:val="single" w:sz="4" w:space="0" w:color="auto"/>
              <w:bottom w:val="double" w:sz="6" w:space="0" w:color="auto"/>
              <w:right w:val="nil"/>
            </w:tcBorders>
            <w:shd w:val="clear" w:color="auto" w:fill="auto"/>
            <w:noWrap/>
            <w:vAlign w:val="bottom"/>
            <w:hideMark/>
          </w:tcPr>
          <w:p w14:paraId="1D9D40A0" w14:textId="3617EEAA"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109,80</w:t>
            </w:r>
          </w:p>
        </w:tc>
        <w:tc>
          <w:tcPr>
            <w:tcW w:w="940" w:type="dxa"/>
            <w:tcBorders>
              <w:top w:val="nil"/>
              <w:left w:val="nil"/>
              <w:bottom w:val="double" w:sz="6" w:space="0" w:color="auto"/>
              <w:right w:val="single" w:sz="4" w:space="0" w:color="auto"/>
            </w:tcBorders>
            <w:shd w:val="clear" w:color="auto" w:fill="auto"/>
            <w:noWrap/>
            <w:vAlign w:val="center"/>
            <w:hideMark/>
          </w:tcPr>
          <w:p w14:paraId="34C4EF06" w14:textId="77777777" w:rsidR="00151464" w:rsidRPr="00730B1E" w:rsidRDefault="00151464" w:rsidP="00151464">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-4 %  </w:t>
            </w:r>
          </w:p>
        </w:tc>
        <w:tc>
          <w:tcPr>
            <w:tcW w:w="981" w:type="dxa"/>
            <w:tcBorders>
              <w:top w:val="nil"/>
              <w:left w:val="nil"/>
              <w:bottom w:val="double" w:sz="6" w:space="0" w:color="auto"/>
              <w:right w:val="nil"/>
            </w:tcBorders>
            <w:shd w:val="clear" w:color="auto" w:fill="auto"/>
            <w:noWrap/>
            <w:vAlign w:val="bottom"/>
            <w:hideMark/>
          </w:tcPr>
          <w:p w14:paraId="02129C2A" w14:textId="5E493F99" w:rsidR="00151464" w:rsidRPr="00730B1E" w:rsidRDefault="00151464" w:rsidP="00151464">
            <w:pPr>
              <w:spacing w:line="240" w:lineRule="auto"/>
              <w:jc w:val="center"/>
              <w:rPr>
                <w:rFonts w:eastAsia="Times New Roman"/>
                <w:b/>
                <w:bCs/>
                <w:szCs w:val="24"/>
                <w:lang w:eastAsia="cs-CZ"/>
              </w:rPr>
            </w:pPr>
            <w:r w:rsidRPr="00730B1E">
              <w:rPr>
                <w:rFonts w:eastAsia="Times New Roman"/>
                <w:b/>
                <w:bCs/>
                <w:szCs w:val="24"/>
                <w:lang w:eastAsia="cs-CZ"/>
              </w:rPr>
              <w:t>18,35</w:t>
            </w:r>
          </w:p>
        </w:tc>
        <w:tc>
          <w:tcPr>
            <w:tcW w:w="861" w:type="dxa"/>
            <w:tcBorders>
              <w:top w:val="nil"/>
              <w:left w:val="nil"/>
              <w:bottom w:val="double" w:sz="6" w:space="0" w:color="auto"/>
              <w:right w:val="nil"/>
            </w:tcBorders>
            <w:shd w:val="clear" w:color="auto" w:fill="auto"/>
            <w:noWrap/>
            <w:vAlign w:val="center"/>
            <w:hideMark/>
          </w:tcPr>
          <w:p w14:paraId="1EFDA8B6" w14:textId="77777777" w:rsidR="00151464" w:rsidRPr="00730B1E" w:rsidRDefault="00151464" w:rsidP="00151464">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-11 %  </w:t>
            </w:r>
          </w:p>
        </w:tc>
      </w:tr>
      <w:tr w:rsidR="00B64E96" w:rsidRPr="00730B1E" w14:paraId="37A846EB" w14:textId="77777777" w:rsidTr="00F77E72">
        <w:trPr>
          <w:trHeight w:val="330"/>
        </w:trPr>
        <w:tc>
          <w:tcPr>
            <w:tcW w:w="2040" w:type="dxa"/>
            <w:tcBorders>
              <w:top w:val="nil"/>
              <w:left w:val="nil"/>
              <w:bottom w:val="nil"/>
              <w:right w:val="nil"/>
            </w:tcBorders>
            <w:shd w:val="clear" w:color="auto" w:fill="auto"/>
            <w:noWrap/>
            <w:vAlign w:val="bottom"/>
            <w:hideMark/>
          </w:tcPr>
          <w:p w14:paraId="5EE35270" w14:textId="77777777" w:rsidR="00151464" w:rsidRPr="00730B1E" w:rsidRDefault="00151464" w:rsidP="00151464">
            <w:pPr>
              <w:spacing w:line="240" w:lineRule="auto"/>
              <w:jc w:val="center"/>
              <w:rPr>
                <w:rFonts w:eastAsia="Times New Roman"/>
                <w:b/>
                <w:bCs/>
                <w:sz w:val="20"/>
                <w:szCs w:val="20"/>
                <w:lang w:eastAsia="cs-CZ"/>
              </w:rPr>
            </w:pPr>
          </w:p>
        </w:tc>
        <w:tc>
          <w:tcPr>
            <w:tcW w:w="937" w:type="dxa"/>
            <w:tcBorders>
              <w:top w:val="nil"/>
              <w:left w:val="nil"/>
              <w:bottom w:val="nil"/>
              <w:right w:val="nil"/>
            </w:tcBorders>
            <w:shd w:val="clear" w:color="auto" w:fill="auto"/>
            <w:noWrap/>
            <w:vAlign w:val="bottom"/>
            <w:hideMark/>
          </w:tcPr>
          <w:p w14:paraId="51DE7418" w14:textId="77777777" w:rsidR="00151464" w:rsidRPr="00DF07F3" w:rsidRDefault="00151464" w:rsidP="00151464">
            <w:pPr>
              <w:spacing w:line="240" w:lineRule="auto"/>
              <w:jc w:val="left"/>
              <w:rPr>
                <w:sz w:val="20"/>
              </w:rPr>
            </w:pPr>
          </w:p>
        </w:tc>
        <w:tc>
          <w:tcPr>
            <w:tcW w:w="1187" w:type="dxa"/>
            <w:tcBorders>
              <w:top w:val="nil"/>
              <w:left w:val="nil"/>
              <w:bottom w:val="nil"/>
              <w:right w:val="nil"/>
            </w:tcBorders>
            <w:shd w:val="clear" w:color="auto" w:fill="auto"/>
            <w:noWrap/>
            <w:vAlign w:val="bottom"/>
            <w:hideMark/>
          </w:tcPr>
          <w:p w14:paraId="5E189BA7" w14:textId="77777777" w:rsidR="00151464" w:rsidRPr="00DF07F3" w:rsidRDefault="00151464" w:rsidP="00151464">
            <w:pPr>
              <w:spacing w:line="240" w:lineRule="auto"/>
              <w:jc w:val="left"/>
              <w:rPr>
                <w:sz w:val="20"/>
              </w:rPr>
            </w:pPr>
          </w:p>
        </w:tc>
        <w:tc>
          <w:tcPr>
            <w:tcW w:w="939" w:type="dxa"/>
            <w:tcBorders>
              <w:top w:val="nil"/>
              <w:left w:val="nil"/>
              <w:bottom w:val="nil"/>
              <w:right w:val="nil"/>
            </w:tcBorders>
            <w:shd w:val="clear" w:color="auto" w:fill="auto"/>
            <w:noWrap/>
            <w:vAlign w:val="bottom"/>
            <w:hideMark/>
          </w:tcPr>
          <w:p w14:paraId="711834D3" w14:textId="77777777" w:rsidR="00151464" w:rsidRPr="00DF07F3" w:rsidRDefault="00151464" w:rsidP="00151464">
            <w:pPr>
              <w:spacing w:line="240" w:lineRule="auto"/>
              <w:jc w:val="left"/>
              <w:rPr>
                <w:sz w:val="20"/>
              </w:rPr>
            </w:pPr>
          </w:p>
        </w:tc>
        <w:tc>
          <w:tcPr>
            <w:tcW w:w="1187" w:type="dxa"/>
            <w:tcBorders>
              <w:top w:val="nil"/>
              <w:left w:val="nil"/>
              <w:bottom w:val="nil"/>
              <w:right w:val="nil"/>
            </w:tcBorders>
            <w:shd w:val="clear" w:color="auto" w:fill="auto"/>
            <w:noWrap/>
            <w:vAlign w:val="bottom"/>
            <w:hideMark/>
          </w:tcPr>
          <w:p w14:paraId="48AF76B7" w14:textId="77777777" w:rsidR="00151464" w:rsidRPr="00DF07F3" w:rsidRDefault="00151464" w:rsidP="00151464">
            <w:pPr>
              <w:spacing w:line="240" w:lineRule="auto"/>
              <w:jc w:val="left"/>
              <w:rPr>
                <w:sz w:val="20"/>
              </w:rPr>
            </w:pPr>
          </w:p>
        </w:tc>
        <w:tc>
          <w:tcPr>
            <w:tcW w:w="940" w:type="dxa"/>
            <w:tcBorders>
              <w:top w:val="nil"/>
              <w:left w:val="nil"/>
              <w:bottom w:val="nil"/>
              <w:right w:val="nil"/>
            </w:tcBorders>
            <w:shd w:val="clear" w:color="auto" w:fill="auto"/>
            <w:noWrap/>
            <w:vAlign w:val="bottom"/>
            <w:hideMark/>
          </w:tcPr>
          <w:p w14:paraId="0E6A3242" w14:textId="77777777" w:rsidR="00151464" w:rsidRPr="00DF07F3" w:rsidRDefault="00151464" w:rsidP="00151464">
            <w:pPr>
              <w:spacing w:line="240" w:lineRule="auto"/>
              <w:jc w:val="left"/>
              <w:rPr>
                <w:sz w:val="20"/>
              </w:rPr>
            </w:pPr>
          </w:p>
        </w:tc>
        <w:tc>
          <w:tcPr>
            <w:tcW w:w="981" w:type="dxa"/>
            <w:tcBorders>
              <w:top w:val="nil"/>
              <w:left w:val="nil"/>
              <w:bottom w:val="nil"/>
              <w:right w:val="nil"/>
            </w:tcBorders>
            <w:shd w:val="clear" w:color="auto" w:fill="auto"/>
            <w:noWrap/>
            <w:vAlign w:val="bottom"/>
            <w:hideMark/>
          </w:tcPr>
          <w:p w14:paraId="1B16D769" w14:textId="77777777" w:rsidR="00151464" w:rsidRPr="00DF07F3" w:rsidRDefault="00151464" w:rsidP="00151464">
            <w:pPr>
              <w:spacing w:line="240" w:lineRule="auto"/>
              <w:jc w:val="left"/>
              <w:rPr>
                <w:sz w:val="20"/>
              </w:rPr>
            </w:pPr>
          </w:p>
        </w:tc>
        <w:tc>
          <w:tcPr>
            <w:tcW w:w="861" w:type="dxa"/>
            <w:tcBorders>
              <w:top w:val="nil"/>
              <w:left w:val="nil"/>
              <w:bottom w:val="nil"/>
              <w:right w:val="nil"/>
            </w:tcBorders>
            <w:shd w:val="clear" w:color="auto" w:fill="auto"/>
            <w:noWrap/>
            <w:vAlign w:val="bottom"/>
            <w:hideMark/>
          </w:tcPr>
          <w:p w14:paraId="56528AEB" w14:textId="77777777" w:rsidR="00151464" w:rsidRPr="00DF07F3" w:rsidRDefault="00151464" w:rsidP="00151464">
            <w:pPr>
              <w:spacing w:line="240" w:lineRule="auto"/>
              <w:jc w:val="left"/>
              <w:rPr>
                <w:sz w:val="20"/>
              </w:rPr>
            </w:pPr>
          </w:p>
        </w:tc>
      </w:tr>
    </w:tbl>
    <w:p w14:paraId="635DFAE3" w14:textId="77777777" w:rsidR="00151464" w:rsidRPr="00730B1E" w:rsidRDefault="00151464" w:rsidP="00151464">
      <w:r w:rsidRPr="00730B1E">
        <w:t>Opět si v souvislosti s tabulkou dovolíme upozornit na několik faktů.</w:t>
      </w:r>
    </w:p>
    <w:p w14:paraId="5BF0EAA1" w14:textId="2775897A" w:rsidR="00151464" w:rsidRPr="00730B1E" w:rsidRDefault="00151464" w:rsidP="00A94F8F">
      <w:pPr>
        <w:pStyle w:val="Odstavecseseznamem"/>
        <w:numPr>
          <w:ilvl w:val="0"/>
          <w:numId w:val="14"/>
        </w:numPr>
      </w:pPr>
      <w:r w:rsidRPr="00730B1E">
        <w:t>Počty příchozích a vyřízených věcí jsou mezi kraji mnohem vyrovnanější než u prvostupňových věcí. V tomto směru mírně vybočuje KS Ostrava, u něhož se agendě věnuje relativně méně soudců než u ostatních soudů</w:t>
      </w:r>
      <w:r w:rsidR="00BF7072" w:rsidRPr="00730B1E">
        <w:t xml:space="preserve">; rozdíl se nicméně snižuje a </w:t>
      </w:r>
      <w:r w:rsidR="00C1706B" w:rsidRPr="00730B1E">
        <w:t xml:space="preserve">KS </w:t>
      </w:r>
      <w:r w:rsidRPr="00730B1E">
        <w:lastRenderedPageBreak/>
        <w:t xml:space="preserve">Ostrava </w:t>
      </w:r>
      <w:r w:rsidR="00BF7072" w:rsidRPr="00730B1E">
        <w:t xml:space="preserve">zřejmě i díky této skutečnosti oproti roku 2022 snížila </w:t>
      </w:r>
      <w:r w:rsidRPr="00730B1E">
        <w:t>počet nedodělků</w:t>
      </w:r>
      <w:r w:rsidR="00300E69" w:rsidRPr="00730B1E">
        <w:t xml:space="preserve"> jak celkem</w:t>
      </w:r>
      <w:r w:rsidR="00876474" w:rsidRPr="00730B1E">
        <w:t>,</w:t>
      </w:r>
      <w:r w:rsidR="00300E69" w:rsidRPr="00730B1E">
        <w:t xml:space="preserve"> tak </w:t>
      </w:r>
      <w:r w:rsidR="00BF7072" w:rsidRPr="00730B1E">
        <w:t xml:space="preserve">v přepočtu </w:t>
      </w:r>
      <w:r w:rsidR="00300E69" w:rsidRPr="00730B1E">
        <w:t>na soudce</w:t>
      </w:r>
      <w:r w:rsidRPr="00730B1E">
        <w:t xml:space="preserve">. </w:t>
      </w:r>
    </w:p>
    <w:p w14:paraId="44660DDC" w14:textId="4F766DBC" w:rsidR="00151464" w:rsidRPr="00730B1E" w:rsidRDefault="00BF7072" w:rsidP="00A94F8F">
      <w:pPr>
        <w:pStyle w:val="Odstavecseseznamem"/>
        <w:numPr>
          <w:ilvl w:val="0"/>
          <w:numId w:val="14"/>
        </w:numPr>
      </w:pPr>
      <w:r w:rsidRPr="00730B1E">
        <w:t xml:space="preserve">Výrazně </w:t>
      </w:r>
      <w:r w:rsidR="00151464" w:rsidRPr="00730B1E">
        <w:t xml:space="preserve">nejvyšší počet nevyřízených věcí na soudce v roce </w:t>
      </w:r>
      <w:r w:rsidR="000D4F42" w:rsidRPr="00730B1E">
        <w:t>2023 vykazuj</w:t>
      </w:r>
      <w:r w:rsidR="00D51877" w:rsidRPr="00730B1E">
        <w:t>e</w:t>
      </w:r>
      <w:r w:rsidR="000D4F42" w:rsidRPr="00730B1E">
        <w:t xml:space="preserve"> KS Ostrava</w:t>
      </w:r>
      <w:r w:rsidR="00D51877" w:rsidRPr="00730B1E">
        <w:t>,</w:t>
      </w:r>
      <w:r w:rsidR="000D4F42" w:rsidRPr="00730B1E">
        <w:t xml:space="preserve"> co</w:t>
      </w:r>
      <w:r w:rsidR="00F77E72" w:rsidRPr="00730B1E">
        <w:t>ž</w:t>
      </w:r>
      <w:r w:rsidR="000D4F42" w:rsidRPr="00730B1E">
        <w:t xml:space="preserve"> je </w:t>
      </w:r>
      <w:r w:rsidR="003E4AC8" w:rsidRPr="00730B1E">
        <w:t xml:space="preserve">ale </w:t>
      </w:r>
      <w:r w:rsidR="000D4F42" w:rsidRPr="00730B1E">
        <w:t>dlouhodobý jev, i když se hodnoty postupně</w:t>
      </w:r>
      <w:r w:rsidR="003E4AC8" w:rsidRPr="00730B1E">
        <w:t xml:space="preserve"> v cyklických vlnách</w:t>
      </w:r>
      <w:r w:rsidR="000D4F42" w:rsidRPr="00730B1E">
        <w:t xml:space="preserve"> snižují</w:t>
      </w:r>
      <w:r w:rsidR="00151464" w:rsidRPr="00730B1E">
        <w:t>. Naopak nejméně nevyřízených věcí na soudce vykazují KS Praha a KS České Budějovice</w:t>
      </w:r>
      <w:r w:rsidR="00DD6240" w:rsidRPr="00730B1E">
        <w:t xml:space="preserve"> (</w:t>
      </w:r>
      <w:r w:rsidR="00856B4B" w:rsidRPr="00730B1E">
        <w:t xml:space="preserve">také </w:t>
      </w:r>
      <w:r w:rsidR="00DD6240" w:rsidRPr="00730B1E">
        <w:t>dlouhodobě)</w:t>
      </w:r>
      <w:r w:rsidR="00151464" w:rsidRPr="00730B1E">
        <w:t xml:space="preserve">, </w:t>
      </w:r>
      <w:r w:rsidR="00856B4B" w:rsidRPr="00730B1E">
        <w:t xml:space="preserve">i když </w:t>
      </w:r>
      <w:r w:rsidR="00151464" w:rsidRPr="00730B1E">
        <w:t>v tomto roce došlo k</w:t>
      </w:r>
      <w:r w:rsidR="00DD6240" w:rsidRPr="00730B1E">
        <w:t xml:space="preserve"> mírnému </w:t>
      </w:r>
      <w:r w:rsidR="00151464" w:rsidRPr="00730B1E">
        <w:t xml:space="preserve">růstu. </w:t>
      </w:r>
      <w:r w:rsidRPr="00730B1E">
        <w:t>Nárůst zřejmě vyplývá z</w:t>
      </w:r>
      <w:r w:rsidR="00151464" w:rsidRPr="00730B1E">
        <w:t xml:space="preserve"> </w:t>
      </w:r>
      <w:r w:rsidRPr="00730B1E">
        <w:t xml:space="preserve">úbytku </w:t>
      </w:r>
      <w:r w:rsidR="00151464" w:rsidRPr="00730B1E">
        <w:t>v počtu soudců na tomto úseku.</w:t>
      </w:r>
    </w:p>
    <w:p w14:paraId="1A2E95EE" w14:textId="4B4F5D07" w:rsidR="00151464" w:rsidRPr="00730B1E" w:rsidRDefault="00151464" w:rsidP="00A94F8F">
      <w:pPr>
        <w:pStyle w:val="Odstavecseseznamem"/>
        <w:numPr>
          <w:ilvl w:val="0"/>
          <w:numId w:val="14"/>
        </w:numPr>
      </w:pPr>
      <w:r w:rsidRPr="00730B1E">
        <w:t>Oproti předchozímu roku se mírně změnily počty soudců u jednotlivých soudů. Na republikové úrovni je však počet velmi podobný předchozímu roku (</w:t>
      </w:r>
      <w:r w:rsidR="00BF7072" w:rsidRPr="00730B1E">
        <w:t xml:space="preserve">nižší přibližně o </w:t>
      </w:r>
      <w:r w:rsidRPr="00730B1E">
        <w:t>šest</w:t>
      </w:r>
      <w:r w:rsidR="00BF7072" w:rsidRPr="00730B1E">
        <w:t xml:space="preserve"> úvazků</w:t>
      </w:r>
      <w:r w:rsidRPr="00730B1E">
        <w:t>). Změny ve vyřizování na soudce tak na republikové úrovni přesně kopírují změny ve vyřizování věcí.</w:t>
      </w:r>
    </w:p>
    <w:p w14:paraId="76488257" w14:textId="77777777" w:rsidR="00850FB8" w:rsidRPr="00730B1E" w:rsidRDefault="00850FB8" w:rsidP="00F3775C">
      <w:pPr>
        <w:ind w:left="360"/>
      </w:pPr>
    </w:p>
    <w:p w14:paraId="3C419E60" w14:textId="661BA69D" w:rsidR="00144C49" w:rsidRPr="00730B1E" w:rsidRDefault="00ED5CE9" w:rsidP="00ED5CE9">
      <w:pPr>
        <w:pStyle w:val="Nadpis3"/>
        <w:numPr>
          <w:ilvl w:val="2"/>
          <w:numId w:val="1"/>
        </w:numPr>
        <w:rPr>
          <w:color w:val="auto"/>
        </w:rPr>
      </w:pPr>
      <w:bookmarkStart w:id="897" w:name="_Toc515871256"/>
      <w:bookmarkStart w:id="898" w:name="_Toc106092762"/>
      <w:bookmarkStart w:id="899" w:name="_Toc169250838"/>
      <w:bookmarkStart w:id="900" w:name="_Toc174080874"/>
      <w:r w:rsidRPr="00730B1E">
        <w:rPr>
          <w:color w:val="auto"/>
        </w:rPr>
        <w:t>Disposition time</w:t>
      </w:r>
      <w:bookmarkEnd w:id="897"/>
      <w:r w:rsidRPr="00730B1E">
        <w:rPr>
          <w:color w:val="auto"/>
        </w:rPr>
        <w:t xml:space="preserve"> (dispoziční čas)</w:t>
      </w:r>
      <w:bookmarkEnd w:id="898"/>
      <w:bookmarkEnd w:id="899"/>
      <w:bookmarkEnd w:id="900"/>
    </w:p>
    <w:p w14:paraId="78DAD72B" w14:textId="052AB82F" w:rsidR="00066315" w:rsidRPr="00730B1E" w:rsidRDefault="00191C60" w:rsidP="00066315">
      <w:pPr>
        <w:pStyle w:val="OdstavecASR"/>
      </w:pPr>
      <w:r w:rsidRPr="00730B1E">
        <w:t>Obecně lze říci, že</w:t>
      </w:r>
      <w:r w:rsidR="00F3775C" w:rsidRPr="00730B1E">
        <w:t xml:space="preserve"> rozdíly v</w:t>
      </w:r>
      <w:r w:rsidR="00D51877" w:rsidRPr="00730B1E">
        <w:t xml:space="preserve"> DT </w:t>
      </w:r>
      <w:r w:rsidR="00F3775C" w:rsidRPr="00730B1E">
        <w:t>jsou velmi malé a</w:t>
      </w:r>
      <w:r w:rsidRPr="00730B1E">
        <w:t xml:space="preserve"> od roku 2011 </w:t>
      </w:r>
      <w:r w:rsidR="00D51877" w:rsidRPr="00730B1E">
        <w:t xml:space="preserve">se </w:t>
      </w:r>
      <w:r w:rsidRPr="00730B1E">
        <w:t>pohybuje mezi hodnotami 60 až 70 kal</w:t>
      </w:r>
      <w:r w:rsidR="00A62666" w:rsidRPr="00730B1E">
        <w:t>endářních</w:t>
      </w:r>
      <w:r w:rsidRPr="00730B1E">
        <w:t xml:space="preserve"> dní. V letech</w:t>
      </w:r>
      <w:r w:rsidR="00066315" w:rsidRPr="00730B1E">
        <w:t xml:space="preserve"> 2017–2018 </w:t>
      </w:r>
      <w:r w:rsidRPr="00730B1E">
        <w:t xml:space="preserve">se </w:t>
      </w:r>
      <w:r w:rsidR="00066315" w:rsidRPr="00730B1E">
        <w:t xml:space="preserve">mírně prodlužoval, což bylo způsobeno tím, že rychlé vyřizování věcí se neodráží ve stejně rychlém ubývání nevyřízených věcí v daném roce. V roce 2019 se DT díky signifikantnímu poklesu v počtu nevyřízených věcí snížil na úroveň roku 2016. V roce 2020 pak DT narostl, což plyne především z poklesu nápadu, a tedy poklesu v počtu vyřízených věcí. V roce 2021 DT opět poklesl z důvodu poklesu v počtu nevyřízených věcí a v roce 2022 opět došlo k nárůstu. </w:t>
      </w:r>
      <w:r w:rsidR="00EC3648" w:rsidRPr="00730B1E">
        <w:t>V </w:t>
      </w:r>
      <w:r w:rsidRPr="00730B1E">
        <w:t xml:space="preserve">roce </w:t>
      </w:r>
      <w:r w:rsidR="00EC3648" w:rsidRPr="00730B1E">
        <w:t xml:space="preserve">2023 byl DT nejnižší. </w:t>
      </w:r>
    </w:p>
    <w:p w14:paraId="05E61F8B" w14:textId="31A70D15" w:rsidR="00066315" w:rsidRPr="00730B1E" w:rsidRDefault="00066315" w:rsidP="00066315">
      <w:pPr>
        <w:pStyle w:val="Podnadpis"/>
        <w:rPr>
          <w:color w:val="auto"/>
        </w:rPr>
      </w:pPr>
      <w:bookmarkStart w:id="901" w:name="_Toc515871388"/>
      <w:bookmarkStart w:id="902" w:name="_Toc11135119"/>
      <w:bookmarkStart w:id="903" w:name="_Toc43841438"/>
      <w:bookmarkStart w:id="904" w:name="_Toc75952241"/>
      <w:bookmarkStart w:id="905" w:name="_Toc106106698"/>
      <w:bookmarkStart w:id="906" w:name="_Toc109802022"/>
      <w:bookmarkStart w:id="907" w:name="_Toc144104173"/>
      <w:bookmarkStart w:id="908" w:name="_Toc169250985"/>
      <w:bookmarkStart w:id="909" w:name="_Toc17408067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66</w:t>
      </w:r>
      <w:r w:rsidRPr="00730B1E">
        <w:rPr>
          <w:color w:val="auto"/>
        </w:rPr>
        <w:fldChar w:fldCharType="end"/>
      </w:r>
      <w:r w:rsidRPr="00730B1E">
        <w:rPr>
          <w:color w:val="auto"/>
        </w:rPr>
        <w:t>: KS – DT odvolacího civilního řízení v letech 2014–20</w:t>
      </w:r>
      <w:bookmarkEnd w:id="901"/>
      <w:bookmarkEnd w:id="902"/>
      <w:bookmarkEnd w:id="903"/>
      <w:r w:rsidRPr="00730B1E">
        <w:rPr>
          <w:color w:val="auto"/>
        </w:rPr>
        <w:t>2</w:t>
      </w:r>
      <w:bookmarkEnd w:id="904"/>
      <w:bookmarkEnd w:id="905"/>
      <w:bookmarkEnd w:id="906"/>
      <w:bookmarkEnd w:id="907"/>
      <w:r w:rsidRPr="00730B1E">
        <w:rPr>
          <w:color w:val="auto"/>
        </w:rPr>
        <w:t>3</w:t>
      </w:r>
      <w:bookmarkEnd w:id="908"/>
      <w:bookmarkEnd w:id="909"/>
    </w:p>
    <w:p w14:paraId="6A61B6BE" w14:textId="77777777" w:rsidR="00066315" w:rsidRPr="00730B1E" w:rsidRDefault="00066315" w:rsidP="00144C49">
      <w:pPr>
        <w:spacing w:after="160" w:line="259" w:lineRule="auto"/>
        <w:jc w:val="left"/>
      </w:pPr>
      <w:r w:rsidRPr="00730B1E">
        <w:rPr>
          <w:noProof/>
          <w:lang w:eastAsia="cs-CZ"/>
        </w:rPr>
        <w:drawing>
          <wp:inline distT="0" distB="0" distL="0" distR="0" wp14:anchorId="7AD0CA2D" wp14:editId="5E8ADFFC">
            <wp:extent cx="5029200" cy="3657600"/>
            <wp:effectExtent l="0" t="0" r="0" b="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277DD2C" w14:textId="77777777" w:rsidR="00066315" w:rsidRPr="00730B1E" w:rsidRDefault="00066315" w:rsidP="00144C49">
      <w:pPr>
        <w:spacing w:after="160" w:line="259" w:lineRule="auto"/>
        <w:jc w:val="left"/>
      </w:pPr>
    </w:p>
    <w:p w14:paraId="300F5E76" w14:textId="77777777" w:rsidR="00066315" w:rsidRPr="00730B1E" w:rsidRDefault="00066315" w:rsidP="00144C49">
      <w:pPr>
        <w:spacing w:after="160" w:line="259" w:lineRule="auto"/>
        <w:jc w:val="left"/>
      </w:pPr>
    </w:p>
    <w:p w14:paraId="44FC8760" w14:textId="25A5525E" w:rsidR="00066315" w:rsidRPr="00730B1E" w:rsidRDefault="00066315" w:rsidP="00066315">
      <w:pPr>
        <w:pStyle w:val="Podnadpis"/>
        <w:rPr>
          <w:color w:val="auto"/>
        </w:rPr>
      </w:pPr>
      <w:bookmarkStart w:id="910" w:name="_Toc43931224"/>
      <w:bookmarkStart w:id="911" w:name="_Toc75952357"/>
      <w:bookmarkStart w:id="912" w:name="_Toc106106813"/>
      <w:bookmarkStart w:id="913" w:name="_Toc109802136"/>
      <w:bookmarkStart w:id="914" w:name="_Toc144104294"/>
      <w:bookmarkStart w:id="915" w:name="_Toc169251108"/>
      <w:bookmarkStart w:id="916" w:name="_Toc174080794"/>
      <w:r w:rsidRPr="00730B1E">
        <w:rPr>
          <w:color w:val="auto"/>
        </w:rPr>
        <w:lastRenderedPageBreak/>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51</w:t>
      </w:r>
      <w:r w:rsidRPr="00730B1E">
        <w:rPr>
          <w:noProof/>
          <w:color w:val="auto"/>
        </w:rPr>
        <w:fldChar w:fldCharType="end"/>
      </w:r>
      <w:r w:rsidRPr="00730B1E">
        <w:rPr>
          <w:color w:val="auto"/>
        </w:rPr>
        <w:t>: KS – DT v civilním odvolacím řízení dle soudů</w:t>
      </w:r>
      <w:bookmarkEnd w:id="910"/>
      <w:bookmarkEnd w:id="911"/>
      <w:bookmarkEnd w:id="912"/>
      <w:bookmarkEnd w:id="913"/>
      <w:bookmarkEnd w:id="914"/>
      <w:r w:rsidR="00554BBA" w:rsidRPr="00730B1E">
        <w:rPr>
          <w:color w:val="auto"/>
        </w:rPr>
        <w:t>, 2023</w:t>
      </w:r>
      <w:bookmarkEnd w:id="915"/>
      <w:bookmarkEnd w:id="916"/>
    </w:p>
    <w:tbl>
      <w:tblPr>
        <w:tblW w:w="5960" w:type="dxa"/>
        <w:tblCellMar>
          <w:left w:w="70" w:type="dxa"/>
          <w:right w:w="70" w:type="dxa"/>
        </w:tblCellMar>
        <w:tblLook w:val="04A0" w:firstRow="1" w:lastRow="0" w:firstColumn="1" w:lastColumn="0" w:noHBand="0" w:noVBand="1"/>
      </w:tblPr>
      <w:tblGrid>
        <w:gridCol w:w="2780"/>
        <w:gridCol w:w="1253"/>
        <w:gridCol w:w="1927"/>
      </w:tblGrid>
      <w:tr w:rsidR="00B64E96" w:rsidRPr="00730B1E" w14:paraId="2101732D" w14:textId="77777777" w:rsidTr="00EC364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FBE0818" w14:textId="77777777" w:rsidR="00EC3648" w:rsidRPr="00730B1E" w:rsidRDefault="00EC3648" w:rsidP="00EC3648">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284959A9" w14:textId="77777777" w:rsidR="00EC3648" w:rsidRPr="00730B1E" w:rsidRDefault="00EC3648" w:rsidP="00EC3648">
            <w:pPr>
              <w:spacing w:line="240" w:lineRule="auto"/>
              <w:jc w:val="center"/>
              <w:rPr>
                <w:rFonts w:eastAsia="Times New Roman"/>
                <w:b/>
                <w:bCs/>
                <w:szCs w:val="24"/>
                <w:lang w:eastAsia="cs-CZ"/>
              </w:rPr>
            </w:pPr>
            <w:r w:rsidRPr="00730B1E">
              <w:rPr>
                <w:rFonts w:eastAsia="Times New Roman"/>
                <w:b/>
                <w:bCs/>
                <w:szCs w:val="24"/>
                <w:lang w:eastAsia="cs-CZ"/>
              </w:rPr>
              <w:t>Disposition time</w:t>
            </w:r>
          </w:p>
        </w:tc>
      </w:tr>
      <w:tr w:rsidR="00B64E96" w:rsidRPr="00730B1E" w14:paraId="7F2CAC83" w14:textId="77777777" w:rsidTr="00EC3648">
        <w:trPr>
          <w:trHeight w:val="330"/>
        </w:trPr>
        <w:tc>
          <w:tcPr>
            <w:tcW w:w="2780" w:type="dxa"/>
            <w:tcBorders>
              <w:top w:val="nil"/>
              <w:left w:val="nil"/>
              <w:bottom w:val="single" w:sz="4" w:space="0" w:color="auto"/>
              <w:right w:val="nil"/>
            </w:tcBorders>
            <w:shd w:val="clear" w:color="auto" w:fill="auto"/>
            <w:noWrap/>
            <w:vAlign w:val="bottom"/>
            <w:hideMark/>
          </w:tcPr>
          <w:p w14:paraId="4FAC4376" w14:textId="77777777" w:rsidR="00EC3648" w:rsidRPr="00730B1E" w:rsidRDefault="00EC3648" w:rsidP="00EC3648">
            <w:pPr>
              <w:spacing w:line="240" w:lineRule="auto"/>
              <w:jc w:val="left"/>
              <w:rPr>
                <w:rFonts w:eastAsia="Times New Roman"/>
                <w:szCs w:val="24"/>
                <w:lang w:eastAsia="cs-CZ"/>
              </w:rPr>
            </w:pPr>
            <w:r w:rsidRPr="00730B1E">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1EA4F5F6" w14:textId="77777777" w:rsidR="00EC3648" w:rsidRPr="00730B1E" w:rsidRDefault="00EC3648" w:rsidP="00EC3648">
            <w:pPr>
              <w:spacing w:line="240" w:lineRule="auto"/>
              <w:jc w:val="center"/>
              <w:rPr>
                <w:rFonts w:eastAsia="Times New Roman"/>
                <w:szCs w:val="24"/>
                <w:lang w:eastAsia="cs-CZ"/>
              </w:rPr>
            </w:pPr>
            <w:r w:rsidRPr="00730B1E">
              <w:rPr>
                <w:rFonts w:eastAsia="Times New Roman"/>
                <w:szCs w:val="24"/>
                <w:lang w:eastAsia="cs-CZ"/>
              </w:rPr>
              <w:t>38</w:t>
            </w:r>
          </w:p>
        </w:tc>
        <w:tc>
          <w:tcPr>
            <w:tcW w:w="1927" w:type="dxa"/>
            <w:tcBorders>
              <w:top w:val="nil"/>
              <w:left w:val="nil"/>
              <w:bottom w:val="single" w:sz="4" w:space="0" w:color="auto"/>
              <w:right w:val="nil"/>
            </w:tcBorders>
            <w:shd w:val="clear" w:color="auto" w:fill="auto"/>
            <w:noWrap/>
            <w:vAlign w:val="center"/>
            <w:hideMark/>
          </w:tcPr>
          <w:p w14:paraId="397CAE04" w14:textId="77777777" w:rsidR="00EC3648" w:rsidRPr="00730B1E" w:rsidRDefault="00EC3648" w:rsidP="00EC3648">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4E1528A1" w14:textId="77777777" w:rsidTr="00EC3648">
        <w:trPr>
          <w:trHeight w:val="315"/>
        </w:trPr>
        <w:tc>
          <w:tcPr>
            <w:tcW w:w="2780" w:type="dxa"/>
            <w:tcBorders>
              <w:top w:val="nil"/>
              <w:left w:val="nil"/>
              <w:bottom w:val="single" w:sz="4" w:space="0" w:color="auto"/>
              <w:right w:val="nil"/>
            </w:tcBorders>
            <w:shd w:val="clear" w:color="auto" w:fill="auto"/>
            <w:noWrap/>
            <w:vAlign w:val="bottom"/>
            <w:hideMark/>
          </w:tcPr>
          <w:p w14:paraId="6FE30E5B" w14:textId="77777777" w:rsidR="00EC3648" w:rsidRPr="00730B1E" w:rsidRDefault="00EC3648" w:rsidP="00EC3648">
            <w:pPr>
              <w:spacing w:line="240" w:lineRule="auto"/>
              <w:jc w:val="left"/>
              <w:rPr>
                <w:rFonts w:eastAsia="Times New Roman"/>
                <w:szCs w:val="24"/>
                <w:lang w:eastAsia="cs-CZ"/>
              </w:rPr>
            </w:pPr>
            <w:r w:rsidRPr="00730B1E">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74AAA122" w14:textId="77777777" w:rsidR="00EC3648" w:rsidRPr="00730B1E" w:rsidRDefault="00EC3648" w:rsidP="00EC3648">
            <w:pPr>
              <w:spacing w:line="240" w:lineRule="auto"/>
              <w:jc w:val="center"/>
              <w:rPr>
                <w:rFonts w:eastAsia="Times New Roman"/>
                <w:szCs w:val="24"/>
                <w:lang w:eastAsia="cs-CZ"/>
              </w:rPr>
            </w:pPr>
            <w:r w:rsidRPr="00730B1E">
              <w:rPr>
                <w:rFonts w:eastAsia="Times New Roman"/>
                <w:szCs w:val="24"/>
                <w:lang w:eastAsia="cs-CZ"/>
              </w:rPr>
              <w:t>35</w:t>
            </w:r>
          </w:p>
        </w:tc>
        <w:tc>
          <w:tcPr>
            <w:tcW w:w="1927" w:type="dxa"/>
            <w:tcBorders>
              <w:top w:val="nil"/>
              <w:left w:val="nil"/>
              <w:bottom w:val="single" w:sz="4" w:space="0" w:color="auto"/>
              <w:right w:val="nil"/>
            </w:tcBorders>
            <w:shd w:val="clear" w:color="auto" w:fill="auto"/>
            <w:noWrap/>
            <w:vAlign w:val="center"/>
            <w:hideMark/>
          </w:tcPr>
          <w:p w14:paraId="50F47ABB" w14:textId="77777777" w:rsidR="00EC3648" w:rsidRPr="00730B1E" w:rsidRDefault="00EC3648" w:rsidP="00EC3648">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r>
      <w:tr w:rsidR="00B64E96" w:rsidRPr="00730B1E" w14:paraId="69C1F854" w14:textId="77777777" w:rsidTr="00EC3648">
        <w:trPr>
          <w:trHeight w:val="315"/>
        </w:trPr>
        <w:tc>
          <w:tcPr>
            <w:tcW w:w="2780" w:type="dxa"/>
            <w:tcBorders>
              <w:top w:val="nil"/>
              <w:left w:val="nil"/>
              <w:bottom w:val="single" w:sz="4" w:space="0" w:color="auto"/>
              <w:right w:val="nil"/>
            </w:tcBorders>
            <w:shd w:val="clear" w:color="auto" w:fill="auto"/>
            <w:noWrap/>
            <w:vAlign w:val="bottom"/>
            <w:hideMark/>
          </w:tcPr>
          <w:p w14:paraId="1CC49A62" w14:textId="77777777" w:rsidR="00EC3648" w:rsidRPr="00730B1E" w:rsidRDefault="00EC3648" w:rsidP="00EC3648">
            <w:pPr>
              <w:spacing w:line="240" w:lineRule="auto"/>
              <w:jc w:val="left"/>
              <w:rPr>
                <w:rFonts w:eastAsia="Times New Roman"/>
                <w:szCs w:val="24"/>
                <w:lang w:eastAsia="cs-CZ"/>
              </w:rPr>
            </w:pPr>
            <w:r w:rsidRPr="00730B1E">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3D6358AD" w14:textId="77777777" w:rsidR="00EC3648" w:rsidRPr="00730B1E" w:rsidRDefault="00EC3648" w:rsidP="00EC3648">
            <w:pPr>
              <w:spacing w:line="240" w:lineRule="auto"/>
              <w:jc w:val="center"/>
              <w:rPr>
                <w:rFonts w:eastAsia="Times New Roman"/>
                <w:szCs w:val="24"/>
                <w:lang w:eastAsia="cs-CZ"/>
              </w:rPr>
            </w:pPr>
            <w:r w:rsidRPr="00730B1E">
              <w:rPr>
                <w:rFonts w:eastAsia="Times New Roman"/>
                <w:szCs w:val="24"/>
                <w:lang w:eastAsia="cs-CZ"/>
              </w:rPr>
              <w:t>44</w:t>
            </w:r>
          </w:p>
        </w:tc>
        <w:tc>
          <w:tcPr>
            <w:tcW w:w="1927" w:type="dxa"/>
            <w:tcBorders>
              <w:top w:val="nil"/>
              <w:left w:val="nil"/>
              <w:bottom w:val="single" w:sz="4" w:space="0" w:color="auto"/>
              <w:right w:val="nil"/>
            </w:tcBorders>
            <w:shd w:val="clear" w:color="auto" w:fill="auto"/>
            <w:noWrap/>
            <w:vAlign w:val="center"/>
            <w:hideMark/>
          </w:tcPr>
          <w:p w14:paraId="274DABBB" w14:textId="77777777" w:rsidR="00EC3648" w:rsidRPr="00730B1E" w:rsidRDefault="00EC3648" w:rsidP="00EC3648">
            <w:pPr>
              <w:spacing w:line="240" w:lineRule="auto"/>
              <w:jc w:val="center"/>
              <w:rPr>
                <w:rFonts w:eastAsia="Times New Roman"/>
                <w:sz w:val="20"/>
                <w:szCs w:val="20"/>
                <w:lang w:eastAsia="cs-CZ"/>
              </w:rPr>
            </w:pPr>
            <w:r w:rsidRPr="00730B1E">
              <w:rPr>
                <w:rFonts w:eastAsia="Times New Roman"/>
                <w:sz w:val="20"/>
                <w:szCs w:val="20"/>
                <w:lang w:eastAsia="cs-CZ"/>
              </w:rPr>
              <w:t xml:space="preserve">+31 %  </w:t>
            </w:r>
          </w:p>
        </w:tc>
      </w:tr>
      <w:tr w:rsidR="00B64E96" w:rsidRPr="00730B1E" w14:paraId="16EE9E9E" w14:textId="77777777" w:rsidTr="00EC3648">
        <w:trPr>
          <w:trHeight w:val="315"/>
        </w:trPr>
        <w:tc>
          <w:tcPr>
            <w:tcW w:w="2780" w:type="dxa"/>
            <w:tcBorders>
              <w:top w:val="nil"/>
              <w:left w:val="nil"/>
              <w:bottom w:val="single" w:sz="4" w:space="0" w:color="auto"/>
              <w:right w:val="nil"/>
            </w:tcBorders>
            <w:shd w:val="clear" w:color="auto" w:fill="auto"/>
            <w:noWrap/>
            <w:vAlign w:val="bottom"/>
            <w:hideMark/>
          </w:tcPr>
          <w:p w14:paraId="51608EB9" w14:textId="77777777" w:rsidR="00EC3648" w:rsidRPr="00730B1E" w:rsidRDefault="00EC3648" w:rsidP="00EC3648">
            <w:pPr>
              <w:spacing w:line="240" w:lineRule="auto"/>
              <w:jc w:val="left"/>
              <w:rPr>
                <w:rFonts w:eastAsia="Times New Roman"/>
                <w:szCs w:val="24"/>
                <w:lang w:eastAsia="cs-CZ"/>
              </w:rPr>
            </w:pPr>
            <w:r w:rsidRPr="00730B1E">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005031BE" w14:textId="77777777" w:rsidR="00EC3648" w:rsidRPr="00730B1E" w:rsidRDefault="00EC3648" w:rsidP="00EC3648">
            <w:pPr>
              <w:spacing w:line="240" w:lineRule="auto"/>
              <w:jc w:val="center"/>
              <w:rPr>
                <w:rFonts w:eastAsia="Times New Roman"/>
                <w:szCs w:val="24"/>
                <w:lang w:eastAsia="cs-CZ"/>
              </w:rPr>
            </w:pPr>
            <w:r w:rsidRPr="00730B1E">
              <w:rPr>
                <w:rFonts w:eastAsia="Times New Roman"/>
                <w:szCs w:val="24"/>
                <w:lang w:eastAsia="cs-CZ"/>
              </w:rPr>
              <w:t>40</w:t>
            </w:r>
          </w:p>
        </w:tc>
        <w:tc>
          <w:tcPr>
            <w:tcW w:w="1927" w:type="dxa"/>
            <w:tcBorders>
              <w:top w:val="nil"/>
              <w:left w:val="nil"/>
              <w:bottom w:val="single" w:sz="4" w:space="0" w:color="auto"/>
              <w:right w:val="nil"/>
            </w:tcBorders>
            <w:shd w:val="clear" w:color="auto" w:fill="auto"/>
            <w:noWrap/>
            <w:vAlign w:val="center"/>
            <w:hideMark/>
          </w:tcPr>
          <w:p w14:paraId="1F90F408" w14:textId="77777777" w:rsidR="00EC3648" w:rsidRPr="00730B1E" w:rsidRDefault="00EC3648" w:rsidP="00EC3648">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r>
      <w:tr w:rsidR="00B64E96" w:rsidRPr="00730B1E" w14:paraId="76E0036A" w14:textId="77777777" w:rsidTr="00EC3648">
        <w:trPr>
          <w:trHeight w:val="315"/>
        </w:trPr>
        <w:tc>
          <w:tcPr>
            <w:tcW w:w="2780" w:type="dxa"/>
            <w:tcBorders>
              <w:top w:val="nil"/>
              <w:left w:val="nil"/>
              <w:bottom w:val="single" w:sz="4" w:space="0" w:color="auto"/>
              <w:right w:val="nil"/>
            </w:tcBorders>
            <w:shd w:val="clear" w:color="auto" w:fill="auto"/>
            <w:noWrap/>
            <w:vAlign w:val="bottom"/>
            <w:hideMark/>
          </w:tcPr>
          <w:p w14:paraId="5B47CEBE" w14:textId="77777777" w:rsidR="00EC3648" w:rsidRPr="00730B1E" w:rsidRDefault="00EC3648" w:rsidP="00EC3648">
            <w:pPr>
              <w:spacing w:line="240" w:lineRule="auto"/>
              <w:jc w:val="left"/>
              <w:rPr>
                <w:rFonts w:eastAsia="Times New Roman"/>
                <w:szCs w:val="24"/>
                <w:lang w:eastAsia="cs-CZ"/>
              </w:rPr>
            </w:pPr>
            <w:r w:rsidRPr="00730B1E">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6CD32377" w14:textId="77777777" w:rsidR="00EC3648" w:rsidRPr="00730B1E" w:rsidRDefault="00EC3648" w:rsidP="00EC3648">
            <w:pPr>
              <w:spacing w:line="240" w:lineRule="auto"/>
              <w:jc w:val="center"/>
              <w:rPr>
                <w:rFonts w:eastAsia="Times New Roman"/>
                <w:szCs w:val="24"/>
                <w:lang w:eastAsia="cs-CZ"/>
              </w:rPr>
            </w:pPr>
            <w:r w:rsidRPr="00730B1E">
              <w:rPr>
                <w:rFonts w:eastAsia="Times New Roman"/>
                <w:szCs w:val="24"/>
                <w:lang w:eastAsia="cs-CZ"/>
              </w:rPr>
              <w:t>84</w:t>
            </w:r>
          </w:p>
        </w:tc>
        <w:tc>
          <w:tcPr>
            <w:tcW w:w="1927" w:type="dxa"/>
            <w:tcBorders>
              <w:top w:val="nil"/>
              <w:left w:val="nil"/>
              <w:bottom w:val="single" w:sz="4" w:space="0" w:color="auto"/>
              <w:right w:val="nil"/>
            </w:tcBorders>
            <w:shd w:val="clear" w:color="auto" w:fill="auto"/>
            <w:noWrap/>
            <w:vAlign w:val="center"/>
            <w:hideMark/>
          </w:tcPr>
          <w:p w14:paraId="7B048144" w14:textId="77777777" w:rsidR="00EC3648" w:rsidRPr="00730B1E" w:rsidRDefault="00EC3648" w:rsidP="00EC3648">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1574F38B" w14:textId="77777777" w:rsidTr="00EC3648">
        <w:trPr>
          <w:trHeight w:val="315"/>
        </w:trPr>
        <w:tc>
          <w:tcPr>
            <w:tcW w:w="2780" w:type="dxa"/>
            <w:tcBorders>
              <w:top w:val="nil"/>
              <w:left w:val="nil"/>
              <w:bottom w:val="single" w:sz="4" w:space="0" w:color="auto"/>
              <w:right w:val="nil"/>
            </w:tcBorders>
            <w:shd w:val="clear" w:color="auto" w:fill="auto"/>
            <w:noWrap/>
            <w:vAlign w:val="bottom"/>
            <w:hideMark/>
          </w:tcPr>
          <w:p w14:paraId="0AEFE123" w14:textId="77777777" w:rsidR="00EC3648" w:rsidRPr="00730B1E" w:rsidRDefault="00EC3648" w:rsidP="00EC3648">
            <w:pPr>
              <w:spacing w:line="240" w:lineRule="auto"/>
              <w:jc w:val="left"/>
              <w:rPr>
                <w:rFonts w:eastAsia="Times New Roman"/>
                <w:szCs w:val="24"/>
                <w:lang w:eastAsia="cs-CZ"/>
              </w:rPr>
            </w:pPr>
            <w:r w:rsidRPr="00730B1E">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2F9CB749" w14:textId="77777777" w:rsidR="00EC3648" w:rsidRPr="00730B1E" w:rsidRDefault="00EC3648" w:rsidP="00EC3648">
            <w:pPr>
              <w:spacing w:line="240" w:lineRule="auto"/>
              <w:jc w:val="center"/>
              <w:rPr>
                <w:rFonts w:eastAsia="Times New Roman"/>
                <w:szCs w:val="24"/>
                <w:lang w:eastAsia="cs-CZ"/>
              </w:rPr>
            </w:pPr>
            <w:r w:rsidRPr="00730B1E">
              <w:rPr>
                <w:rFonts w:eastAsia="Times New Roman"/>
                <w:szCs w:val="24"/>
                <w:lang w:eastAsia="cs-CZ"/>
              </w:rPr>
              <w:t>47</w:t>
            </w:r>
          </w:p>
        </w:tc>
        <w:tc>
          <w:tcPr>
            <w:tcW w:w="1927" w:type="dxa"/>
            <w:tcBorders>
              <w:top w:val="nil"/>
              <w:left w:val="nil"/>
              <w:bottom w:val="single" w:sz="4" w:space="0" w:color="auto"/>
              <w:right w:val="nil"/>
            </w:tcBorders>
            <w:shd w:val="clear" w:color="auto" w:fill="auto"/>
            <w:noWrap/>
            <w:vAlign w:val="center"/>
            <w:hideMark/>
          </w:tcPr>
          <w:p w14:paraId="2A302E82" w14:textId="77777777" w:rsidR="00EC3648" w:rsidRPr="00730B1E" w:rsidRDefault="00EC3648" w:rsidP="00EC3648">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r>
      <w:tr w:rsidR="00B64E96" w:rsidRPr="00730B1E" w14:paraId="1DAE04DD" w14:textId="77777777" w:rsidTr="00EC3648">
        <w:trPr>
          <w:trHeight w:val="315"/>
        </w:trPr>
        <w:tc>
          <w:tcPr>
            <w:tcW w:w="2780" w:type="dxa"/>
            <w:tcBorders>
              <w:top w:val="nil"/>
              <w:left w:val="nil"/>
              <w:bottom w:val="single" w:sz="4" w:space="0" w:color="auto"/>
              <w:right w:val="nil"/>
            </w:tcBorders>
            <w:shd w:val="clear" w:color="auto" w:fill="auto"/>
            <w:noWrap/>
            <w:vAlign w:val="bottom"/>
            <w:hideMark/>
          </w:tcPr>
          <w:p w14:paraId="42AFC575" w14:textId="77777777" w:rsidR="00EC3648" w:rsidRPr="00730B1E" w:rsidRDefault="00EC3648" w:rsidP="00EC3648">
            <w:pPr>
              <w:spacing w:line="240" w:lineRule="auto"/>
              <w:jc w:val="left"/>
              <w:rPr>
                <w:rFonts w:eastAsia="Times New Roman"/>
                <w:szCs w:val="24"/>
                <w:lang w:eastAsia="cs-CZ"/>
              </w:rPr>
            </w:pPr>
            <w:r w:rsidRPr="00730B1E">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6C36E88D" w14:textId="77777777" w:rsidR="00EC3648" w:rsidRPr="00730B1E" w:rsidRDefault="00EC3648" w:rsidP="00EC3648">
            <w:pPr>
              <w:spacing w:line="240" w:lineRule="auto"/>
              <w:jc w:val="center"/>
              <w:rPr>
                <w:rFonts w:eastAsia="Times New Roman"/>
                <w:szCs w:val="24"/>
                <w:lang w:eastAsia="cs-CZ"/>
              </w:rPr>
            </w:pPr>
            <w:r w:rsidRPr="00730B1E">
              <w:rPr>
                <w:rFonts w:eastAsia="Times New Roman"/>
                <w:szCs w:val="24"/>
                <w:lang w:eastAsia="cs-CZ"/>
              </w:rPr>
              <w:t>96</w:t>
            </w:r>
          </w:p>
        </w:tc>
        <w:tc>
          <w:tcPr>
            <w:tcW w:w="1927" w:type="dxa"/>
            <w:tcBorders>
              <w:top w:val="nil"/>
              <w:left w:val="nil"/>
              <w:bottom w:val="single" w:sz="4" w:space="0" w:color="auto"/>
              <w:right w:val="nil"/>
            </w:tcBorders>
            <w:shd w:val="clear" w:color="auto" w:fill="auto"/>
            <w:noWrap/>
            <w:vAlign w:val="center"/>
            <w:hideMark/>
          </w:tcPr>
          <w:p w14:paraId="11845B44" w14:textId="77777777" w:rsidR="00EC3648" w:rsidRPr="00730B1E" w:rsidRDefault="00EC3648" w:rsidP="00EC3648">
            <w:pPr>
              <w:spacing w:line="240" w:lineRule="auto"/>
              <w:jc w:val="center"/>
              <w:rPr>
                <w:rFonts w:eastAsia="Times New Roman"/>
                <w:sz w:val="20"/>
                <w:szCs w:val="20"/>
                <w:lang w:eastAsia="cs-CZ"/>
              </w:rPr>
            </w:pPr>
            <w:r w:rsidRPr="00730B1E">
              <w:rPr>
                <w:rFonts w:eastAsia="Times New Roman"/>
                <w:sz w:val="20"/>
                <w:szCs w:val="20"/>
                <w:lang w:eastAsia="cs-CZ"/>
              </w:rPr>
              <w:t xml:space="preserve">-24 %  </w:t>
            </w:r>
          </w:p>
        </w:tc>
      </w:tr>
      <w:tr w:rsidR="00B64E96" w:rsidRPr="00730B1E" w14:paraId="4135E456" w14:textId="77777777" w:rsidTr="00EC3648">
        <w:trPr>
          <w:trHeight w:val="330"/>
        </w:trPr>
        <w:tc>
          <w:tcPr>
            <w:tcW w:w="2780" w:type="dxa"/>
            <w:tcBorders>
              <w:top w:val="nil"/>
              <w:left w:val="nil"/>
              <w:bottom w:val="double" w:sz="6" w:space="0" w:color="auto"/>
              <w:right w:val="nil"/>
            </w:tcBorders>
            <w:shd w:val="clear" w:color="auto" w:fill="auto"/>
            <w:noWrap/>
            <w:vAlign w:val="bottom"/>
            <w:hideMark/>
          </w:tcPr>
          <w:p w14:paraId="37FD5EDD" w14:textId="77777777" w:rsidR="00EC3648" w:rsidRPr="00730B1E" w:rsidRDefault="00EC3648" w:rsidP="00EC3648">
            <w:pPr>
              <w:spacing w:line="240" w:lineRule="auto"/>
              <w:jc w:val="left"/>
              <w:rPr>
                <w:rFonts w:eastAsia="Times New Roman"/>
                <w:szCs w:val="24"/>
                <w:lang w:eastAsia="cs-CZ"/>
              </w:rPr>
            </w:pPr>
            <w:r w:rsidRPr="00730B1E">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0E2D1031" w14:textId="77777777" w:rsidR="00EC3648" w:rsidRPr="00730B1E" w:rsidRDefault="00EC3648" w:rsidP="00EC3648">
            <w:pPr>
              <w:spacing w:line="240" w:lineRule="auto"/>
              <w:jc w:val="center"/>
              <w:rPr>
                <w:rFonts w:eastAsia="Times New Roman"/>
                <w:szCs w:val="24"/>
                <w:lang w:eastAsia="cs-CZ"/>
              </w:rPr>
            </w:pPr>
            <w:r w:rsidRPr="00730B1E">
              <w:rPr>
                <w:rFonts w:eastAsia="Times New Roman"/>
                <w:szCs w:val="24"/>
                <w:lang w:eastAsia="cs-CZ"/>
              </w:rPr>
              <w:t>100</w:t>
            </w:r>
          </w:p>
        </w:tc>
        <w:tc>
          <w:tcPr>
            <w:tcW w:w="1927" w:type="dxa"/>
            <w:tcBorders>
              <w:top w:val="nil"/>
              <w:left w:val="nil"/>
              <w:bottom w:val="double" w:sz="6" w:space="0" w:color="auto"/>
              <w:right w:val="nil"/>
            </w:tcBorders>
            <w:shd w:val="clear" w:color="auto" w:fill="auto"/>
            <w:noWrap/>
            <w:vAlign w:val="center"/>
            <w:hideMark/>
          </w:tcPr>
          <w:p w14:paraId="71D2DB59" w14:textId="77777777" w:rsidR="00EC3648" w:rsidRPr="00730B1E" w:rsidRDefault="00EC3648" w:rsidP="00EC3648">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738DACD7" w14:textId="77777777" w:rsidTr="00EC3648">
        <w:trPr>
          <w:trHeight w:val="345"/>
        </w:trPr>
        <w:tc>
          <w:tcPr>
            <w:tcW w:w="2780" w:type="dxa"/>
            <w:tcBorders>
              <w:top w:val="nil"/>
              <w:left w:val="nil"/>
              <w:bottom w:val="double" w:sz="6" w:space="0" w:color="auto"/>
              <w:right w:val="nil"/>
            </w:tcBorders>
            <w:shd w:val="clear" w:color="auto" w:fill="auto"/>
            <w:noWrap/>
            <w:vAlign w:val="bottom"/>
            <w:hideMark/>
          </w:tcPr>
          <w:p w14:paraId="4B858C96" w14:textId="77777777" w:rsidR="00EC3648" w:rsidRPr="00730B1E" w:rsidRDefault="00EC3648" w:rsidP="00EC3648">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5D6F2C0F" w14:textId="77777777" w:rsidR="00EC3648" w:rsidRPr="00730B1E" w:rsidRDefault="00EC3648" w:rsidP="00EC3648">
            <w:pPr>
              <w:spacing w:line="240" w:lineRule="auto"/>
              <w:jc w:val="center"/>
              <w:rPr>
                <w:rFonts w:eastAsia="Times New Roman"/>
                <w:b/>
                <w:bCs/>
                <w:szCs w:val="24"/>
                <w:lang w:eastAsia="cs-CZ"/>
              </w:rPr>
            </w:pPr>
            <w:r w:rsidRPr="00730B1E">
              <w:rPr>
                <w:rFonts w:eastAsia="Times New Roman"/>
                <w:b/>
                <w:bCs/>
                <w:szCs w:val="24"/>
                <w:lang w:eastAsia="cs-CZ"/>
              </w:rPr>
              <w:t>61</w:t>
            </w:r>
          </w:p>
        </w:tc>
        <w:tc>
          <w:tcPr>
            <w:tcW w:w="1927" w:type="dxa"/>
            <w:tcBorders>
              <w:top w:val="nil"/>
              <w:left w:val="nil"/>
              <w:bottom w:val="double" w:sz="6" w:space="0" w:color="auto"/>
              <w:right w:val="nil"/>
            </w:tcBorders>
            <w:shd w:val="clear" w:color="auto" w:fill="auto"/>
            <w:noWrap/>
            <w:vAlign w:val="center"/>
            <w:hideMark/>
          </w:tcPr>
          <w:p w14:paraId="0CFA25ED" w14:textId="77777777" w:rsidR="00EC3648" w:rsidRPr="00730B1E" w:rsidRDefault="00EC3648" w:rsidP="00EC3648">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-8 %  </w:t>
            </w:r>
          </w:p>
        </w:tc>
      </w:tr>
      <w:tr w:rsidR="00B64E96" w:rsidRPr="00730B1E" w14:paraId="01C471A3" w14:textId="77777777" w:rsidTr="00EC3648">
        <w:trPr>
          <w:trHeight w:val="330"/>
        </w:trPr>
        <w:tc>
          <w:tcPr>
            <w:tcW w:w="2780" w:type="dxa"/>
            <w:tcBorders>
              <w:top w:val="nil"/>
              <w:left w:val="nil"/>
              <w:bottom w:val="nil"/>
              <w:right w:val="nil"/>
            </w:tcBorders>
            <w:shd w:val="clear" w:color="auto" w:fill="auto"/>
            <w:noWrap/>
            <w:vAlign w:val="bottom"/>
            <w:hideMark/>
          </w:tcPr>
          <w:p w14:paraId="1D2CB9B4" w14:textId="77777777" w:rsidR="00EC3648" w:rsidRPr="00730B1E" w:rsidRDefault="00EC3648" w:rsidP="00EC3648">
            <w:pPr>
              <w:spacing w:line="240" w:lineRule="auto"/>
              <w:jc w:val="center"/>
              <w:rPr>
                <w:rFonts w:eastAsia="Times New Roman"/>
                <w:b/>
                <w:bCs/>
                <w:sz w:val="20"/>
                <w:szCs w:val="20"/>
                <w:lang w:eastAsia="cs-CZ"/>
              </w:rPr>
            </w:pPr>
          </w:p>
        </w:tc>
        <w:tc>
          <w:tcPr>
            <w:tcW w:w="1253" w:type="dxa"/>
            <w:tcBorders>
              <w:top w:val="nil"/>
              <w:left w:val="nil"/>
              <w:bottom w:val="nil"/>
              <w:right w:val="nil"/>
            </w:tcBorders>
            <w:shd w:val="clear" w:color="auto" w:fill="auto"/>
            <w:noWrap/>
            <w:vAlign w:val="bottom"/>
            <w:hideMark/>
          </w:tcPr>
          <w:p w14:paraId="57DD0322" w14:textId="77777777" w:rsidR="00EC3648" w:rsidRPr="00DF07F3" w:rsidRDefault="00EC3648" w:rsidP="00EC3648">
            <w:pPr>
              <w:spacing w:line="240" w:lineRule="auto"/>
              <w:jc w:val="left"/>
              <w:rPr>
                <w:sz w:val="20"/>
              </w:rPr>
            </w:pPr>
          </w:p>
        </w:tc>
        <w:tc>
          <w:tcPr>
            <w:tcW w:w="1927" w:type="dxa"/>
            <w:tcBorders>
              <w:top w:val="nil"/>
              <w:left w:val="nil"/>
              <w:bottom w:val="nil"/>
              <w:right w:val="nil"/>
            </w:tcBorders>
            <w:shd w:val="clear" w:color="auto" w:fill="auto"/>
            <w:noWrap/>
            <w:vAlign w:val="bottom"/>
            <w:hideMark/>
          </w:tcPr>
          <w:p w14:paraId="54CE19E6" w14:textId="77777777" w:rsidR="00EC3648" w:rsidRPr="00DF07F3" w:rsidRDefault="00EC3648" w:rsidP="00EC3648">
            <w:pPr>
              <w:spacing w:line="240" w:lineRule="auto"/>
              <w:jc w:val="left"/>
              <w:rPr>
                <w:sz w:val="20"/>
              </w:rPr>
            </w:pPr>
          </w:p>
        </w:tc>
      </w:tr>
    </w:tbl>
    <w:p w14:paraId="259E2453" w14:textId="14F8F0A4" w:rsidR="00EC3648" w:rsidRPr="00730B1E" w:rsidRDefault="00EC3648" w:rsidP="00EC3648">
      <w:pPr>
        <w:pStyle w:val="OdstavecASR"/>
      </w:pPr>
      <w:r w:rsidRPr="00730B1E">
        <w:t xml:space="preserve">Závěrem lze konstatovat, že délky řízení i DT u odvolací civilní agendy u krajských soudů jsou v průměru nízké a agenda je z tohoto hlediska poměrně bezproblémová. Určité problémy má dlouhodobě především KS Brno (v roce 2023 ale došlo k nemalému </w:t>
      </w:r>
      <w:r w:rsidR="00946F7D" w:rsidRPr="00730B1E">
        <w:t>zlepšení</w:t>
      </w:r>
      <w:r w:rsidRPr="00730B1E">
        <w:t xml:space="preserve">), </w:t>
      </w:r>
      <w:r w:rsidR="000C76E6" w:rsidRPr="00730B1E">
        <w:t xml:space="preserve">v menší míře </w:t>
      </w:r>
      <w:r w:rsidRPr="00730B1E">
        <w:t>KS Ústí nad Labem</w:t>
      </w:r>
      <w:r w:rsidR="000C76E6" w:rsidRPr="00730B1E">
        <w:t xml:space="preserve"> a v některých letech včetně roku 2023 </w:t>
      </w:r>
      <w:r w:rsidRPr="00730B1E">
        <w:t>KS Ostrava</w:t>
      </w:r>
      <w:r w:rsidR="00F3775C" w:rsidRPr="00730B1E">
        <w:t xml:space="preserve"> (zde se DT rychle mění)</w:t>
      </w:r>
      <w:r w:rsidRPr="00730B1E">
        <w:t>. Situace se nicméně z dlouhodobého hlediska zlepšuje a tuto agendu nelze označit jako problematickou.</w:t>
      </w:r>
    </w:p>
    <w:p w14:paraId="466D31C8" w14:textId="1B6C97FC" w:rsidR="00ED5CE9" w:rsidRPr="00730B1E" w:rsidRDefault="00144C49" w:rsidP="00144C49">
      <w:pPr>
        <w:spacing w:after="160" w:line="259" w:lineRule="auto"/>
        <w:jc w:val="left"/>
        <w:rPr>
          <w:rFonts w:eastAsia="Times New Roman"/>
          <w:b/>
          <w:bCs/>
        </w:rPr>
      </w:pPr>
      <w:r w:rsidRPr="00730B1E">
        <w:br w:type="page"/>
      </w:r>
    </w:p>
    <w:p w14:paraId="7DA6ED9E" w14:textId="0081D09D" w:rsidR="008430BD" w:rsidRPr="00730B1E" w:rsidRDefault="008430BD" w:rsidP="008430BD">
      <w:pPr>
        <w:pStyle w:val="Nadpis2"/>
        <w:numPr>
          <w:ilvl w:val="1"/>
          <w:numId w:val="1"/>
        </w:numPr>
        <w:spacing w:before="120"/>
        <w:rPr>
          <w:color w:val="auto"/>
        </w:rPr>
      </w:pPr>
      <w:bookmarkStart w:id="917" w:name="_Toc41058973"/>
      <w:bookmarkStart w:id="918" w:name="_Toc515871257"/>
      <w:bookmarkStart w:id="919" w:name="_Toc106092763"/>
      <w:bookmarkStart w:id="920" w:name="_Toc169250839"/>
      <w:bookmarkStart w:id="921" w:name="_Toc174080875"/>
      <w:bookmarkEnd w:id="917"/>
      <w:r w:rsidRPr="00730B1E">
        <w:rPr>
          <w:color w:val="auto"/>
        </w:rPr>
        <w:lastRenderedPageBreak/>
        <w:t>Trestní prvostupňová agenda</w:t>
      </w:r>
      <w:bookmarkEnd w:id="918"/>
      <w:bookmarkEnd w:id="919"/>
      <w:bookmarkEnd w:id="920"/>
      <w:bookmarkEnd w:id="921"/>
    </w:p>
    <w:p w14:paraId="61933DA3" w14:textId="77777777" w:rsidR="00EC3648" w:rsidRPr="00730B1E" w:rsidRDefault="00EC3648" w:rsidP="00EC3648">
      <w:pPr>
        <w:pStyle w:val="OdstavecASR"/>
      </w:pPr>
      <w:r w:rsidRPr="00730B1E">
        <w:t>Situace v prvostupňové trestní agendě je z hlediska statistického sledování jednoduchá. Zkoumáme hlavní trestní agendu – rejstříky T a Tm. K žádným významným změnám ve vedení statistik v trestní agendě nedošlo a nemusíme se tedy obávat zkreslení v časových řadách. Na rozdíl od OS také není nutné očišťovat data o věci vyřízené trestním příkazem. KS totiž vyřizují výrazně složitější agendu a věci trestním příkazem proto téměř nerozhodují. Podle trestního řádu koná krajský soud v prvním stupni řízení o trestných činech, pokud za ně zákon stanoví trest odnětí svobody, jehož dolní hranice činí nejméně pět let, nebo pokud za ně lze uložit výjimečný trest, a dále o explicitně vyjmenovaných trestných činech.</w:t>
      </w:r>
    </w:p>
    <w:p w14:paraId="0D7E0DAB" w14:textId="2578F77E" w:rsidR="00162461" w:rsidRPr="00730B1E" w:rsidRDefault="00162461" w:rsidP="00162461">
      <w:pPr>
        <w:pStyle w:val="Nadpis3"/>
        <w:numPr>
          <w:ilvl w:val="2"/>
          <w:numId w:val="1"/>
        </w:numPr>
        <w:rPr>
          <w:color w:val="auto"/>
        </w:rPr>
      </w:pPr>
      <w:bookmarkStart w:id="922" w:name="_Toc75952098"/>
      <w:bookmarkStart w:id="923" w:name="_Toc106092764"/>
      <w:bookmarkStart w:id="924" w:name="_Toc169250840"/>
      <w:bookmarkStart w:id="925" w:name="_Toc174080876"/>
      <w:r w:rsidRPr="00730B1E">
        <w:rPr>
          <w:color w:val="auto"/>
        </w:rPr>
        <w:t>Délka řízení</w:t>
      </w:r>
      <w:bookmarkEnd w:id="922"/>
      <w:bookmarkEnd w:id="923"/>
      <w:bookmarkEnd w:id="924"/>
      <w:bookmarkEnd w:id="925"/>
    </w:p>
    <w:p w14:paraId="529D8217" w14:textId="60959A97" w:rsidR="00144C49" w:rsidRPr="00730B1E" w:rsidRDefault="00144C49" w:rsidP="00144C49">
      <w:pPr>
        <w:pStyle w:val="Podnadpis"/>
        <w:numPr>
          <w:ilvl w:val="0"/>
          <w:numId w:val="0"/>
        </w:numPr>
        <w:rPr>
          <w:color w:val="auto"/>
        </w:rPr>
      </w:pPr>
      <w:bookmarkStart w:id="926" w:name="_Toc144104174"/>
      <w:bookmarkStart w:id="927" w:name="_Toc169250986"/>
      <w:bookmarkStart w:id="928" w:name="_Toc174080672"/>
      <w:bookmarkStart w:id="929" w:name="_Hlk132101569"/>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67</w:t>
      </w:r>
      <w:r w:rsidRPr="00730B1E">
        <w:rPr>
          <w:color w:val="auto"/>
        </w:rPr>
        <w:fldChar w:fldCharType="end"/>
      </w:r>
      <w:r w:rsidRPr="00730B1E">
        <w:rPr>
          <w:color w:val="auto"/>
        </w:rPr>
        <w:t>: KS – délka prvostupňového trestního řízení v letech 2014–202</w:t>
      </w:r>
      <w:bookmarkEnd w:id="926"/>
      <w:r w:rsidRPr="00730B1E">
        <w:rPr>
          <w:color w:val="auto"/>
        </w:rPr>
        <w:t>3</w:t>
      </w:r>
      <w:bookmarkEnd w:id="927"/>
      <w:bookmarkEnd w:id="928"/>
    </w:p>
    <w:p w14:paraId="64FF3D23" w14:textId="4887960F" w:rsidR="00144C49" w:rsidRPr="00730B1E" w:rsidRDefault="00144C49" w:rsidP="00144C49">
      <w:r w:rsidRPr="00730B1E">
        <w:rPr>
          <w:noProof/>
          <w:lang w:eastAsia="cs-CZ"/>
        </w:rPr>
        <w:drawing>
          <wp:inline distT="0" distB="0" distL="0" distR="0" wp14:anchorId="3BE5F85E" wp14:editId="37AB7A82">
            <wp:extent cx="5029200" cy="365760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bookmarkEnd w:id="929"/>
    <w:p w14:paraId="53CB1A52" w14:textId="77777777" w:rsidR="00144C49" w:rsidRPr="00730B1E" w:rsidRDefault="00144C49" w:rsidP="00144C49"/>
    <w:p w14:paraId="7F189A15" w14:textId="481375C2" w:rsidR="00EC3648" w:rsidRPr="00730B1E" w:rsidRDefault="00EC3648" w:rsidP="00EC3648">
      <w:pPr>
        <w:pStyle w:val="OdstavecASR"/>
      </w:pPr>
      <w:r w:rsidRPr="00730B1E">
        <w:t>V letech 2017 až 2019 poměrně výrazně vzrostl průměr a velmi dramaticky také devadesátý percentil, který po několika letech přestal klesat. V roce 2019 narostl rovněž medián. V roce 2020 mírně narostl medián, ale průměr a percentil 90 výrazně klesly. V roce 2021 klesl medián, ale průměr a percentil 90 narostly, v zásadě na úroveň roku 2019. V roce 2022 zůstal medián téměř stejný a klesl průměr a percentil 90. V roce 2023 vidíme pokles v mediánu, průměru i percentilu 90. Medián je</w:t>
      </w:r>
      <w:r w:rsidR="00A949F1" w:rsidRPr="00730B1E">
        <w:t xml:space="preserve"> po prudkém poklesu</w:t>
      </w:r>
      <w:r w:rsidRPr="00730B1E">
        <w:t xml:space="preserve"> dokonce nejmenší za sledované období.</w:t>
      </w:r>
    </w:p>
    <w:p w14:paraId="6DDC0D6A" w14:textId="3900C1E8" w:rsidR="00EC3648" w:rsidRPr="00730B1E" w:rsidRDefault="00EC3648" w:rsidP="00EC3648">
      <w:r w:rsidRPr="00730B1E">
        <w:t xml:space="preserve">Délky řízení jsou u krajských soudů výrazně vyšší než u soudů okresních. Vzhledem ke složitosti vyřizované agendy je to zcela logický výsledek. </w:t>
      </w:r>
    </w:p>
    <w:p w14:paraId="2DFB8A07" w14:textId="77777777" w:rsidR="00EC3648" w:rsidRPr="00730B1E" w:rsidRDefault="00EC3648" w:rsidP="00EC3648">
      <w:pPr>
        <w:pStyle w:val="OdstavecASR"/>
      </w:pPr>
      <w:r w:rsidRPr="00730B1E">
        <w:t xml:space="preserve">Prudké změny délek řízení u jednotlivých soudů (a vlastně i rozdíly mezi soudy) jsou dány velmi malým počtem pozorování. Vliv má také to, že všechny kauzy jsou náročné na vyřízení (ve srovnání s OS), ale v náročnosti jednotlivých případů existují významné rozdíly. Změny se vzájemně obvykle </w:t>
      </w:r>
      <w:r w:rsidRPr="00730B1E">
        <w:lastRenderedPageBreak/>
        <w:t>vykompenzují, takže změny v celorepublikové délce řízení nejsou tak významné. I na úrovni ČR nicméně vidíme, že se délky řízení mění rychleji než u jiných agend.</w:t>
      </w:r>
    </w:p>
    <w:p w14:paraId="2AC82F8D" w14:textId="3D8F0863" w:rsidR="00EC3648" w:rsidRPr="00730B1E" w:rsidRDefault="00EC3648" w:rsidP="00EC3648">
      <w:pPr>
        <w:pStyle w:val="Podnadpis"/>
        <w:rPr>
          <w:color w:val="auto"/>
        </w:rPr>
      </w:pPr>
      <w:bookmarkStart w:id="930" w:name="_Toc515871478"/>
      <w:bookmarkStart w:id="931" w:name="_Toc11133246"/>
      <w:bookmarkStart w:id="932" w:name="_Toc43931225"/>
      <w:bookmarkStart w:id="933" w:name="_Toc75952358"/>
      <w:bookmarkStart w:id="934" w:name="_Toc106106814"/>
      <w:bookmarkStart w:id="935" w:name="_Toc109802137"/>
      <w:bookmarkStart w:id="936" w:name="_Toc144104295"/>
      <w:bookmarkStart w:id="937" w:name="_Toc169251109"/>
      <w:bookmarkStart w:id="938" w:name="_Toc174080795"/>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52</w:t>
      </w:r>
      <w:r w:rsidRPr="00730B1E">
        <w:rPr>
          <w:noProof/>
          <w:color w:val="auto"/>
        </w:rPr>
        <w:fldChar w:fldCharType="end"/>
      </w:r>
      <w:r w:rsidRPr="00730B1E">
        <w:rPr>
          <w:color w:val="auto"/>
        </w:rPr>
        <w:t>: KS – délky prvostupňového trestního řízení dle soudů</w:t>
      </w:r>
      <w:bookmarkEnd w:id="930"/>
      <w:bookmarkEnd w:id="931"/>
      <w:bookmarkEnd w:id="932"/>
      <w:bookmarkEnd w:id="933"/>
      <w:bookmarkEnd w:id="934"/>
      <w:bookmarkEnd w:id="935"/>
      <w:bookmarkEnd w:id="936"/>
      <w:r w:rsidR="00554BBA" w:rsidRPr="00730B1E">
        <w:rPr>
          <w:color w:val="auto"/>
        </w:rPr>
        <w:t>, 2023</w:t>
      </w:r>
      <w:bookmarkEnd w:id="937"/>
      <w:bookmarkEnd w:id="938"/>
    </w:p>
    <w:tbl>
      <w:tblPr>
        <w:tblW w:w="7520" w:type="dxa"/>
        <w:tblCellMar>
          <w:left w:w="70" w:type="dxa"/>
          <w:right w:w="70" w:type="dxa"/>
        </w:tblCellMar>
        <w:tblLook w:val="04A0" w:firstRow="1" w:lastRow="0" w:firstColumn="1" w:lastColumn="0" w:noHBand="0" w:noVBand="1"/>
      </w:tblPr>
      <w:tblGrid>
        <w:gridCol w:w="2480"/>
        <w:gridCol w:w="617"/>
        <w:gridCol w:w="948"/>
        <w:gridCol w:w="617"/>
        <w:gridCol w:w="948"/>
        <w:gridCol w:w="804"/>
        <w:gridCol w:w="1106"/>
      </w:tblGrid>
      <w:tr w:rsidR="00B64E96" w:rsidRPr="00730B1E" w14:paraId="66CFE449" w14:textId="77777777" w:rsidTr="007305D6">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28A040E" w14:textId="110454C8" w:rsidR="007305D6" w:rsidRPr="00730B1E" w:rsidRDefault="005536A1" w:rsidP="007305D6">
            <w:pPr>
              <w:spacing w:line="240" w:lineRule="auto"/>
              <w:jc w:val="center"/>
              <w:rPr>
                <w:rFonts w:eastAsia="Times New Roman"/>
                <w:b/>
                <w:bCs/>
                <w:szCs w:val="24"/>
                <w:lang w:eastAsia="cs-CZ"/>
              </w:rPr>
            </w:pPr>
            <w:r w:rsidRPr="00730B1E">
              <w:rPr>
                <w:rFonts w:eastAsia="Times New Roman"/>
                <w:b/>
                <w:bCs/>
                <w:szCs w:val="24"/>
                <w:lang w:eastAsia="cs-CZ"/>
              </w:rPr>
              <w:t>S</w:t>
            </w:r>
            <w:r w:rsidR="007305D6" w:rsidRPr="00730B1E">
              <w:rPr>
                <w:rFonts w:eastAsia="Times New Roman"/>
                <w:b/>
                <w:bCs/>
                <w:szCs w:val="24"/>
                <w:lang w:eastAsia="cs-CZ"/>
              </w:rPr>
              <w:t>oud</w:t>
            </w:r>
          </w:p>
        </w:tc>
        <w:tc>
          <w:tcPr>
            <w:tcW w:w="5040" w:type="dxa"/>
            <w:gridSpan w:val="6"/>
            <w:tcBorders>
              <w:top w:val="double" w:sz="6" w:space="0" w:color="auto"/>
              <w:left w:val="nil"/>
              <w:bottom w:val="nil"/>
              <w:right w:val="nil"/>
            </w:tcBorders>
            <w:shd w:val="clear" w:color="auto" w:fill="auto"/>
            <w:noWrap/>
            <w:vAlign w:val="center"/>
            <w:hideMark/>
          </w:tcPr>
          <w:p w14:paraId="63CA66A0" w14:textId="77777777" w:rsidR="007305D6" w:rsidRPr="00730B1E" w:rsidRDefault="007305D6" w:rsidP="007305D6">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4705A4EC" w14:textId="77777777" w:rsidTr="007305D6">
        <w:trPr>
          <w:trHeight w:val="330"/>
        </w:trPr>
        <w:tc>
          <w:tcPr>
            <w:tcW w:w="2480" w:type="dxa"/>
            <w:vMerge/>
            <w:tcBorders>
              <w:top w:val="double" w:sz="6" w:space="0" w:color="auto"/>
              <w:left w:val="nil"/>
              <w:bottom w:val="double" w:sz="6" w:space="0" w:color="000000"/>
              <w:right w:val="nil"/>
            </w:tcBorders>
            <w:vAlign w:val="center"/>
            <w:hideMark/>
          </w:tcPr>
          <w:p w14:paraId="5075AE64" w14:textId="77777777" w:rsidR="007305D6" w:rsidRPr="00730B1E" w:rsidRDefault="007305D6" w:rsidP="007305D6">
            <w:pPr>
              <w:spacing w:line="240" w:lineRule="auto"/>
              <w:jc w:val="left"/>
              <w:rPr>
                <w:rFonts w:eastAsia="Times New Roman"/>
                <w:b/>
                <w:bCs/>
                <w:szCs w:val="24"/>
                <w:lang w:eastAsia="cs-CZ"/>
              </w:rPr>
            </w:pPr>
          </w:p>
        </w:tc>
        <w:tc>
          <w:tcPr>
            <w:tcW w:w="1565" w:type="dxa"/>
            <w:gridSpan w:val="2"/>
            <w:tcBorders>
              <w:top w:val="nil"/>
              <w:left w:val="nil"/>
              <w:bottom w:val="double" w:sz="6" w:space="0" w:color="auto"/>
              <w:right w:val="nil"/>
            </w:tcBorders>
            <w:shd w:val="clear" w:color="auto" w:fill="auto"/>
            <w:noWrap/>
            <w:vAlign w:val="center"/>
            <w:hideMark/>
          </w:tcPr>
          <w:p w14:paraId="4DB0256B" w14:textId="77777777" w:rsidR="007305D6" w:rsidRPr="00730B1E" w:rsidRDefault="007305D6" w:rsidP="007305D6">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56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99853B5" w14:textId="77777777" w:rsidR="007305D6" w:rsidRPr="00730B1E" w:rsidRDefault="007305D6" w:rsidP="007305D6">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1910" w:type="dxa"/>
            <w:gridSpan w:val="2"/>
            <w:tcBorders>
              <w:top w:val="nil"/>
              <w:left w:val="nil"/>
              <w:bottom w:val="double" w:sz="6" w:space="0" w:color="auto"/>
              <w:right w:val="nil"/>
            </w:tcBorders>
            <w:shd w:val="clear" w:color="auto" w:fill="auto"/>
            <w:noWrap/>
            <w:vAlign w:val="center"/>
            <w:hideMark/>
          </w:tcPr>
          <w:p w14:paraId="63D03ECA" w14:textId="77777777" w:rsidR="007305D6" w:rsidRPr="00730B1E" w:rsidRDefault="007305D6" w:rsidP="007305D6">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55A97E48" w14:textId="77777777" w:rsidTr="007305D6">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3E94CDE6" w14:textId="77777777" w:rsidR="007305D6" w:rsidRPr="00730B1E" w:rsidRDefault="007305D6" w:rsidP="007305D6">
            <w:pPr>
              <w:spacing w:line="240" w:lineRule="auto"/>
              <w:jc w:val="left"/>
              <w:rPr>
                <w:rFonts w:eastAsia="Times New Roman"/>
                <w:szCs w:val="24"/>
                <w:lang w:eastAsia="cs-CZ"/>
              </w:rPr>
            </w:pPr>
            <w:r w:rsidRPr="00730B1E">
              <w:rPr>
                <w:rFonts w:eastAsia="Times New Roman"/>
                <w:szCs w:val="24"/>
                <w:lang w:eastAsia="cs-CZ"/>
              </w:rPr>
              <w:t>MS Praha</w:t>
            </w:r>
          </w:p>
        </w:tc>
        <w:tc>
          <w:tcPr>
            <w:tcW w:w="617" w:type="dxa"/>
            <w:tcBorders>
              <w:top w:val="single" w:sz="4" w:space="0" w:color="auto"/>
              <w:left w:val="nil"/>
              <w:bottom w:val="single" w:sz="4" w:space="0" w:color="auto"/>
              <w:right w:val="nil"/>
            </w:tcBorders>
            <w:shd w:val="clear" w:color="auto" w:fill="auto"/>
            <w:noWrap/>
            <w:vAlign w:val="bottom"/>
            <w:hideMark/>
          </w:tcPr>
          <w:p w14:paraId="6DABB410"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524</w:t>
            </w:r>
          </w:p>
        </w:tc>
        <w:tc>
          <w:tcPr>
            <w:tcW w:w="948" w:type="dxa"/>
            <w:tcBorders>
              <w:top w:val="single" w:sz="4" w:space="0" w:color="auto"/>
              <w:left w:val="nil"/>
              <w:bottom w:val="single" w:sz="4" w:space="0" w:color="auto"/>
              <w:right w:val="nil"/>
            </w:tcBorders>
            <w:shd w:val="clear" w:color="auto" w:fill="auto"/>
            <w:noWrap/>
            <w:vAlign w:val="center"/>
            <w:hideMark/>
          </w:tcPr>
          <w:p w14:paraId="6F27BCE6" w14:textId="18CA89ED"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-7 %</w:t>
            </w:r>
          </w:p>
        </w:tc>
        <w:tc>
          <w:tcPr>
            <w:tcW w:w="617" w:type="dxa"/>
            <w:tcBorders>
              <w:top w:val="nil"/>
              <w:left w:val="single" w:sz="4" w:space="0" w:color="auto"/>
              <w:bottom w:val="single" w:sz="4" w:space="0" w:color="auto"/>
              <w:right w:val="nil"/>
            </w:tcBorders>
            <w:shd w:val="clear" w:color="auto" w:fill="auto"/>
            <w:noWrap/>
            <w:vAlign w:val="bottom"/>
            <w:hideMark/>
          </w:tcPr>
          <w:p w14:paraId="6286C3C1"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241</w:t>
            </w:r>
          </w:p>
        </w:tc>
        <w:tc>
          <w:tcPr>
            <w:tcW w:w="948" w:type="dxa"/>
            <w:tcBorders>
              <w:top w:val="nil"/>
              <w:left w:val="nil"/>
              <w:bottom w:val="single" w:sz="4" w:space="0" w:color="auto"/>
              <w:right w:val="single" w:sz="4" w:space="0" w:color="auto"/>
            </w:tcBorders>
            <w:shd w:val="clear" w:color="auto" w:fill="auto"/>
            <w:noWrap/>
            <w:vAlign w:val="center"/>
            <w:hideMark/>
          </w:tcPr>
          <w:p w14:paraId="6710BB39" w14:textId="2D19FD79"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-22 %</w:t>
            </w:r>
          </w:p>
        </w:tc>
        <w:tc>
          <w:tcPr>
            <w:tcW w:w="804" w:type="dxa"/>
            <w:tcBorders>
              <w:top w:val="single" w:sz="4" w:space="0" w:color="auto"/>
              <w:left w:val="nil"/>
              <w:bottom w:val="single" w:sz="4" w:space="0" w:color="auto"/>
              <w:right w:val="nil"/>
            </w:tcBorders>
            <w:shd w:val="clear" w:color="auto" w:fill="auto"/>
            <w:noWrap/>
            <w:vAlign w:val="bottom"/>
            <w:hideMark/>
          </w:tcPr>
          <w:p w14:paraId="07EB5A12" w14:textId="01A1F8FF"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w:t>
            </w:r>
            <w:r w:rsidR="00C1706B" w:rsidRPr="00730B1E">
              <w:rPr>
                <w:rFonts w:eastAsia="Times New Roman"/>
                <w:szCs w:val="24"/>
                <w:lang w:eastAsia="cs-CZ"/>
              </w:rPr>
              <w:t xml:space="preserve"> </w:t>
            </w:r>
            <w:r w:rsidRPr="00730B1E">
              <w:rPr>
                <w:rFonts w:eastAsia="Times New Roman"/>
                <w:szCs w:val="24"/>
                <w:lang w:eastAsia="cs-CZ"/>
              </w:rPr>
              <w:t>247</w:t>
            </w:r>
          </w:p>
        </w:tc>
        <w:tc>
          <w:tcPr>
            <w:tcW w:w="1106" w:type="dxa"/>
            <w:tcBorders>
              <w:top w:val="single" w:sz="4" w:space="0" w:color="auto"/>
              <w:left w:val="nil"/>
              <w:bottom w:val="single" w:sz="4" w:space="0" w:color="auto"/>
              <w:right w:val="nil"/>
            </w:tcBorders>
            <w:shd w:val="clear" w:color="auto" w:fill="auto"/>
            <w:noWrap/>
            <w:vAlign w:val="center"/>
            <w:hideMark/>
          </w:tcPr>
          <w:p w14:paraId="6AEB0847" w14:textId="591DE385"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-11 %</w:t>
            </w:r>
          </w:p>
        </w:tc>
      </w:tr>
      <w:tr w:rsidR="00B64E96" w:rsidRPr="00730B1E" w14:paraId="6C501CAE" w14:textId="77777777" w:rsidTr="007305D6">
        <w:trPr>
          <w:trHeight w:val="315"/>
        </w:trPr>
        <w:tc>
          <w:tcPr>
            <w:tcW w:w="2480" w:type="dxa"/>
            <w:tcBorders>
              <w:top w:val="nil"/>
              <w:left w:val="nil"/>
              <w:bottom w:val="single" w:sz="4" w:space="0" w:color="auto"/>
              <w:right w:val="nil"/>
            </w:tcBorders>
            <w:shd w:val="clear" w:color="auto" w:fill="auto"/>
            <w:noWrap/>
            <w:vAlign w:val="bottom"/>
            <w:hideMark/>
          </w:tcPr>
          <w:p w14:paraId="625E7EF9" w14:textId="77777777" w:rsidR="007305D6" w:rsidRPr="00730B1E" w:rsidRDefault="007305D6" w:rsidP="007305D6">
            <w:pPr>
              <w:spacing w:line="240" w:lineRule="auto"/>
              <w:jc w:val="left"/>
              <w:rPr>
                <w:rFonts w:eastAsia="Times New Roman"/>
                <w:szCs w:val="24"/>
                <w:lang w:eastAsia="cs-CZ"/>
              </w:rPr>
            </w:pPr>
            <w:r w:rsidRPr="00730B1E">
              <w:rPr>
                <w:rFonts w:eastAsia="Times New Roman"/>
                <w:szCs w:val="24"/>
                <w:lang w:eastAsia="cs-CZ"/>
              </w:rPr>
              <w:t>KS Praha</w:t>
            </w:r>
          </w:p>
        </w:tc>
        <w:tc>
          <w:tcPr>
            <w:tcW w:w="617" w:type="dxa"/>
            <w:tcBorders>
              <w:top w:val="nil"/>
              <w:left w:val="nil"/>
              <w:bottom w:val="single" w:sz="4" w:space="0" w:color="auto"/>
              <w:right w:val="nil"/>
            </w:tcBorders>
            <w:shd w:val="clear" w:color="auto" w:fill="auto"/>
            <w:noWrap/>
            <w:vAlign w:val="bottom"/>
            <w:hideMark/>
          </w:tcPr>
          <w:p w14:paraId="5E3A0919"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255</w:t>
            </w:r>
          </w:p>
        </w:tc>
        <w:tc>
          <w:tcPr>
            <w:tcW w:w="948" w:type="dxa"/>
            <w:tcBorders>
              <w:top w:val="nil"/>
              <w:left w:val="nil"/>
              <w:bottom w:val="single" w:sz="4" w:space="0" w:color="auto"/>
              <w:right w:val="nil"/>
            </w:tcBorders>
            <w:shd w:val="clear" w:color="auto" w:fill="auto"/>
            <w:noWrap/>
            <w:vAlign w:val="center"/>
            <w:hideMark/>
          </w:tcPr>
          <w:p w14:paraId="737BDA79" w14:textId="6AAE59FA"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-57 %</w:t>
            </w:r>
          </w:p>
        </w:tc>
        <w:tc>
          <w:tcPr>
            <w:tcW w:w="617" w:type="dxa"/>
            <w:tcBorders>
              <w:top w:val="nil"/>
              <w:left w:val="single" w:sz="4" w:space="0" w:color="auto"/>
              <w:bottom w:val="single" w:sz="4" w:space="0" w:color="auto"/>
              <w:right w:val="nil"/>
            </w:tcBorders>
            <w:shd w:val="clear" w:color="auto" w:fill="auto"/>
            <w:noWrap/>
            <w:vAlign w:val="bottom"/>
            <w:hideMark/>
          </w:tcPr>
          <w:p w14:paraId="71793E5A"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71</w:t>
            </w:r>
          </w:p>
        </w:tc>
        <w:tc>
          <w:tcPr>
            <w:tcW w:w="948" w:type="dxa"/>
            <w:tcBorders>
              <w:top w:val="nil"/>
              <w:left w:val="nil"/>
              <w:bottom w:val="single" w:sz="4" w:space="0" w:color="auto"/>
              <w:right w:val="single" w:sz="4" w:space="0" w:color="auto"/>
            </w:tcBorders>
            <w:shd w:val="clear" w:color="auto" w:fill="auto"/>
            <w:noWrap/>
            <w:vAlign w:val="center"/>
            <w:hideMark/>
          </w:tcPr>
          <w:p w14:paraId="535A0033" w14:textId="3DBEC4E8"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-67 %</w:t>
            </w:r>
          </w:p>
        </w:tc>
        <w:tc>
          <w:tcPr>
            <w:tcW w:w="804" w:type="dxa"/>
            <w:tcBorders>
              <w:top w:val="nil"/>
              <w:left w:val="nil"/>
              <w:bottom w:val="single" w:sz="4" w:space="0" w:color="auto"/>
              <w:right w:val="nil"/>
            </w:tcBorders>
            <w:shd w:val="clear" w:color="auto" w:fill="auto"/>
            <w:noWrap/>
            <w:vAlign w:val="bottom"/>
            <w:hideMark/>
          </w:tcPr>
          <w:p w14:paraId="3EC687F5"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694</w:t>
            </w:r>
          </w:p>
        </w:tc>
        <w:tc>
          <w:tcPr>
            <w:tcW w:w="1106" w:type="dxa"/>
            <w:tcBorders>
              <w:top w:val="nil"/>
              <w:left w:val="nil"/>
              <w:bottom w:val="single" w:sz="4" w:space="0" w:color="auto"/>
              <w:right w:val="nil"/>
            </w:tcBorders>
            <w:shd w:val="clear" w:color="auto" w:fill="auto"/>
            <w:noWrap/>
            <w:vAlign w:val="center"/>
            <w:hideMark/>
          </w:tcPr>
          <w:p w14:paraId="615A9D44" w14:textId="5A94C023"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-46 %</w:t>
            </w:r>
          </w:p>
        </w:tc>
      </w:tr>
      <w:tr w:rsidR="00B64E96" w:rsidRPr="00730B1E" w14:paraId="597CDA2D" w14:textId="77777777" w:rsidTr="007305D6">
        <w:trPr>
          <w:trHeight w:val="315"/>
        </w:trPr>
        <w:tc>
          <w:tcPr>
            <w:tcW w:w="2480" w:type="dxa"/>
            <w:tcBorders>
              <w:top w:val="nil"/>
              <w:left w:val="nil"/>
              <w:bottom w:val="single" w:sz="4" w:space="0" w:color="auto"/>
              <w:right w:val="nil"/>
            </w:tcBorders>
            <w:shd w:val="clear" w:color="auto" w:fill="auto"/>
            <w:noWrap/>
            <w:vAlign w:val="bottom"/>
            <w:hideMark/>
          </w:tcPr>
          <w:p w14:paraId="58693D64" w14:textId="77777777" w:rsidR="007305D6" w:rsidRPr="00730B1E" w:rsidRDefault="007305D6" w:rsidP="007305D6">
            <w:pPr>
              <w:spacing w:line="240" w:lineRule="auto"/>
              <w:jc w:val="left"/>
              <w:rPr>
                <w:rFonts w:eastAsia="Times New Roman"/>
                <w:szCs w:val="24"/>
                <w:lang w:eastAsia="cs-CZ"/>
              </w:rPr>
            </w:pPr>
            <w:r w:rsidRPr="00730B1E">
              <w:rPr>
                <w:rFonts w:eastAsia="Times New Roman"/>
                <w:szCs w:val="24"/>
                <w:lang w:eastAsia="cs-CZ"/>
              </w:rPr>
              <w:t>KS Č. Budějovice</w:t>
            </w:r>
          </w:p>
        </w:tc>
        <w:tc>
          <w:tcPr>
            <w:tcW w:w="617" w:type="dxa"/>
            <w:tcBorders>
              <w:top w:val="nil"/>
              <w:left w:val="nil"/>
              <w:bottom w:val="single" w:sz="4" w:space="0" w:color="auto"/>
              <w:right w:val="nil"/>
            </w:tcBorders>
            <w:shd w:val="clear" w:color="auto" w:fill="auto"/>
            <w:noWrap/>
            <w:vAlign w:val="bottom"/>
            <w:hideMark/>
          </w:tcPr>
          <w:p w14:paraId="5864FAAC"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648</w:t>
            </w:r>
          </w:p>
        </w:tc>
        <w:tc>
          <w:tcPr>
            <w:tcW w:w="948" w:type="dxa"/>
            <w:tcBorders>
              <w:top w:val="nil"/>
              <w:left w:val="nil"/>
              <w:bottom w:val="single" w:sz="4" w:space="0" w:color="auto"/>
              <w:right w:val="nil"/>
            </w:tcBorders>
            <w:shd w:val="clear" w:color="auto" w:fill="auto"/>
            <w:noWrap/>
            <w:vAlign w:val="center"/>
            <w:hideMark/>
          </w:tcPr>
          <w:p w14:paraId="34F16E0E" w14:textId="179BDFF9"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+48 %</w:t>
            </w:r>
          </w:p>
        </w:tc>
        <w:tc>
          <w:tcPr>
            <w:tcW w:w="617" w:type="dxa"/>
            <w:tcBorders>
              <w:top w:val="nil"/>
              <w:left w:val="single" w:sz="4" w:space="0" w:color="auto"/>
              <w:bottom w:val="single" w:sz="4" w:space="0" w:color="auto"/>
              <w:right w:val="nil"/>
            </w:tcBorders>
            <w:shd w:val="clear" w:color="auto" w:fill="auto"/>
            <w:noWrap/>
            <w:vAlign w:val="bottom"/>
            <w:hideMark/>
          </w:tcPr>
          <w:p w14:paraId="2D17D332"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266</w:t>
            </w:r>
          </w:p>
        </w:tc>
        <w:tc>
          <w:tcPr>
            <w:tcW w:w="948" w:type="dxa"/>
            <w:tcBorders>
              <w:top w:val="nil"/>
              <w:left w:val="nil"/>
              <w:bottom w:val="single" w:sz="4" w:space="0" w:color="auto"/>
              <w:right w:val="single" w:sz="4" w:space="0" w:color="auto"/>
            </w:tcBorders>
            <w:shd w:val="clear" w:color="auto" w:fill="auto"/>
            <w:noWrap/>
            <w:vAlign w:val="center"/>
            <w:hideMark/>
          </w:tcPr>
          <w:p w14:paraId="060E0347" w14:textId="51EC2474"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+51 %</w:t>
            </w:r>
          </w:p>
        </w:tc>
        <w:tc>
          <w:tcPr>
            <w:tcW w:w="804" w:type="dxa"/>
            <w:tcBorders>
              <w:top w:val="nil"/>
              <w:left w:val="nil"/>
              <w:bottom w:val="single" w:sz="4" w:space="0" w:color="auto"/>
              <w:right w:val="nil"/>
            </w:tcBorders>
            <w:shd w:val="clear" w:color="auto" w:fill="auto"/>
            <w:noWrap/>
            <w:vAlign w:val="bottom"/>
            <w:hideMark/>
          </w:tcPr>
          <w:p w14:paraId="62A073A9" w14:textId="6799E279"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w:t>
            </w:r>
            <w:r w:rsidR="005536A1" w:rsidRPr="00730B1E">
              <w:rPr>
                <w:rFonts w:eastAsia="Times New Roman"/>
                <w:szCs w:val="24"/>
                <w:lang w:eastAsia="cs-CZ"/>
              </w:rPr>
              <w:t xml:space="preserve"> </w:t>
            </w:r>
            <w:r w:rsidRPr="00730B1E">
              <w:rPr>
                <w:rFonts w:eastAsia="Times New Roman"/>
                <w:szCs w:val="24"/>
                <w:lang w:eastAsia="cs-CZ"/>
              </w:rPr>
              <w:t>546</w:t>
            </w:r>
          </w:p>
        </w:tc>
        <w:tc>
          <w:tcPr>
            <w:tcW w:w="1106" w:type="dxa"/>
            <w:tcBorders>
              <w:top w:val="nil"/>
              <w:left w:val="nil"/>
              <w:bottom w:val="single" w:sz="4" w:space="0" w:color="auto"/>
              <w:right w:val="nil"/>
            </w:tcBorders>
            <w:shd w:val="clear" w:color="auto" w:fill="auto"/>
            <w:noWrap/>
            <w:vAlign w:val="center"/>
            <w:hideMark/>
          </w:tcPr>
          <w:p w14:paraId="4082156D" w14:textId="6B3F5D8A"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+17 %</w:t>
            </w:r>
          </w:p>
        </w:tc>
      </w:tr>
      <w:tr w:rsidR="00B64E96" w:rsidRPr="00730B1E" w14:paraId="78C6BB50" w14:textId="77777777" w:rsidTr="007305D6">
        <w:trPr>
          <w:trHeight w:val="315"/>
        </w:trPr>
        <w:tc>
          <w:tcPr>
            <w:tcW w:w="2480" w:type="dxa"/>
            <w:tcBorders>
              <w:top w:val="nil"/>
              <w:left w:val="nil"/>
              <w:bottom w:val="single" w:sz="4" w:space="0" w:color="auto"/>
              <w:right w:val="nil"/>
            </w:tcBorders>
            <w:shd w:val="clear" w:color="auto" w:fill="auto"/>
            <w:noWrap/>
            <w:vAlign w:val="bottom"/>
            <w:hideMark/>
          </w:tcPr>
          <w:p w14:paraId="25CAD98D" w14:textId="77777777" w:rsidR="007305D6" w:rsidRPr="00730B1E" w:rsidRDefault="007305D6" w:rsidP="007305D6">
            <w:pPr>
              <w:spacing w:line="240" w:lineRule="auto"/>
              <w:jc w:val="left"/>
              <w:rPr>
                <w:rFonts w:eastAsia="Times New Roman"/>
                <w:szCs w:val="24"/>
                <w:lang w:eastAsia="cs-CZ"/>
              </w:rPr>
            </w:pPr>
            <w:r w:rsidRPr="00730B1E">
              <w:rPr>
                <w:rFonts w:eastAsia="Times New Roman"/>
                <w:szCs w:val="24"/>
                <w:lang w:eastAsia="cs-CZ"/>
              </w:rPr>
              <w:t>KS Plzeň</w:t>
            </w:r>
          </w:p>
        </w:tc>
        <w:tc>
          <w:tcPr>
            <w:tcW w:w="617" w:type="dxa"/>
            <w:tcBorders>
              <w:top w:val="nil"/>
              <w:left w:val="nil"/>
              <w:bottom w:val="single" w:sz="4" w:space="0" w:color="auto"/>
              <w:right w:val="nil"/>
            </w:tcBorders>
            <w:shd w:val="clear" w:color="auto" w:fill="auto"/>
            <w:noWrap/>
            <w:vAlign w:val="bottom"/>
            <w:hideMark/>
          </w:tcPr>
          <w:p w14:paraId="7208AA98"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384</w:t>
            </w:r>
          </w:p>
        </w:tc>
        <w:tc>
          <w:tcPr>
            <w:tcW w:w="948" w:type="dxa"/>
            <w:tcBorders>
              <w:top w:val="nil"/>
              <w:left w:val="nil"/>
              <w:bottom w:val="single" w:sz="4" w:space="0" w:color="auto"/>
              <w:right w:val="nil"/>
            </w:tcBorders>
            <w:shd w:val="clear" w:color="auto" w:fill="auto"/>
            <w:noWrap/>
            <w:vAlign w:val="center"/>
            <w:hideMark/>
          </w:tcPr>
          <w:p w14:paraId="51858826" w14:textId="78F46A72"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-26 %</w:t>
            </w:r>
          </w:p>
        </w:tc>
        <w:tc>
          <w:tcPr>
            <w:tcW w:w="617" w:type="dxa"/>
            <w:tcBorders>
              <w:top w:val="nil"/>
              <w:left w:val="single" w:sz="4" w:space="0" w:color="auto"/>
              <w:bottom w:val="single" w:sz="4" w:space="0" w:color="auto"/>
              <w:right w:val="nil"/>
            </w:tcBorders>
            <w:shd w:val="clear" w:color="auto" w:fill="auto"/>
            <w:noWrap/>
            <w:vAlign w:val="bottom"/>
            <w:hideMark/>
          </w:tcPr>
          <w:p w14:paraId="0AC4E842"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139</w:t>
            </w:r>
          </w:p>
        </w:tc>
        <w:tc>
          <w:tcPr>
            <w:tcW w:w="948" w:type="dxa"/>
            <w:tcBorders>
              <w:top w:val="nil"/>
              <w:left w:val="nil"/>
              <w:bottom w:val="single" w:sz="4" w:space="0" w:color="auto"/>
              <w:right w:val="single" w:sz="4" w:space="0" w:color="auto"/>
            </w:tcBorders>
            <w:shd w:val="clear" w:color="auto" w:fill="auto"/>
            <w:noWrap/>
            <w:vAlign w:val="center"/>
            <w:hideMark/>
          </w:tcPr>
          <w:p w14:paraId="3F0EE645" w14:textId="53A4863B"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-40 %</w:t>
            </w:r>
          </w:p>
        </w:tc>
        <w:tc>
          <w:tcPr>
            <w:tcW w:w="804" w:type="dxa"/>
            <w:tcBorders>
              <w:top w:val="nil"/>
              <w:left w:val="nil"/>
              <w:bottom w:val="single" w:sz="4" w:space="0" w:color="auto"/>
              <w:right w:val="nil"/>
            </w:tcBorders>
            <w:shd w:val="clear" w:color="auto" w:fill="auto"/>
            <w:noWrap/>
            <w:vAlign w:val="bottom"/>
            <w:hideMark/>
          </w:tcPr>
          <w:p w14:paraId="39A4CB0B" w14:textId="3E36BF64"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w:t>
            </w:r>
            <w:r w:rsidR="005536A1" w:rsidRPr="00730B1E">
              <w:rPr>
                <w:rFonts w:eastAsia="Times New Roman"/>
                <w:szCs w:val="24"/>
                <w:lang w:eastAsia="cs-CZ"/>
              </w:rPr>
              <w:t xml:space="preserve"> </w:t>
            </w:r>
            <w:r w:rsidRPr="00730B1E">
              <w:rPr>
                <w:rFonts w:eastAsia="Times New Roman"/>
                <w:szCs w:val="24"/>
                <w:lang w:eastAsia="cs-CZ"/>
              </w:rPr>
              <w:t>240</w:t>
            </w:r>
          </w:p>
        </w:tc>
        <w:tc>
          <w:tcPr>
            <w:tcW w:w="1106" w:type="dxa"/>
            <w:tcBorders>
              <w:top w:val="nil"/>
              <w:left w:val="nil"/>
              <w:bottom w:val="single" w:sz="4" w:space="0" w:color="auto"/>
              <w:right w:val="nil"/>
            </w:tcBorders>
            <w:shd w:val="clear" w:color="auto" w:fill="auto"/>
            <w:noWrap/>
            <w:vAlign w:val="center"/>
            <w:hideMark/>
          </w:tcPr>
          <w:p w14:paraId="020E4702" w14:textId="69BE7826"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-26 %</w:t>
            </w:r>
          </w:p>
        </w:tc>
      </w:tr>
      <w:tr w:rsidR="00B64E96" w:rsidRPr="00730B1E" w14:paraId="400D5535" w14:textId="77777777" w:rsidTr="007305D6">
        <w:trPr>
          <w:trHeight w:val="315"/>
        </w:trPr>
        <w:tc>
          <w:tcPr>
            <w:tcW w:w="2480" w:type="dxa"/>
            <w:tcBorders>
              <w:top w:val="nil"/>
              <w:left w:val="nil"/>
              <w:bottom w:val="single" w:sz="4" w:space="0" w:color="auto"/>
              <w:right w:val="nil"/>
            </w:tcBorders>
            <w:shd w:val="clear" w:color="auto" w:fill="auto"/>
            <w:noWrap/>
            <w:vAlign w:val="bottom"/>
            <w:hideMark/>
          </w:tcPr>
          <w:p w14:paraId="7B0CF6FB" w14:textId="77777777" w:rsidR="007305D6" w:rsidRPr="00730B1E" w:rsidRDefault="007305D6" w:rsidP="007305D6">
            <w:pPr>
              <w:spacing w:line="240" w:lineRule="auto"/>
              <w:jc w:val="left"/>
              <w:rPr>
                <w:rFonts w:eastAsia="Times New Roman"/>
                <w:szCs w:val="24"/>
                <w:lang w:eastAsia="cs-CZ"/>
              </w:rPr>
            </w:pPr>
            <w:r w:rsidRPr="00730B1E">
              <w:rPr>
                <w:rFonts w:eastAsia="Times New Roman"/>
                <w:szCs w:val="24"/>
                <w:lang w:eastAsia="cs-CZ"/>
              </w:rPr>
              <w:t>KS Ústí n. Labem</w:t>
            </w:r>
          </w:p>
        </w:tc>
        <w:tc>
          <w:tcPr>
            <w:tcW w:w="617" w:type="dxa"/>
            <w:tcBorders>
              <w:top w:val="nil"/>
              <w:left w:val="nil"/>
              <w:bottom w:val="single" w:sz="4" w:space="0" w:color="auto"/>
              <w:right w:val="nil"/>
            </w:tcBorders>
            <w:shd w:val="clear" w:color="auto" w:fill="auto"/>
            <w:noWrap/>
            <w:vAlign w:val="bottom"/>
            <w:hideMark/>
          </w:tcPr>
          <w:p w14:paraId="3B6BE2F6"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460</w:t>
            </w:r>
          </w:p>
        </w:tc>
        <w:tc>
          <w:tcPr>
            <w:tcW w:w="948" w:type="dxa"/>
            <w:tcBorders>
              <w:top w:val="nil"/>
              <w:left w:val="nil"/>
              <w:bottom w:val="single" w:sz="4" w:space="0" w:color="auto"/>
              <w:right w:val="nil"/>
            </w:tcBorders>
            <w:shd w:val="clear" w:color="auto" w:fill="auto"/>
            <w:noWrap/>
            <w:vAlign w:val="center"/>
            <w:hideMark/>
          </w:tcPr>
          <w:p w14:paraId="34EEC0DF" w14:textId="4B14272A"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-23 %</w:t>
            </w:r>
          </w:p>
        </w:tc>
        <w:tc>
          <w:tcPr>
            <w:tcW w:w="617" w:type="dxa"/>
            <w:tcBorders>
              <w:top w:val="nil"/>
              <w:left w:val="single" w:sz="4" w:space="0" w:color="auto"/>
              <w:bottom w:val="single" w:sz="4" w:space="0" w:color="auto"/>
              <w:right w:val="nil"/>
            </w:tcBorders>
            <w:shd w:val="clear" w:color="auto" w:fill="auto"/>
            <w:noWrap/>
            <w:vAlign w:val="bottom"/>
            <w:hideMark/>
          </w:tcPr>
          <w:p w14:paraId="466A0C1E"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138</w:t>
            </w:r>
          </w:p>
        </w:tc>
        <w:tc>
          <w:tcPr>
            <w:tcW w:w="948" w:type="dxa"/>
            <w:tcBorders>
              <w:top w:val="nil"/>
              <w:left w:val="nil"/>
              <w:bottom w:val="single" w:sz="4" w:space="0" w:color="auto"/>
              <w:right w:val="single" w:sz="4" w:space="0" w:color="auto"/>
            </w:tcBorders>
            <w:shd w:val="clear" w:color="auto" w:fill="auto"/>
            <w:noWrap/>
            <w:vAlign w:val="center"/>
            <w:hideMark/>
          </w:tcPr>
          <w:p w14:paraId="6D5FC452" w14:textId="5F2F5C89"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-66 %</w:t>
            </w:r>
          </w:p>
        </w:tc>
        <w:tc>
          <w:tcPr>
            <w:tcW w:w="804" w:type="dxa"/>
            <w:tcBorders>
              <w:top w:val="nil"/>
              <w:left w:val="nil"/>
              <w:bottom w:val="single" w:sz="4" w:space="0" w:color="auto"/>
              <w:right w:val="nil"/>
            </w:tcBorders>
            <w:shd w:val="clear" w:color="auto" w:fill="auto"/>
            <w:noWrap/>
            <w:vAlign w:val="bottom"/>
            <w:hideMark/>
          </w:tcPr>
          <w:p w14:paraId="0DFB6D70" w14:textId="4A2611F3"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w:t>
            </w:r>
            <w:r w:rsidR="005536A1" w:rsidRPr="00730B1E">
              <w:rPr>
                <w:rFonts w:eastAsia="Times New Roman"/>
                <w:szCs w:val="24"/>
                <w:lang w:eastAsia="cs-CZ"/>
              </w:rPr>
              <w:t xml:space="preserve"> </w:t>
            </w:r>
            <w:r w:rsidRPr="00730B1E">
              <w:rPr>
                <w:rFonts w:eastAsia="Times New Roman"/>
                <w:szCs w:val="24"/>
                <w:lang w:eastAsia="cs-CZ"/>
              </w:rPr>
              <w:t>289</w:t>
            </w:r>
          </w:p>
        </w:tc>
        <w:tc>
          <w:tcPr>
            <w:tcW w:w="1106" w:type="dxa"/>
            <w:tcBorders>
              <w:top w:val="nil"/>
              <w:left w:val="nil"/>
              <w:bottom w:val="single" w:sz="4" w:space="0" w:color="auto"/>
              <w:right w:val="nil"/>
            </w:tcBorders>
            <w:shd w:val="clear" w:color="auto" w:fill="auto"/>
            <w:noWrap/>
            <w:vAlign w:val="center"/>
            <w:hideMark/>
          </w:tcPr>
          <w:p w14:paraId="01A207AE" w14:textId="36FDCB49"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-5 %</w:t>
            </w:r>
          </w:p>
        </w:tc>
      </w:tr>
      <w:tr w:rsidR="00B64E96" w:rsidRPr="00730B1E" w14:paraId="0E89802D" w14:textId="77777777" w:rsidTr="007305D6">
        <w:trPr>
          <w:trHeight w:val="315"/>
        </w:trPr>
        <w:tc>
          <w:tcPr>
            <w:tcW w:w="2480" w:type="dxa"/>
            <w:tcBorders>
              <w:top w:val="nil"/>
              <w:left w:val="nil"/>
              <w:bottom w:val="single" w:sz="4" w:space="0" w:color="auto"/>
              <w:right w:val="nil"/>
            </w:tcBorders>
            <w:shd w:val="clear" w:color="auto" w:fill="auto"/>
            <w:noWrap/>
            <w:vAlign w:val="bottom"/>
            <w:hideMark/>
          </w:tcPr>
          <w:p w14:paraId="5A8AB888" w14:textId="77777777" w:rsidR="007305D6" w:rsidRPr="00730B1E" w:rsidRDefault="007305D6" w:rsidP="007305D6">
            <w:pPr>
              <w:spacing w:line="240" w:lineRule="auto"/>
              <w:jc w:val="left"/>
              <w:rPr>
                <w:rFonts w:eastAsia="Times New Roman"/>
                <w:szCs w:val="24"/>
                <w:lang w:eastAsia="cs-CZ"/>
              </w:rPr>
            </w:pPr>
            <w:r w:rsidRPr="00730B1E">
              <w:rPr>
                <w:rFonts w:eastAsia="Times New Roman"/>
                <w:szCs w:val="24"/>
                <w:lang w:eastAsia="cs-CZ"/>
              </w:rPr>
              <w:t>KS Hr. Králové</w:t>
            </w:r>
          </w:p>
        </w:tc>
        <w:tc>
          <w:tcPr>
            <w:tcW w:w="617" w:type="dxa"/>
            <w:tcBorders>
              <w:top w:val="nil"/>
              <w:left w:val="nil"/>
              <w:bottom w:val="single" w:sz="4" w:space="0" w:color="auto"/>
              <w:right w:val="nil"/>
            </w:tcBorders>
            <w:shd w:val="clear" w:color="auto" w:fill="auto"/>
            <w:noWrap/>
            <w:vAlign w:val="bottom"/>
            <w:hideMark/>
          </w:tcPr>
          <w:p w14:paraId="16D61C64"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468</w:t>
            </w:r>
          </w:p>
        </w:tc>
        <w:tc>
          <w:tcPr>
            <w:tcW w:w="948" w:type="dxa"/>
            <w:tcBorders>
              <w:top w:val="nil"/>
              <w:left w:val="nil"/>
              <w:bottom w:val="single" w:sz="4" w:space="0" w:color="auto"/>
              <w:right w:val="nil"/>
            </w:tcBorders>
            <w:shd w:val="clear" w:color="auto" w:fill="auto"/>
            <w:noWrap/>
            <w:vAlign w:val="center"/>
            <w:hideMark/>
          </w:tcPr>
          <w:p w14:paraId="2F0BD9C8" w14:textId="416C8F5A"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+37 %</w:t>
            </w:r>
          </w:p>
        </w:tc>
        <w:tc>
          <w:tcPr>
            <w:tcW w:w="617" w:type="dxa"/>
            <w:tcBorders>
              <w:top w:val="nil"/>
              <w:left w:val="single" w:sz="4" w:space="0" w:color="auto"/>
              <w:bottom w:val="single" w:sz="4" w:space="0" w:color="auto"/>
              <w:right w:val="nil"/>
            </w:tcBorders>
            <w:shd w:val="clear" w:color="auto" w:fill="auto"/>
            <w:noWrap/>
            <w:vAlign w:val="bottom"/>
            <w:hideMark/>
          </w:tcPr>
          <w:p w14:paraId="74AEA2FF"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75</w:t>
            </w:r>
          </w:p>
        </w:tc>
        <w:tc>
          <w:tcPr>
            <w:tcW w:w="948" w:type="dxa"/>
            <w:tcBorders>
              <w:top w:val="nil"/>
              <w:left w:val="nil"/>
              <w:bottom w:val="single" w:sz="4" w:space="0" w:color="auto"/>
              <w:right w:val="single" w:sz="4" w:space="0" w:color="auto"/>
            </w:tcBorders>
            <w:shd w:val="clear" w:color="auto" w:fill="auto"/>
            <w:noWrap/>
            <w:vAlign w:val="center"/>
            <w:hideMark/>
          </w:tcPr>
          <w:p w14:paraId="6AB00C91" w14:textId="7CC455BF"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-59 %</w:t>
            </w:r>
          </w:p>
        </w:tc>
        <w:tc>
          <w:tcPr>
            <w:tcW w:w="804" w:type="dxa"/>
            <w:tcBorders>
              <w:top w:val="nil"/>
              <w:left w:val="nil"/>
              <w:bottom w:val="single" w:sz="4" w:space="0" w:color="auto"/>
              <w:right w:val="nil"/>
            </w:tcBorders>
            <w:shd w:val="clear" w:color="auto" w:fill="auto"/>
            <w:noWrap/>
            <w:vAlign w:val="bottom"/>
            <w:hideMark/>
          </w:tcPr>
          <w:p w14:paraId="7EDF014C" w14:textId="18B3108E"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w:t>
            </w:r>
            <w:r w:rsidR="005536A1" w:rsidRPr="00730B1E">
              <w:rPr>
                <w:rFonts w:eastAsia="Times New Roman"/>
                <w:szCs w:val="24"/>
                <w:lang w:eastAsia="cs-CZ"/>
              </w:rPr>
              <w:t xml:space="preserve"> </w:t>
            </w:r>
            <w:r w:rsidRPr="00730B1E">
              <w:rPr>
                <w:rFonts w:eastAsia="Times New Roman"/>
                <w:szCs w:val="24"/>
                <w:lang w:eastAsia="cs-CZ"/>
              </w:rPr>
              <w:t>466</w:t>
            </w:r>
          </w:p>
        </w:tc>
        <w:tc>
          <w:tcPr>
            <w:tcW w:w="1106" w:type="dxa"/>
            <w:tcBorders>
              <w:top w:val="nil"/>
              <w:left w:val="nil"/>
              <w:bottom w:val="single" w:sz="4" w:space="0" w:color="auto"/>
              <w:right w:val="nil"/>
            </w:tcBorders>
            <w:shd w:val="clear" w:color="auto" w:fill="auto"/>
            <w:noWrap/>
            <w:vAlign w:val="center"/>
            <w:hideMark/>
          </w:tcPr>
          <w:p w14:paraId="4C41ACA8" w14:textId="131A695D"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+118 %</w:t>
            </w:r>
          </w:p>
        </w:tc>
      </w:tr>
      <w:tr w:rsidR="00B64E96" w:rsidRPr="00730B1E" w14:paraId="2C68E9F3" w14:textId="77777777" w:rsidTr="007305D6">
        <w:trPr>
          <w:trHeight w:val="315"/>
        </w:trPr>
        <w:tc>
          <w:tcPr>
            <w:tcW w:w="2480" w:type="dxa"/>
            <w:tcBorders>
              <w:top w:val="nil"/>
              <w:left w:val="nil"/>
              <w:bottom w:val="single" w:sz="4" w:space="0" w:color="auto"/>
              <w:right w:val="nil"/>
            </w:tcBorders>
            <w:shd w:val="clear" w:color="auto" w:fill="auto"/>
            <w:noWrap/>
            <w:vAlign w:val="bottom"/>
            <w:hideMark/>
          </w:tcPr>
          <w:p w14:paraId="4C06FB57" w14:textId="77777777" w:rsidR="007305D6" w:rsidRPr="00730B1E" w:rsidRDefault="007305D6" w:rsidP="007305D6">
            <w:pPr>
              <w:spacing w:line="240" w:lineRule="auto"/>
              <w:jc w:val="left"/>
              <w:rPr>
                <w:rFonts w:eastAsia="Times New Roman"/>
                <w:szCs w:val="24"/>
                <w:lang w:eastAsia="cs-CZ"/>
              </w:rPr>
            </w:pPr>
            <w:r w:rsidRPr="00730B1E">
              <w:rPr>
                <w:rFonts w:eastAsia="Times New Roman"/>
                <w:szCs w:val="24"/>
                <w:lang w:eastAsia="cs-CZ"/>
              </w:rPr>
              <w:t>KS Brno</w:t>
            </w:r>
          </w:p>
        </w:tc>
        <w:tc>
          <w:tcPr>
            <w:tcW w:w="617" w:type="dxa"/>
            <w:tcBorders>
              <w:top w:val="nil"/>
              <w:left w:val="nil"/>
              <w:bottom w:val="single" w:sz="4" w:space="0" w:color="auto"/>
              <w:right w:val="nil"/>
            </w:tcBorders>
            <w:shd w:val="clear" w:color="auto" w:fill="auto"/>
            <w:noWrap/>
            <w:vAlign w:val="bottom"/>
            <w:hideMark/>
          </w:tcPr>
          <w:p w14:paraId="42E50CE6"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520</w:t>
            </w:r>
          </w:p>
        </w:tc>
        <w:tc>
          <w:tcPr>
            <w:tcW w:w="948" w:type="dxa"/>
            <w:tcBorders>
              <w:top w:val="nil"/>
              <w:left w:val="nil"/>
              <w:bottom w:val="single" w:sz="4" w:space="0" w:color="auto"/>
              <w:right w:val="nil"/>
            </w:tcBorders>
            <w:shd w:val="clear" w:color="auto" w:fill="auto"/>
            <w:noWrap/>
            <w:vAlign w:val="center"/>
            <w:hideMark/>
          </w:tcPr>
          <w:p w14:paraId="682CBAA7" w14:textId="7748DAB1"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-3 %</w:t>
            </w:r>
          </w:p>
        </w:tc>
        <w:tc>
          <w:tcPr>
            <w:tcW w:w="617" w:type="dxa"/>
            <w:tcBorders>
              <w:top w:val="nil"/>
              <w:left w:val="single" w:sz="4" w:space="0" w:color="auto"/>
              <w:bottom w:val="single" w:sz="4" w:space="0" w:color="auto"/>
              <w:right w:val="nil"/>
            </w:tcBorders>
            <w:shd w:val="clear" w:color="auto" w:fill="auto"/>
            <w:noWrap/>
            <w:vAlign w:val="bottom"/>
            <w:hideMark/>
          </w:tcPr>
          <w:p w14:paraId="1701967A"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199</w:t>
            </w:r>
          </w:p>
        </w:tc>
        <w:tc>
          <w:tcPr>
            <w:tcW w:w="948" w:type="dxa"/>
            <w:tcBorders>
              <w:top w:val="nil"/>
              <w:left w:val="nil"/>
              <w:bottom w:val="single" w:sz="4" w:space="0" w:color="auto"/>
              <w:right w:val="single" w:sz="4" w:space="0" w:color="auto"/>
            </w:tcBorders>
            <w:shd w:val="clear" w:color="auto" w:fill="auto"/>
            <w:noWrap/>
            <w:vAlign w:val="center"/>
            <w:hideMark/>
          </w:tcPr>
          <w:p w14:paraId="32F678D3" w14:textId="40FAA433"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-50 %</w:t>
            </w:r>
          </w:p>
        </w:tc>
        <w:tc>
          <w:tcPr>
            <w:tcW w:w="804" w:type="dxa"/>
            <w:tcBorders>
              <w:top w:val="nil"/>
              <w:left w:val="nil"/>
              <w:bottom w:val="single" w:sz="4" w:space="0" w:color="auto"/>
              <w:right w:val="nil"/>
            </w:tcBorders>
            <w:shd w:val="clear" w:color="auto" w:fill="auto"/>
            <w:noWrap/>
            <w:vAlign w:val="bottom"/>
            <w:hideMark/>
          </w:tcPr>
          <w:p w14:paraId="3485FA77" w14:textId="16938D52"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w:t>
            </w:r>
            <w:r w:rsidR="005536A1" w:rsidRPr="00730B1E">
              <w:rPr>
                <w:rFonts w:eastAsia="Times New Roman"/>
                <w:szCs w:val="24"/>
                <w:lang w:eastAsia="cs-CZ"/>
              </w:rPr>
              <w:t xml:space="preserve"> </w:t>
            </w:r>
            <w:r w:rsidRPr="00730B1E">
              <w:rPr>
                <w:rFonts w:eastAsia="Times New Roman"/>
                <w:szCs w:val="24"/>
                <w:lang w:eastAsia="cs-CZ"/>
              </w:rPr>
              <w:t>262</w:t>
            </w:r>
          </w:p>
        </w:tc>
        <w:tc>
          <w:tcPr>
            <w:tcW w:w="1106" w:type="dxa"/>
            <w:tcBorders>
              <w:top w:val="nil"/>
              <w:left w:val="nil"/>
              <w:bottom w:val="single" w:sz="4" w:space="0" w:color="auto"/>
              <w:right w:val="nil"/>
            </w:tcBorders>
            <w:shd w:val="clear" w:color="auto" w:fill="auto"/>
            <w:noWrap/>
            <w:vAlign w:val="center"/>
            <w:hideMark/>
          </w:tcPr>
          <w:p w14:paraId="12E66978" w14:textId="6A7A0195"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-7 %</w:t>
            </w:r>
          </w:p>
        </w:tc>
      </w:tr>
      <w:tr w:rsidR="00B64E96" w:rsidRPr="00730B1E" w14:paraId="046BC0EB" w14:textId="77777777" w:rsidTr="007305D6">
        <w:trPr>
          <w:trHeight w:val="330"/>
        </w:trPr>
        <w:tc>
          <w:tcPr>
            <w:tcW w:w="2480" w:type="dxa"/>
            <w:tcBorders>
              <w:top w:val="nil"/>
              <w:left w:val="nil"/>
              <w:bottom w:val="double" w:sz="6" w:space="0" w:color="auto"/>
              <w:right w:val="nil"/>
            </w:tcBorders>
            <w:shd w:val="clear" w:color="auto" w:fill="auto"/>
            <w:noWrap/>
            <w:vAlign w:val="bottom"/>
            <w:hideMark/>
          </w:tcPr>
          <w:p w14:paraId="4FE3E272" w14:textId="77777777" w:rsidR="007305D6" w:rsidRPr="00730B1E" w:rsidRDefault="007305D6" w:rsidP="007305D6">
            <w:pPr>
              <w:spacing w:line="240" w:lineRule="auto"/>
              <w:jc w:val="left"/>
              <w:rPr>
                <w:rFonts w:eastAsia="Times New Roman"/>
                <w:szCs w:val="24"/>
                <w:lang w:eastAsia="cs-CZ"/>
              </w:rPr>
            </w:pPr>
            <w:r w:rsidRPr="00730B1E">
              <w:rPr>
                <w:rFonts w:eastAsia="Times New Roman"/>
                <w:szCs w:val="24"/>
                <w:lang w:eastAsia="cs-CZ"/>
              </w:rPr>
              <w:t>KS Ostrava</w:t>
            </w:r>
          </w:p>
        </w:tc>
        <w:tc>
          <w:tcPr>
            <w:tcW w:w="617" w:type="dxa"/>
            <w:tcBorders>
              <w:top w:val="nil"/>
              <w:left w:val="nil"/>
              <w:bottom w:val="double" w:sz="6" w:space="0" w:color="auto"/>
              <w:right w:val="nil"/>
            </w:tcBorders>
            <w:shd w:val="clear" w:color="auto" w:fill="auto"/>
            <w:noWrap/>
            <w:vAlign w:val="bottom"/>
            <w:hideMark/>
          </w:tcPr>
          <w:p w14:paraId="74732114"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429</w:t>
            </w:r>
          </w:p>
        </w:tc>
        <w:tc>
          <w:tcPr>
            <w:tcW w:w="948" w:type="dxa"/>
            <w:tcBorders>
              <w:top w:val="nil"/>
              <w:left w:val="nil"/>
              <w:bottom w:val="double" w:sz="6" w:space="0" w:color="auto"/>
              <w:right w:val="nil"/>
            </w:tcBorders>
            <w:shd w:val="clear" w:color="auto" w:fill="auto"/>
            <w:noWrap/>
            <w:vAlign w:val="center"/>
            <w:hideMark/>
          </w:tcPr>
          <w:p w14:paraId="7FC8EB28" w14:textId="659B8ECA"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+4 %</w:t>
            </w:r>
          </w:p>
        </w:tc>
        <w:tc>
          <w:tcPr>
            <w:tcW w:w="617" w:type="dxa"/>
            <w:tcBorders>
              <w:top w:val="nil"/>
              <w:left w:val="single" w:sz="4" w:space="0" w:color="auto"/>
              <w:bottom w:val="double" w:sz="6" w:space="0" w:color="auto"/>
              <w:right w:val="nil"/>
            </w:tcBorders>
            <w:shd w:val="clear" w:color="auto" w:fill="auto"/>
            <w:noWrap/>
            <w:vAlign w:val="bottom"/>
            <w:hideMark/>
          </w:tcPr>
          <w:p w14:paraId="59F25723" w14:textId="77777777"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150</w:t>
            </w:r>
          </w:p>
        </w:tc>
        <w:tc>
          <w:tcPr>
            <w:tcW w:w="948" w:type="dxa"/>
            <w:tcBorders>
              <w:top w:val="nil"/>
              <w:left w:val="nil"/>
              <w:bottom w:val="double" w:sz="6" w:space="0" w:color="auto"/>
              <w:right w:val="single" w:sz="4" w:space="0" w:color="auto"/>
            </w:tcBorders>
            <w:shd w:val="clear" w:color="auto" w:fill="auto"/>
            <w:noWrap/>
            <w:vAlign w:val="center"/>
            <w:hideMark/>
          </w:tcPr>
          <w:p w14:paraId="4105D26D" w14:textId="1BC1B72C"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-16 %</w:t>
            </w:r>
          </w:p>
        </w:tc>
        <w:tc>
          <w:tcPr>
            <w:tcW w:w="804" w:type="dxa"/>
            <w:tcBorders>
              <w:top w:val="nil"/>
              <w:left w:val="nil"/>
              <w:bottom w:val="double" w:sz="6" w:space="0" w:color="auto"/>
              <w:right w:val="nil"/>
            </w:tcBorders>
            <w:shd w:val="clear" w:color="auto" w:fill="auto"/>
            <w:noWrap/>
            <w:vAlign w:val="bottom"/>
            <w:hideMark/>
          </w:tcPr>
          <w:p w14:paraId="17666AFA" w14:textId="2BFF35DE" w:rsidR="007305D6" w:rsidRPr="00730B1E" w:rsidRDefault="007305D6" w:rsidP="007305D6">
            <w:pPr>
              <w:spacing w:line="240" w:lineRule="auto"/>
              <w:jc w:val="center"/>
              <w:rPr>
                <w:rFonts w:eastAsia="Times New Roman"/>
                <w:szCs w:val="24"/>
                <w:lang w:eastAsia="cs-CZ"/>
              </w:rPr>
            </w:pPr>
            <w:r w:rsidRPr="00730B1E">
              <w:rPr>
                <w:rFonts w:eastAsia="Times New Roman"/>
                <w:szCs w:val="24"/>
                <w:lang w:eastAsia="cs-CZ"/>
              </w:rPr>
              <w:t>1</w:t>
            </w:r>
            <w:r w:rsidR="005536A1" w:rsidRPr="00730B1E">
              <w:rPr>
                <w:rFonts w:eastAsia="Times New Roman"/>
                <w:szCs w:val="24"/>
                <w:lang w:eastAsia="cs-CZ"/>
              </w:rPr>
              <w:t xml:space="preserve"> </w:t>
            </w:r>
            <w:r w:rsidRPr="00730B1E">
              <w:rPr>
                <w:rFonts w:eastAsia="Times New Roman"/>
                <w:szCs w:val="24"/>
                <w:lang w:eastAsia="cs-CZ"/>
              </w:rPr>
              <w:t>441</w:t>
            </w:r>
          </w:p>
        </w:tc>
        <w:tc>
          <w:tcPr>
            <w:tcW w:w="1106" w:type="dxa"/>
            <w:tcBorders>
              <w:top w:val="nil"/>
              <w:left w:val="nil"/>
              <w:bottom w:val="double" w:sz="6" w:space="0" w:color="auto"/>
              <w:right w:val="nil"/>
            </w:tcBorders>
            <w:shd w:val="clear" w:color="auto" w:fill="auto"/>
            <w:noWrap/>
            <w:vAlign w:val="center"/>
            <w:hideMark/>
          </w:tcPr>
          <w:p w14:paraId="4F22C852" w14:textId="719CDA04" w:rsidR="007305D6" w:rsidRPr="00730B1E" w:rsidRDefault="007305D6" w:rsidP="007305D6">
            <w:pPr>
              <w:spacing w:line="240" w:lineRule="auto"/>
              <w:jc w:val="center"/>
              <w:rPr>
                <w:rFonts w:eastAsia="Times New Roman"/>
                <w:sz w:val="20"/>
                <w:szCs w:val="20"/>
                <w:lang w:eastAsia="cs-CZ"/>
              </w:rPr>
            </w:pPr>
            <w:r w:rsidRPr="00730B1E">
              <w:rPr>
                <w:rFonts w:eastAsia="Times New Roman"/>
                <w:sz w:val="20"/>
                <w:szCs w:val="20"/>
                <w:lang w:eastAsia="cs-CZ"/>
              </w:rPr>
              <w:t>+15 %</w:t>
            </w:r>
          </w:p>
        </w:tc>
      </w:tr>
      <w:tr w:rsidR="007305D6" w:rsidRPr="00730B1E" w14:paraId="57C00F54" w14:textId="77777777" w:rsidTr="007305D6">
        <w:trPr>
          <w:trHeight w:val="345"/>
        </w:trPr>
        <w:tc>
          <w:tcPr>
            <w:tcW w:w="2480" w:type="dxa"/>
            <w:tcBorders>
              <w:top w:val="nil"/>
              <w:left w:val="nil"/>
              <w:bottom w:val="double" w:sz="6" w:space="0" w:color="auto"/>
              <w:right w:val="nil"/>
            </w:tcBorders>
            <w:shd w:val="clear" w:color="auto" w:fill="auto"/>
            <w:noWrap/>
            <w:vAlign w:val="bottom"/>
            <w:hideMark/>
          </w:tcPr>
          <w:p w14:paraId="34D4A3A8" w14:textId="77777777" w:rsidR="007305D6" w:rsidRPr="00730B1E" w:rsidRDefault="007305D6" w:rsidP="007305D6">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617" w:type="dxa"/>
            <w:tcBorders>
              <w:top w:val="nil"/>
              <w:left w:val="nil"/>
              <w:bottom w:val="double" w:sz="6" w:space="0" w:color="auto"/>
              <w:right w:val="nil"/>
            </w:tcBorders>
            <w:shd w:val="clear" w:color="auto" w:fill="auto"/>
            <w:noWrap/>
            <w:vAlign w:val="bottom"/>
            <w:hideMark/>
          </w:tcPr>
          <w:p w14:paraId="5C9724EB" w14:textId="77777777" w:rsidR="007305D6" w:rsidRPr="00730B1E" w:rsidRDefault="007305D6" w:rsidP="007305D6">
            <w:pPr>
              <w:spacing w:line="240" w:lineRule="auto"/>
              <w:jc w:val="center"/>
              <w:rPr>
                <w:rFonts w:eastAsia="Times New Roman"/>
                <w:b/>
                <w:bCs/>
                <w:szCs w:val="24"/>
                <w:lang w:eastAsia="cs-CZ"/>
              </w:rPr>
            </w:pPr>
            <w:r w:rsidRPr="00730B1E">
              <w:rPr>
                <w:rFonts w:eastAsia="Times New Roman"/>
                <w:b/>
                <w:bCs/>
                <w:szCs w:val="24"/>
                <w:lang w:eastAsia="cs-CZ"/>
              </w:rPr>
              <w:t>473</w:t>
            </w:r>
          </w:p>
        </w:tc>
        <w:tc>
          <w:tcPr>
            <w:tcW w:w="948" w:type="dxa"/>
            <w:tcBorders>
              <w:top w:val="nil"/>
              <w:left w:val="nil"/>
              <w:bottom w:val="double" w:sz="6" w:space="0" w:color="auto"/>
              <w:right w:val="nil"/>
            </w:tcBorders>
            <w:shd w:val="clear" w:color="auto" w:fill="auto"/>
            <w:noWrap/>
            <w:vAlign w:val="center"/>
            <w:hideMark/>
          </w:tcPr>
          <w:p w14:paraId="2D7030C0" w14:textId="2964ACC9" w:rsidR="007305D6" w:rsidRPr="00730B1E" w:rsidRDefault="007305D6" w:rsidP="007305D6">
            <w:pPr>
              <w:spacing w:line="240" w:lineRule="auto"/>
              <w:jc w:val="center"/>
              <w:rPr>
                <w:rFonts w:eastAsia="Times New Roman"/>
                <w:b/>
                <w:bCs/>
                <w:sz w:val="20"/>
                <w:szCs w:val="20"/>
                <w:lang w:eastAsia="cs-CZ"/>
              </w:rPr>
            </w:pPr>
            <w:r w:rsidRPr="00730B1E">
              <w:rPr>
                <w:rFonts w:eastAsia="Times New Roman"/>
                <w:b/>
                <w:bCs/>
                <w:sz w:val="20"/>
                <w:szCs w:val="20"/>
                <w:lang w:eastAsia="cs-CZ"/>
              </w:rPr>
              <w:t>-9 %</w:t>
            </w:r>
          </w:p>
        </w:tc>
        <w:tc>
          <w:tcPr>
            <w:tcW w:w="617" w:type="dxa"/>
            <w:tcBorders>
              <w:top w:val="nil"/>
              <w:left w:val="single" w:sz="4" w:space="0" w:color="auto"/>
              <w:bottom w:val="double" w:sz="6" w:space="0" w:color="auto"/>
              <w:right w:val="nil"/>
            </w:tcBorders>
            <w:shd w:val="clear" w:color="auto" w:fill="auto"/>
            <w:noWrap/>
            <w:vAlign w:val="bottom"/>
            <w:hideMark/>
          </w:tcPr>
          <w:p w14:paraId="440B065F" w14:textId="77777777" w:rsidR="007305D6" w:rsidRPr="00730B1E" w:rsidRDefault="007305D6" w:rsidP="007305D6">
            <w:pPr>
              <w:spacing w:line="240" w:lineRule="auto"/>
              <w:jc w:val="center"/>
              <w:rPr>
                <w:rFonts w:eastAsia="Times New Roman"/>
                <w:b/>
                <w:bCs/>
                <w:szCs w:val="24"/>
                <w:lang w:eastAsia="cs-CZ"/>
              </w:rPr>
            </w:pPr>
            <w:r w:rsidRPr="00730B1E">
              <w:rPr>
                <w:rFonts w:eastAsia="Times New Roman"/>
                <w:b/>
                <w:bCs/>
                <w:szCs w:val="24"/>
                <w:lang w:eastAsia="cs-CZ"/>
              </w:rPr>
              <w:t>187</w:t>
            </w:r>
          </w:p>
        </w:tc>
        <w:tc>
          <w:tcPr>
            <w:tcW w:w="948" w:type="dxa"/>
            <w:tcBorders>
              <w:top w:val="nil"/>
              <w:left w:val="nil"/>
              <w:bottom w:val="double" w:sz="6" w:space="0" w:color="auto"/>
              <w:right w:val="single" w:sz="4" w:space="0" w:color="auto"/>
            </w:tcBorders>
            <w:shd w:val="clear" w:color="auto" w:fill="auto"/>
            <w:noWrap/>
            <w:vAlign w:val="center"/>
            <w:hideMark/>
          </w:tcPr>
          <w:p w14:paraId="7600556E" w14:textId="16457310" w:rsidR="007305D6" w:rsidRPr="00730B1E" w:rsidRDefault="007305D6" w:rsidP="007305D6">
            <w:pPr>
              <w:spacing w:line="240" w:lineRule="auto"/>
              <w:jc w:val="center"/>
              <w:rPr>
                <w:rFonts w:eastAsia="Times New Roman"/>
                <w:b/>
                <w:bCs/>
                <w:sz w:val="20"/>
                <w:szCs w:val="20"/>
                <w:lang w:eastAsia="cs-CZ"/>
              </w:rPr>
            </w:pPr>
            <w:r w:rsidRPr="00730B1E">
              <w:rPr>
                <w:rFonts w:eastAsia="Times New Roman"/>
                <w:b/>
                <w:bCs/>
                <w:sz w:val="20"/>
                <w:szCs w:val="20"/>
                <w:lang w:eastAsia="cs-CZ"/>
              </w:rPr>
              <w:t>-26 %</w:t>
            </w:r>
          </w:p>
        </w:tc>
        <w:tc>
          <w:tcPr>
            <w:tcW w:w="804" w:type="dxa"/>
            <w:tcBorders>
              <w:top w:val="nil"/>
              <w:left w:val="nil"/>
              <w:bottom w:val="double" w:sz="6" w:space="0" w:color="auto"/>
              <w:right w:val="nil"/>
            </w:tcBorders>
            <w:shd w:val="clear" w:color="auto" w:fill="auto"/>
            <w:noWrap/>
            <w:vAlign w:val="bottom"/>
            <w:hideMark/>
          </w:tcPr>
          <w:p w14:paraId="05DA64E2" w14:textId="69F8FA67" w:rsidR="007305D6" w:rsidRPr="00730B1E" w:rsidRDefault="007305D6" w:rsidP="007305D6">
            <w:pPr>
              <w:spacing w:line="240" w:lineRule="auto"/>
              <w:jc w:val="center"/>
              <w:rPr>
                <w:rFonts w:eastAsia="Times New Roman"/>
                <w:b/>
                <w:bCs/>
                <w:szCs w:val="24"/>
                <w:lang w:eastAsia="cs-CZ"/>
              </w:rPr>
            </w:pPr>
            <w:r w:rsidRPr="00730B1E">
              <w:rPr>
                <w:rFonts w:eastAsia="Times New Roman"/>
                <w:b/>
                <w:bCs/>
                <w:szCs w:val="24"/>
                <w:lang w:eastAsia="cs-CZ"/>
              </w:rPr>
              <w:t>1</w:t>
            </w:r>
            <w:r w:rsidR="005536A1" w:rsidRPr="00730B1E">
              <w:rPr>
                <w:rFonts w:eastAsia="Times New Roman"/>
                <w:b/>
                <w:bCs/>
                <w:szCs w:val="24"/>
                <w:lang w:eastAsia="cs-CZ"/>
              </w:rPr>
              <w:t xml:space="preserve"> </w:t>
            </w:r>
            <w:r w:rsidRPr="00730B1E">
              <w:rPr>
                <w:rFonts w:eastAsia="Times New Roman"/>
                <w:b/>
                <w:bCs/>
                <w:szCs w:val="24"/>
                <w:lang w:eastAsia="cs-CZ"/>
              </w:rPr>
              <w:t>307</w:t>
            </w:r>
          </w:p>
        </w:tc>
        <w:tc>
          <w:tcPr>
            <w:tcW w:w="1106" w:type="dxa"/>
            <w:tcBorders>
              <w:top w:val="nil"/>
              <w:left w:val="nil"/>
              <w:bottom w:val="double" w:sz="6" w:space="0" w:color="auto"/>
              <w:right w:val="nil"/>
            </w:tcBorders>
            <w:shd w:val="clear" w:color="auto" w:fill="auto"/>
            <w:noWrap/>
            <w:vAlign w:val="center"/>
            <w:hideMark/>
          </w:tcPr>
          <w:p w14:paraId="265CF8C3" w14:textId="015BF0B4" w:rsidR="007305D6" w:rsidRPr="00730B1E" w:rsidRDefault="007305D6" w:rsidP="007305D6">
            <w:pPr>
              <w:spacing w:line="240" w:lineRule="auto"/>
              <w:jc w:val="center"/>
              <w:rPr>
                <w:rFonts w:eastAsia="Times New Roman"/>
                <w:b/>
                <w:bCs/>
                <w:sz w:val="20"/>
                <w:szCs w:val="20"/>
                <w:lang w:eastAsia="cs-CZ"/>
              </w:rPr>
            </w:pPr>
            <w:r w:rsidRPr="00730B1E">
              <w:rPr>
                <w:rFonts w:eastAsia="Times New Roman"/>
                <w:b/>
                <w:bCs/>
                <w:sz w:val="20"/>
                <w:szCs w:val="20"/>
                <w:lang w:eastAsia="cs-CZ"/>
              </w:rPr>
              <w:t>-4 %</w:t>
            </w:r>
          </w:p>
        </w:tc>
      </w:tr>
    </w:tbl>
    <w:p w14:paraId="45E75461" w14:textId="77777777" w:rsidR="00A949F1" w:rsidRPr="00730B1E" w:rsidRDefault="00A949F1" w:rsidP="007305D6">
      <w:pPr>
        <w:pStyle w:val="OdstavecASR"/>
      </w:pPr>
    </w:p>
    <w:p w14:paraId="5B00DF08" w14:textId="02E7CA8C" w:rsidR="007305D6" w:rsidRPr="00730B1E" w:rsidRDefault="007305D6" w:rsidP="007305D6">
      <w:pPr>
        <w:pStyle w:val="OdstavecASR"/>
      </w:pPr>
      <w:r w:rsidRPr="00730B1E">
        <w:t>V této souvislosti je na</w:t>
      </w:r>
      <w:r w:rsidR="00F80B76" w:rsidRPr="00730B1E">
        <w:t xml:space="preserve"> </w:t>
      </w:r>
      <w:r w:rsidRPr="00730B1E">
        <w:t xml:space="preserve">místě zdůraznit, že krajské soudy vyřizují velmi složitou prvostupňovou trestní agendu. Z podstaty složitosti a rozsahu trestních věcí projednávaných v prvním stupni u krajských soudů vyplývá, že jsou mnohdy časově náročnější, ať už na samotné studium spisu soudcem, či na následný vyšší počet hlavních líčení. Výjimkou nejsou ani sofistikované obstrukční procesní postupy obhájců. Identifikování důvodů dlouhých řízení by ovšem vyžadovalo samostatnou analýzu. </w:t>
      </w:r>
      <w:r w:rsidR="00F3775C" w:rsidRPr="00730B1E">
        <w:t>Délku řízení také silně ovlivňuje odvolací řízení v případech, kdy je vrchní soudy vrací soudům krajským.</w:t>
      </w:r>
    </w:p>
    <w:p w14:paraId="5F399AD4" w14:textId="76DADC27" w:rsidR="00A949F1" w:rsidRPr="00730B1E" w:rsidRDefault="00A949F1" w:rsidP="00A949F1">
      <w:pPr>
        <w:pStyle w:val="Podnadpis"/>
        <w:rPr>
          <w:color w:val="auto"/>
        </w:rPr>
      </w:pPr>
      <w:bookmarkStart w:id="939" w:name="_Toc144104175"/>
      <w:bookmarkStart w:id="940" w:name="_Toc169250987"/>
      <w:bookmarkStart w:id="941" w:name="_Toc174080673"/>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68</w:t>
      </w:r>
      <w:r w:rsidRPr="00730B1E">
        <w:rPr>
          <w:color w:val="auto"/>
        </w:rPr>
        <w:fldChar w:fldCharType="end"/>
      </w:r>
      <w:r w:rsidRPr="00730B1E">
        <w:rPr>
          <w:color w:val="auto"/>
        </w:rPr>
        <w:t>: KS – distribuce délek prvostupňového trestního řízení</w:t>
      </w:r>
      <w:bookmarkEnd w:id="939"/>
      <w:r w:rsidR="00554BBA" w:rsidRPr="00730B1E">
        <w:rPr>
          <w:color w:val="auto"/>
        </w:rPr>
        <w:t>, 2023</w:t>
      </w:r>
      <w:bookmarkEnd w:id="940"/>
      <w:bookmarkEnd w:id="941"/>
    </w:p>
    <w:p w14:paraId="5EF8EF07" w14:textId="5C3EB77C" w:rsidR="00EC3648" w:rsidRPr="00730B1E" w:rsidRDefault="00A949F1" w:rsidP="00EC3648">
      <w:pPr>
        <w:pStyle w:val="OdstavecASR"/>
      </w:pPr>
      <w:r w:rsidRPr="00730B1E">
        <w:rPr>
          <w:noProof/>
          <w:lang w:eastAsia="cs-CZ"/>
        </w:rPr>
        <w:drawing>
          <wp:inline distT="0" distB="0" distL="0" distR="0" wp14:anchorId="2207032F" wp14:editId="52F6AC59">
            <wp:extent cx="5029200" cy="3657600"/>
            <wp:effectExtent l="0" t="0" r="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239B56" w14:textId="77777777" w:rsidR="00A949F1" w:rsidRPr="00730B1E" w:rsidRDefault="00A949F1" w:rsidP="00A949F1">
      <w:pPr>
        <w:pStyle w:val="OdstavecASR"/>
      </w:pPr>
      <w:r w:rsidRPr="00730B1E">
        <w:lastRenderedPageBreak/>
        <w:t>Nakonec jsou délky řízení, stejně jako u jiných agend, zobrazeny v histogramu. Šířka intervalu je 50 dnů. Na rozdíl od jiných histogramů jsou zde vidět „zuby“. Tím jsou myšleny velké rozdíly mezi četností u intervalů, které leží vedle sebe. Ty plynou z malého množství pozorování a zvolené šířky intervalu.</w:t>
      </w:r>
    </w:p>
    <w:p w14:paraId="7C358938" w14:textId="77777777" w:rsidR="00A949F1" w:rsidRPr="00730B1E" w:rsidRDefault="00A949F1" w:rsidP="00A949F1">
      <w:pPr>
        <w:pStyle w:val="OdstavecASR"/>
      </w:pPr>
      <w:r w:rsidRPr="00730B1E">
        <w:t>Graf také velmi dobře dokládá rozdílnost agendy: mnoho věcí (asi 29 %) je vyřízeno velmi rychle, do 100 dnů. Na druhou stranu cca 30 % věcí je vyřízeno za více než 500 dnů a cca 3 % mají délku řízení delší než 2 000 dnů (cca 5,5 roku).</w:t>
      </w:r>
    </w:p>
    <w:p w14:paraId="742BE127" w14:textId="77777777" w:rsidR="00C32030" w:rsidRPr="00730B1E" w:rsidRDefault="00C32030" w:rsidP="00C32030">
      <w:pPr>
        <w:pStyle w:val="Nadpis3"/>
        <w:numPr>
          <w:ilvl w:val="2"/>
          <w:numId w:val="1"/>
        </w:numPr>
        <w:rPr>
          <w:color w:val="auto"/>
        </w:rPr>
      </w:pPr>
      <w:bookmarkStart w:id="942" w:name="_Toc109801376"/>
      <w:bookmarkStart w:id="943" w:name="_Toc169250841"/>
      <w:bookmarkStart w:id="944" w:name="_Toc174080877"/>
      <w:r w:rsidRPr="00730B1E">
        <w:rPr>
          <w:color w:val="auto"/>
        </w:rPr>
        <w:t>Vyřizování věcí</w:t>
      </w:r>
      <w:bookmarkEnd w:id="942"/>
      <w:bookmarkEnd w:id="943"/>
      <w:bookmarkEnd w:id="944"/>
    </w:p>
    <w:p w14:paraId="578F6496" w14:textId="5597C678" w:rsidR="00094700" w:rsidRPr="00730B1E" w:rsidRDefault="00094700" w:rsidP="00094700">
      <w:pPr>
        <w:pStyle w:val="Podnadpis"/>
        <w:numPr>
          <w:ilvl w:val="0"/>
          <w:numId w:val="0"/>
        </w:numPr>
        <w:rPr>
          <w:color w:val="auto"/>
        </w:rPr>
      </w:pPr>
      <w:bookmarkStart w:id="945" w:name="_Toc75952243"/>
      <w:bookmarkStart w:id="946" w:name="_Toc106106700"/>
      <w:bookmarkStart w:id="947" w:name="_Toc109802024"/>
      <w:bookmarkStart w:id="948" w:name="_Toc144104176"/>
      <w:bookmarkStart w:id="949" w:name="_Toc169250988"/>
      <w:bookmarkStart w:id="950" w:name="_Toc17408067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69</w:t>
      </w:r>
      <w:r w:rsidRPr="00730B1E">
        <w:rPr>
          <w:color w:val="auto"/>
        </w:rPr>
        <w:fldChar w:fldCharType="end"/>
      </w:r>
      <w:r w:rsidRPr="00730B1E">
        <w:rPr>
          <w:color w:val="auto"/>
        </w:rPr>
        <w:t xml:space="preserve">: KS – vyřizování prvostupňových trestních věcí v letech </w:t>
      </w:r>
      <w:bookmarkEnd w:id="945"/>
      <w:bookmarkEnd w:id="946"/>
      <w:bookmarkEnd w:id="947"/>
      <w:bookmarkEnd w:id="948"/>
      <w:r w:rsidRPr="00730B1E">
        <w:rPr>
          <w:color w:val="auto"/>
        </w:rPr>
        <w:t>2014–2023</w:t>
      </w:r>
      <w:bookmarkEnd w:id="949"/>
      <w:bookmarkEnd w:id="950"/>
    </w:p>
    <w:p w14:paraId="656AA2E2" w14:textId="4689747D" w:rsidR="00094700" w:rsidRPr="00730B1E" w:rsidRDefault="00094700" w:rsidP="00094700">
      <w:r w:rsidRPr="00730B1E">
        <w:rPr>
          <w:noProof/>
          <w:lang w:eastAsia="cs-CZ"/>
        </w:rPr>
        <w:drawing>
          <wp:inline distT="0" distB="0" distL="0" distR="0" wp14:anchorId="2246B129" wp14:editId="0D072BE4">
            <wp:extent cx="5038725" cy="3657600"/>
            <wp:effectExtent l="0" t="0" r="9525" b="0"/>
            <wp:docPr id="14" name="Obrázek 14">
              <a:extLst xmlns:a="http://schemas.openxmlformats.org/drawingml/2006/main">
                <a:ext uri="{FF2B5EF4-FFF2-40B4-BE49-F238E27FC236}">
                  <a16:creationId xmlns:a16="http://schemas.microsoft.com/office/drawing/2014/main" id="{0C1AC887-5576-9AE1-5392-8C1BD6A21D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a:extLst>
                        <a:ext uri="{FF2B5EF4-FFF2-40B4-BE49-F238E27FC236}">
                          <a16:creationId xmlns:a16="http://schemas.microsoft.com/office/drawing/2014/main" id="{0C1AC887-5576-9AE1-5392-8C1BD6A21D51}"/>
                        </a:ext>
                      </a:extLst>
                    </pic:cNvPr>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38725" cy="3657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7F551DD" w14:textId="77777777" w:rsidR="00094700" w:rsidRPr="00730B1E" w:rsidRDefault="00094700" w:rsidP="00094700"/>
    <w:p w14:paraId="0E545E00" w14:textId="1CA70CA6" w:rsidR="00A949F1" w:rsidRPr="00730B1E" w:rsidRDefault="00A949F1" w:rsidP="00A949F1">
      <w:pPr>
        <w:pStyle w:val="OdstavecASR"/>
      </w:pPr>
      <w:r w:rsidRPr="00730B1E">
        <w:t>Na grafu výše vidíme vývoj v počtu napadlých + obživlých, vyřízených a nevyřízených věcí.</w:t>
      </w:r>
    </w:p>
    <w:p w14:paraId="55A6E40A" w14:textId="2739D98C" w:rsidR="00A949F1" w:rsidRPr="00730B1E" w:rsidRDefault="00A949F1" w:rsidP="00A949F1">
      <w:pPr>
        <w:pStyle w:val="OdstavecASR"/>
      </w:pPr>
      <w:r w:rsidRPr="00730B1E">
        <w:t>Zatímco u okresních soudů je zřejmý jednoznačný dlouhodobý klesající trend (který se ovšem v posledních letech zastavil), u závažnějších trestných činů vyřizovaných krajskými soudy tomu tak není. Počet napadlých a vyřízených věcí se dlouhodobě pohybuje mezi 1 200 a 1 300 věcmi. V roce 2019 došlo k citelnému poklesu. V roce 2020 se počet příchozích věcí meziročně víceméně nezměnil. Mohlo by se tedy zdát, že na závažnou kriminalitu neměla pandemie COVID</w:t>
      </w:r>
      <w:r w:rsidRPr="00730B1E">
        <w:noBreakHyphen/>
        <w:t xml:space="preserve">19 vliv (na rozdíl od agendy okresních soudů, která zahrnuje méně závažnou kriminalitu). Nicméně v roce 2021 ke značnému poklesu v počtu příchozích věcí došlo. U mnohých ze závažných trestných činů totiž platí, že od spáchání trestného činu do podání obžaloby uplyne (na rozdíl od méně významné trestné činnosti řešené typicky ve zkráceném přípravném řízení) delší doba, a to i několik let. Je tedy možné, že v důsledku pandemie reálně došlo i k propadu závažné kriminality, který se ale u soudů projevil až o rok později. Této teorii nasvědčuje i fakt, že počet nových případů u krajských státních zastupitelství se snížil asi o 10 % právě v roce 2020. V roce 2022 opět došlo k nárůstu příchozích věcí a z minima v roce 2021 se počet věcí opět přehoupl přes 1100. K růstu </w:t>
      </w:r>
      <w:r w:rsidRPr="00730B1E">
        <w:lastRenderedPageBreak/>
        <w:t xml:space="preserve">došlo i v roce 2023 a počet příchozích věcí se tak přehoupl přes 1200. Soudy </w:t>
      </w:r>
      <w:r w:rsidR="000C76E6" w:rsidRPr="00730B1E">
        <w:t>nicméně</w:t>
      </w:r>
      <w:r w:rsidRPr="00730B1E">
        <w:t xml:space="preserve"> dokázaly s rostoucím počtem příchozích věcí v letech 2022 a 2023 více než dobře držet krok. Počet vyřízených věcí byl stále o něco větší než počet věcí příchozích. Z toho pak plyne mírný pokles v počtu nevyřízených věcí </w:t>
      </w:r>
      <w:r w:rsidR="000C76E6" w:rsidRPr="00730B1E">
        <w:t>– v</w:t>
      </w:r>
      <w:r w:rsidRPr="00730B1E">
        <w:t xml:space="preserve"> roce 2023 klesl pod 600 a byl tak nejmenší </w:t>
      </w:r>
      <w:r w:rsidR="00F3775C" w:rsidRPr="00730B1E">
        <w:t>ve sledovaném období od roku 2014.</w:t>
      </w:r>
    </w:p>
    <w:p w14:paraId="241D1116" w14:textId="50D05C58" w:rsidR="00A949F1" w:rsidRPr="00730B1E" w:rsidRDefault="00A949F1" w:rsidP="00A949F1">
      <w:pPr>
        <w:pStyle w:val="Podnadpis"/>
        <w:rPr>
          <w:color w:val="auto"/>
        </w:rPr>
      </w:pPr>
      <w:bookmarkStart w:id="951" w:name="_Toc75952359"/>
      <w:bookmarkStart w:id="952" w:name="_Toc106106815"/>
      <w:bookmarkStart w:id="953" w:name="_Toc109802138"/>
      <w:bookmarkStart w:id="954" w:name="_Toc144104296"/>
      <w:bookmarkStart w:id="955" w:name="_Toc169251110"/>
      <w:bookmarkStart w:id="956" w:name="_Toc174080796"/>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53</w:t>
      </w:r>
      <w:r w:rsidRPr="00730B1E">
        <w:rPr>
          <w:noProof/>
          <w:color w:val="auto"/>
        </w:rPr>
        <w:fldChar w:fldCharType="end"/>
      </w:r>
      <w:r w:rsidRPr="00730B1E">
        <w:rPr>
          <w:color w:val="auto"/>
        </w:rPr>
        <w:t>: KS – vyřizování prvostupňových trestních věcí dle soudů</w:t>
      </w:r>
      <w:bookmarkEnd w:id="951"/>
      <w:bookmarkEnd w:id="952"/>
      <w:bookmarkEnd w:id="953"/>
      <w:bookmarkEnd w:id="954"/>
      <w:r w:rsidR="00554BBA" w:rsidRPr="00730B1E">
        <w:rPr>
          <w:color w:val="auto"/>
        </w:rPr>
        <w:t>, 2023</w:t>
      </w:r>
      <w:bookmarkEnd w:id="955"/>
      <w:bookmarkEnd w:id="956"/>
    </w:p>
    <w:tbl>
      <w:tblPr>
        <w:tblW w:w="9140" w:type="dxa"/>
        <w:tblCellMar>
          <w:left w:w="70" w:type="dxa"/>
          <w:right w:w="70" w:type="dxa"/>
        </w:tblCellMar>
        <w:tblLook w:val="04A0" w:firstRow="1" w:lastRow="0" w:firstColumn="1" w:lastColumn="0" w:noHBand="0" w:noVBand="1"/>
      </w:tblPr>
      <w:tblGrid>
        <w:gridCol w:w="2020"/>
        <w:gridCol w:w="837"/>
        <w:gridCol w:w="1062"/>
        <w:gridCol w:w="868"/>
        <w:gridCol w:w="1062"/>
        <w:gridCol w:w="690"/>
        <w:gridCol w:w="1062"/>
        <w:gridCol w:w="1539"/>
      </w:tblGrid>
      <w:tr w:rsidR="00B64E96" w:rsidRPr="00730B1E" w14:paraId="556E0A17" w14:textId="77777777" w:rsidTr="00A949F1">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7A16EA8" w14:textId="715BA2CD" w:rsidR="00A949F1" w:rsidRPr="00730B1E" w:rsidRDefault="00E55E35" w:rsidP="00A949F1">
            <w:pPr>
              <w:spacing w:line="240" w:lineRule="auto"/>
              <w:jc w:val="center"/>
              <w:rPr>
                <w:rFonts w:eastAsia="Times New Roman"/>
                <w:b/>
                <w:bCs/>
                <w:szCs w:val="24"/>
                <w:lang w:eastAsia="cs-CZ"/>
              </w:rPr>
            </w:pPr>
            <w:r w:rsidRPr="00730B1E">
              <w:rPr>
                <w:rFonts w:eastAsia="Times New Roman"/>
                <w:b/>
                <w:bCs/>
                <w:szCs w:val="24"/>
                <w:lang w:eastAsia="cs-CZ"/>
              </w:rPr>
              <w:t>S</w:t>
            </w:r>
            <w:r w:rsidR="00A949F1" w:rsidRPr="00730B1E">
              <w:rPr>
                <w:rFonts w:eastAsia="Times New Roman"/>
                <w:b/>
                <w:bCs/>
                <w:szCs w:val="24"/>
                <w:lang w:eastAsia="cs-CZ"/>
              </w:rPr>
              <w:t>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14:paraId="171EFD79" w14:textId="77777777"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14:paraId="1AEEC7A7" w14:textId="77777777"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4E9E7341" w14:textId="77777777" w:rsidTr="00A949F1">
        <w:trPr>
          <w:trHeight w:val="330"/>
        </w:trPr>
        <w:tc>
          <w:tcPr>
            <w:tcW w:w="2020" w:type="dxa"/>
            <w:vMerge/>
            <w:tcBorders>
              <w:top w:val="double" w:sz="6" w:space="0" w:color="auto"/>
              <w:left w:val="nil"/>
              <w:bottom w:val="double" w:sz="6" w:space="0" w:color="000000"/>
              <w:right w:val="nil"/>
            </w:tcBorders>
            <w:vAlign w:val="center"/>
            <w:hideMark/>
          </w:tcPr>
          <w:p w14:paraId="7985E593" w14:textId="77777777" w:rsidR="00A949F1" w:rsidRPr="00730B1E" w:rsidRDefault="00A949F1" w:rsidP="00A949F1">
            <w:pPr>
              <w:spacing w:line="240" w:lineRule="auto"/>
              <w:jc w:val="left"/>
              <w:rPr>
                <w:rFonts w:eastAsia="Times New Roman"/>
                <w:b/>
                <w:bCs/>
                <w:szCs w:val="24"/>
                <w:lang w:eastAsia="cs-CZ"/>
              </w:rPr>
            </w:pPr>
          </w:p>
        </w:tc>
        <w:tc>
          <w:tcPr>
            <w:tcW w:w="1899" w:type="dxa"/>
            <w:gridSpan w:val="2"/>
            <w:tcBorders>
              <w:top w:val="nil"/>
              <w:left w:val="nil"/>
              <w:bottom w:val="double" w:sz="6" w:space="0" w:color="auto"/>
              <w:right w:val="nil"/>
            </w:tcBorders>
            <w:shd w:val="clear" w:color="auto" w:fill="auto"/>
            <w:noWrap/>
            <w:vAlign w:val="center"/>
            <w:hideMark/>
          </w:tcPr>
          <w:p w14:paraId="20C534B6" w14:textId="72F731B4"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93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883EAC8" w14:textId="77777777"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752" w:type="dxa"/>
            <w:gridSpan w:val="2"/>
            <w:tcBorders>
              <w:top w:val="nil"/>
              <w:left w:val="nil"/>
              <w:bottom w:val="double" w:sz="6" w:space="0" w:color="auto"/>
              <w:right w:val="single" w:sz="4" w:space="0" w:color="000000"/>
            </w:tcBorders>
            <w:shd w:val="clear" w:color="auto" w:fill="auto"/>
            <w:noWrap/>
            <w:vAlign w:val="center"/>
            <w:hideMark/>
          </w:tcPr>
          <w:p w14:paraId="07D2CB22" w14:textId="77777777"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14:paraId="3CC78DFA" w14:textId="77777777" w:rsidR="00A949F1" w:rsidRPr="00730B1E" w:rsidRDefault="00A949F1" w:rsidP="00A949F1">
            <w:pPr>
              <w:spacing w:line="240" w:lineRule="auto"/>
              <w:jc w:val="left"/>
              <w:rPr>
                <w:rFonts w:eastAsia="Times New Roman"/>
                <w:b/>
                <w:bCs/>
                <w:szCs w:val="24"/>
                <w:lang w:eastAsia="cs-CZ"/>
              </w:rPr>
            </w:pPr>
          </w:p>
        </w:tc>
      </w:tr>
      <w:tr w:rsidR="00B64E96" w:rsidRPr="00730B1E" w14:paraId="781BE5FA" w14:textId="77777777" w:rsidTr="00A949F1">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FB870BC" w14:textId="77777777" w:rsidR="00A949F1" w:rsidRPr="00730B1E" w:rsidRDefault="00A949F1" w:rsidP="00A949F1">
            <w:pPr>
              <w:spacing w:line="240" w:lineRule="auto"/>
              <w:jc w:val="left"/>
              <w:rPr>
                <w:rFonts w:eastAsia="Times New Roman"/>
                <w:szCs w:val="24"/>
                <w:lang w:eastAsia="cs-CZ"/>
              </w:rPr>
            </w:pPr>
            <w:r w:rsidRPr="00730B1E">
              <w:rPr>
                <w:rFonts w:eastAsia="Times New Roman"/>
                <w:szCs w:val="24"/>
                <w:lang w:eastAsia="cs-CZ"/>
              </w:rPr>
              <w:t>MS Praha</w:t>
            </w:r>
          </w:p>
        </w:tc>
        <w:tc>
          <w:tcPr>
            <w:tcW w:w="837" w:type="dxa"/>
            <w:tcBorders>
              <w:top w:val="single" w:sz="4" w:space="0" w:color="auto"/>
              <w:left w:val="nil"/>
              <w:bottom w:val="single" w:sz="4" w:space="0" w:color="auto"/>
              <w:right w:val="nil"/>
            </w:tcBorders>
            <w:shd w:val="clear" w:color="auto" w:fill="auto"/>
            <w:noWrap/>
            <w:vAlign w:val="bottom"/>
            <w:hideMark/>
          </w:tcPr>
          <w:p w14:paraId="51C9BA42"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284</w:t>
            </w:r>
          </w:p>
        </w:tc>
        <w:tc>
          <w:tcPr>
            <w:tcW w:w="1062" w:type="dxa"/>
            <w:tcBorders>
              <w:top w:val="single" w:sz="4" w:space="0" w:color="auto"/>
              <w:left w:val="nil"/>
              <w:bottom w:val="single" w:sz="4" w:space="0" w:color="auto"/>
              <w:right w:val="nil"/>
            </w:tcBorders>
            <w:shd w:val="clear" w:color="auto" w:fill="auto"/>
            <w:noWrap/>
            <w:vAlign w:val="center"/>
            <w:hideMark/>
          </w:tcPr>
          <w:p w14:paraId="42FB4746"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868" w:type="dxa"/>
            <w:tcBorders>
              <w:top w:val="single" w:sz="4" w:space="0" w:color="auto"/>
              <w:left w:val="single" w:sz="4" w:space="0" w:color="auto"/>
              <w:bottom w:val="single" w:sz="4" w:space="0" w:color="auto"/>
              <w:right w:val="nil"/>
            </w:tcBorders>
            <w:shd w:val="clear" w:color="auto" w:fill="auto"/>
            <w:noWrap/>
            <w:vAlign w:val="bottom"/>
            <w:hideMark/>
          </w:tcPr>
          <w:p w14:paraId="3CEA2557"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317</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14:paraId="7DA75D6F"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690" w:type="dxa"/>
            <w:tcBorders>
              <w:top w:val="single" w:sz="4" w:space="0" w:color="auto"/>
              <w:left w:val="nil"/>
              <w:bottom w:val="single" w:sz="4" w:space="0" w:color="auto"/>
              <w:right w:val="nil"/>
            </w:tcBorders>
            <w:shd w:val="clear" w:color="auto" w:fill="auto"/>
            <w:noWrap/>
            <w:vAlign w:val="bottom"/>
            <w:hideMark/>
          </w:tcPr>
          <w:p w14:paraId="18B85B92"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148</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14:paraId="739DA769"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1539" w:type="dxa"/>
            <w:tcBorders>
              <w:top w:val="nil"/>
              <w:left w:val="nil"/>
              <w:bottom w:val="single" w:sz="4" w:space="0" w:color="auto"/>
              <w:right w:val="nil"/>
            </w:tcBorders>
            <w:shd w:val="clear" w:color="auto" w:fill="auto"/>
            <w:noWrap/>
            <w:vAlign w:val="center"/>
            <w:hideMark/>
          </w:tcPr>
          <w:p w14:paraId="022C49E7" w14:textId="6EFAA78C"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111,6 %</w:t>
            </w:r>
          </w:p>
        </w:tc>
      </w:tr>
      <w:tr w:rsidR="00B64E96" w:rsidRPr="00730B1E" w14:paraId="4B8B2B31" w14:textId="77777777" w:rsidTr="00A949F1">
        <w:trPr>
          <w:trHeight w:val="315"/>
        </w:trPr>
        <w:tc>
          <w:tcPr>
            <w:tcW w:w="2020" w:type="dxa"/>
            <w:tcBorders>
              <w:top w:val="nil"/>
              <w:left w:val="nil"/>
              <w:bottom w:val="single" w:sz="4" w:space="0" w:color="auto"/>
              <w:right w:val="nil"/>
            </w:tcBorders>
            <w:shd w:val="clear" w:color="auto" w:fill="auto"/>
            <w:noWrap/>
            <w:vAlign w:val="bottom"/>
            <w:hideMark/>
          </w:tcPr>
          <w:p w14:paraId="61529777" w14:textId="77777777" w:rsidR="00A949F1" w:rsidRPr="00730B1E" w:rsidRDefault="00A949F1" w:rsidP="00A949F1">
            <w:pPr>
              <w:spacing w:line="240" w:lineRule="auto"/>
              <w:jc w:val="left"/>
              <w:rPr>
                <w:rFonts w:eastAsia="Times New Roman"/>
                <w:szCs w:val="24"/>
                <w:lang w:eastAsia="cs-CZ"/>
              </w:rPr>
            </w:pPr>
            <w:r w:rsidRPr="00730B1E">
              <w:rPr>
                <w:rFonts w:eastAsia="Times New Roman"/>
                <w:szCs w:val="24"/>
                <w:lang w:eastAsia="cs-CZ"/>
              </w:rPr>
              <w:t>KS Praha</w:t>
            </w:r>
          </w:p>
        </w:tc>
        <w:tc>
          <w:tcPr>
            <w:tcW w:w="837" w:type="dxa"/>
            <w:tcBorders>
              <w:top w:val="nil"/>
              <w:left w:val="nil"/>
              <w:bottom w:val="single" w:sz="4" w:space="0" w:color="auto"/>
              <w:right w:val="nil"/>
            </w:tcBorders>
            <w:shd w:val="clear" w:color="auto" w:fill="auto"/>
            <w:noWrap/>
            <w:vAlign w:val="bottom"/>
            <w:hideMark/>
          </w:tcPr>
          <w:p w14:paraId="38899383"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107</w:t>
            </w:r>
          </w:p>
        </w:tc>
        <w:tc>
          <w:tcPr>
            <w:tcW w:w="1062" w:type="dxa"/>
            <w:tcBorders>
              <w:top w:val="nil"/>
              <w:left w:val="nil"/>
              <w:bottom w:val="single" w:sz="4" w:space="0" w:color="auto"/>
              <w:right w:val="nil"/>
            </w:tcBorders>
            <w:shd w:val="clear" w:color="auto" w:fill="auto"/>
            <w:noWrap/>
            <w:vAlign w:val="center"/>
            <w:hideMark/>
          </w:tcPr>
          <w:p w14:paraId="10ECD5EB"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+39 %  </w:t>
            </w:r>
          </w:p>
        </w:tc>
        <w:tc>
          <w:tcPr>
            <w:tcW w:w="868" w:type="dxa"/>
            <w:tcBorders>
              <w:top w:val="nil"/>
              <w:left w:val="single" w:sz="4" w:space="0" w:color="auto"/>
              <w:bottom w:val="single" w:sz="4" w:space="0" w:color="auto"/>
              <w:right w:val="nil"/>
            </w:tcBorders>
            <w:shd w:val="clear" w:color="auto" w:fill="auto"/>
            <w:noWrap/>
            <w:vAlign w:val="bottom"/>
            <w:hideMark/>
          </w:tcPr>
          <w:p w14:paraId="68D75D3A"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109</w:t>
            </w:r>
          </w:p>
        </w:tc>
        <w:tc>
          <w:tcPr>
            <w:tcW w:w="1062" w:type="dxa"/>
            <w:tcBorders>
              <w:top w:val="nil"/>
              <w:left w:val="nil"/>
              <w:bottom w:val="single" w:sz="4" w:space="0" w:color="auto"/>
              <w:right w:val="single" w:sz="4" w:space="0" w:color="auto"/>
            </w:tcBorders>
            <w:shd w:val="clear" w:color="auto" w:fill="auto"/>
            <w:noWrap/>
            <w:vAlign w:val="center"/>
            <w:hideMark/>
          </w:tcPr>
          <w:p w14:paraId="29207781"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+42 %  </w:t>
            </w:r>
          </w:p>
        </w:tc>
        <w:tc>
          <w:tcPr>
            <w:tcW w:w="690" w:type="dxa"/>
            <w:tcBorders>
              <w:top w:val="nil"/>
              <w:left w:val="nil"/>
              <w:bottom w:val="single" w:sz="4" w:space="0" w:color="auto"/>
              <w:right w:val="nil"/>
            </w:tcBorders>
            <w:shd w:val="clear" w:color="auto" w:fill="auto"/>
            <w:noWrap/>
            <w:vAlign w:val="bottom"/>
            <w:hideMark/>
          </w:tcPr>
          <w:p w14:paraId="5D9545E3"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28</w:t>
            </w:r>
          </w:p>
        </w:tc>
        <w:tc>
          <w:tcPr>
            <w:tcW w:w="1062" w:type="dxa"/>
            <w:tcBorders>
              <w:top w:val="nil"/>
              <w:left w:val="nil"/>
              <w:bottom w:val="single" w:sz="4" w:space="0" w:color="auto"/>
              <w:right w:val="single" w:sz="4" w:space="0" w:color="auto"/>
            </w:tcBorders>
            <w:shd w:val="clear" w:color="auto" w:fill="auto"/>
            <w:noWrap/>
            <w:vAlign w:val="center"/>
            <w:hideMark/>
          </w:tcPr>
          <w:p w14:paraId="42A6EDE1"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1539" w:type="dxa"/>
            <w:tcBorders>
              <w:top w:val="nil"/>
              <w:left w:val="nil"/>
              <w:bottom w:val="single" w:sz="4" w:space="0" w:color="auto"/>
              <w:right w:val="nil"/>
            </w:tcBorders>
            <w:shd w:val="clear" w:color="auto" w:fill="auto"/>
            <w:noWrap/>
            <w:vAlign w:val="center"/>
            <w:hideMark/>
          </w:tcPr>
          <w:p w14:paraId="1900B778" w14:textId="47FE6560"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101,9 %</w:t>
            </w:r>
          </w:p>
        </w:tc>
      </w:tr>
      <w:tr w:rsidR="00B64E96" w:rsidRPr="00730B1E" w14:paraId="2A338A99" w14:textId="77777777" w:rsidTr="00A949F1">
        <w:trPr>
          <w:trHeight w:val="315"/>
        </w:trPr>
        <w:tc>
          <w:tcPr>
            <w:tcW w:w="2020" w:type="dxa"/>
            <w:tcBorders>
              <w:top w:val="nil"/>
              <w:left w:val="nil"/>
              <w:bottom w:val="single" w:sz="4" w:space="0" w:color="auto"/>
              <w:right w:val="nil"/>
            </w:tcBorders>
            <w:shd w:val="clear" w:color="auto" w:fill="auto"/>
            <w:noWrap/>
            <w:vAlign w:val="bottom"/>
            <w:hideMark/>
          </w:tcPr>
          <w:p w14:paraId="3504E446" w14:textId="77777777" w:rsidR="00A949F1" w:rsidRPr="00730B1E" w:rsidRDefault="00A949F1" w:rsidP="00A949F1">
            <w:pPr>
              <w:spacing w:line="240" w:lineRule="auto"/>
              <w:jc w:val="left"/>
              <w:rPr>
                <w:rFonts w:eastAsia="Times New Roman"/>
                <w:szCs w:val="24"/>
                <w:lang w:eastAsia="cs-CZ"/>
              </w:rPr>
            </w:pPr>
            <w:r w:rsidRPr="00730B1E">
              <w:rPr>
                <w:rFonts w:eastAsia="Times New Roman"/>
                <w:szCs w:val="24"/>
                <w:lang w:eastAsia="cs-CZ"/>
              </w:rPr>
              <w:t>KS Č. Budějovice</w:t>
            </w:r>
          </w:p>
        </w:tc>
        <w:tc>
          <w:tcPr>
            <w:tcW w:w="837" w:type="dxa"/>
            <w:tcBorders>
              <w:top w:val="nil"/>
              <w:left w:val="nil"/>
              <w:bottom w:val="single" w:sz="4" w:space="0" w:color="auto"/>
              <w:right w:val="nil"/>
            </w:tcBorders>
            <w:shd w:val="clear" w:color="auto" w:fill="auto"/>
            <w:noWrap/>
            <w:vAlign w:val="bottom"/>
            <w:hideMark/>
          </w:tcPr>
          <w:p w14:paraId="17B6135F"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34</w:t>
            </w:r>
          </w:p>
        </w:tc>
        <w:tc>
          <w:tcPr>
            <w:tcW w:w="1062" w:type="dxa"/>
            <w:tcBorders>
              <w:top w:val="nil"/>
              <w:left w:val="nil"/>
              <w:bottom w:val="single" w:sz="4" w:space="0" w:color="auto"/>
              <w:right w:val="nil"/>
            </w:tcBorders>
            <w:shd w:val="clear" w:color="auto" w:fill="auto"/>
            <w:noWrap/>
            <w:vAlign w:val="center"/>
            <w:hideMark/>
          </w:tcPr>
          <w:p w14:paraId="3F11D0FE"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-42 %  </w:t>
            </w:r>
          </w:p>
        </w:tc>
        <w:tc>
          <w:tcPr>
            <w:tcW w:w="868" w:type="dxa"/>
            <w:tcBorders>
              <w:top w:val="nil"/>
              <w:left w:val="single" w:sz="4" w:space="0" w:color="auto"/>
              <w:bottom w:val="single" w:sz="4" w:space="0" w:color="auto"/>
              <w:right w:val="nil"/>
            </w:tcBorders>
            <w:shd w:val="clear" w:color="auto" w:fill="auto"/>
            <w:noWrap/>
            <w:vAlign w:val="bottom"/>
            <w:hideMark/>
          </w:tcPr>
          <w:p w14:paraId="298B83EE"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51</w:t>
            </w:r>
          </w:p>
        </w:tc>
        <w:tc>
          <w:tcPr>
            <w:tcW w:w="1062" w:type="dxa"/>
            <w:tcBorders>
              <w:top w:val="nil"/>
              <w:left w:val="nil"/>
              <w:bottom w:val="single" w:sz="4" w:space="0" w:color="auto"/>
              <w:right w:val="single" w:sz="4" w:space="0" w:color="auto"/>
            </w:tcBorders>
            <w:shd w:val="clear" w:color="auto" w:fill="auto"/>
            <w:noWrap/>
            <w:vAlign w:val="center"/>
            <w:hideMark/>
          </w:tcPr>
          <w:p w14:paraId="68510B43"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690" w:type="dxa"/>
            <w:tcBorders>
              <w:top w:val="nil"/>
              <w:left w:val="nil"/>
              <w:bottom w:val="single" w:sz="4" w:space="0" w:color="auto"/>
              <w:right w:val="nil"/>
            </w:tcBorders>
            <w:shd w:val="clear" w:color="auto" w:fill="auto"/>
            <w:noWrap/>
            <w:vAlign w:val="bottom"/>
            <w:hideMark/>
          </w:tcPr>
          <w:p w14:paraId="082A0653"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21</w:t>
            </w:r>
          </w:p>
        </w:tc>
        <w:tc>
          <w:tcPr>
            <w:tcW w:w="1062" w:type="dxa"/>
            <w:tcBorders>
              <w:top w:val="nil"/>
              <w:left w:val="nil"/>
              <w:bottom w:val="single" w:sz="4" w:space="0" w:color="auto"/>
              <w:right w:val="single" w:sz="4" w:space="0" w:color="auto"/>
            </w:tcBorders>
            <w:shd w:val="clear" w:color="auto" w:fill="auto"/>
            <w:noWrap/>
            <w:vAlign w:val="center"/>
            <w:hideMark/>
          </w:tcPr>
          <w:p w14:paraId="4F4150BA"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-45 %  </w:t>
            </w:r>
          </w:p>
        </w:tc>
        <w:tc>
          <w:tcPr>
            <w:tcW w:w="1539" w:type="dxa"/>
            <w:tcBorders>
              <w:top w:val="nil"/>
              <w:left w:val="nil"/>
              <w:bottom w:val="single" w:sz="4" w:space="0" w:color="auto"/>
              <w:right w:val="nil"/>
            </w:tcBorders>
            <w:shd w:val="clear" w:color="auto" w:fill="auto"/>
            <w:noWrap/>
            <w:vAlign w:val="center"/>
            <w:hideMark/>
          </w:tcPr>
          <w:p w14:paraId="17C2E0B7" w14:textId="2EF051ED"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150,0 %</w:t>
            </w:r>
          </w:p>
        </w:tc>
      </w:tr>
      <w:tr w:rsidR="00B64E96" w:rsidRPr="00730B1E" w14:paraId="456FB2D0" w14:textId="77777777" w:rsidTr="00A949F1">
        <w:trPr>
          <w:trHeight w:val="315"/>
        </w:trPr>
        <w:tc>
          <w:tcPr>
            <w:tcW w:w="2020" w:type="dxa"/>
            <w:tcBorders>
              <w:top w:val="nil"/>
              <w:left w:val="nil"/>
              <w:bottom w:val="single" w:sz="4" w:space="0" w:color="auto"/>
              <w:right w:val="nil"/>
            </w:tcBorders>
            <w:shd w:val="clear" w:color="auto" w:fill="auto"/>
            <w:noWrap/>
            <w:vAlign w:val="bottom"/>
            <w:hideMark/>
          </w:tcPr>
          <w:p w14:paraId="1658D950" w14:textId="77777777" w:rsidR="00A949F1" w:rsidRPr="00730B1E" w:rsidRDefault="00A949F1" w:rsidP="00A949F1">
            <w:pPr>
              <w:spacing w:line="240" w:lineRule="auto"/>
              <w:jc w:val="left"/>
              <w:rPr>
                <w:rFonts w:eastAsia="Times New Roman"/>
                <w:szCs w:val="24"/>
                <w:lang w:eastAsia="cs-CZ"/>
              </w:rPr>
            </w:pPr>
            <w:r w:rsidRPr="00730B1E">
              <w:rPr>
                <w:rFonts w:eastAsia="Times New Roman"/>
                <w:szCs w:val="24"/>
                <w:lang w:eastAsia="cs-CZ"/>
              </w:rPr>
              <w:t>KS Plzeň</w:t>
            </w:r>
          </w:p>
        </w:tc>
        <w:tc>
          <w:tcPr>
            <w:tcW w:w="837" w:type="dxa"/>
            <w:tcBorders>
              <w:top w:val="nil"/>
              <w:left w:val="nil"/>
              <w:bottom w:val="single" w:sz="4" w:space="0" w:color="auto"/>
              <w:right w:val="nil"/>
            </w:tcBorders>
            <w:shd w:val="clear" w:color="auto" w:fill="auto"/>
            <w:noWrap/>
            <w:vAlign w:val="bottom"/>
            <w:hideMark/>
          </w:tcPr>
          <w:p w14:paraId="6995A1B6"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109</w:t>
            </w:r>
          </w:p>
        </w:tc>
        <w:tc>
          <w:tcPr>
            <w:tcW w:w="1062" w:type="dxa"/>
            <w:tcBorders>
              <w:top w:val="nil"/>
              <w:left w:val="nil"/>
              <w:bottom w:val="single" w:sz="4" w:space="0" w:color="auto"/>
              <w:right w:val="nil"/>
            </w:tcBorders>
            <w:shd w:val="clear" w:color="auto" w:fill="auto"/>
            <w:noWrap/>
            <w:vAlign w:val="center"/>
            <w:hideMark/>
          </w:tcPr>
          <w:p w14:paraId="2C69A02E"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868" w:type="dxa"/>
            <w:tcBorders>
              <w:top w:val="nil"/>
              <w:left w:val="single" w:sz="4" w:space="0" w:color="auto"/>
              <w:bottom w:val="single" w:sz="4" w:space="0" w:color="auto"/>
              <w:right w:val="nil"/>
            </w:tcBorders>
            <w:shd w:val="clear" w:color="auto" w:fill="auto"/>
            <w:noWrap/>
            <w:vAlign w:val="bottom"/>
            <w:hideMark/>
          </w:tcPr>
          <w:p w14:paraId="6B32CF1D"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110</w:t>
            </w:r>
          </w:p>
        </w:tc>
        <w:tc>
          <w:tcPr>
            <w:tcW w:w="1062" w:type="dxa"/>
            <w:tcBorders>
              <w:top w:val="nil"/>
              <w:left w:val="nil"/>
              <w:bottom w:val="single" w:sz="4" w:space="0" w:color="auto"/>
              <w:right w:val="single" w:sz="4" w:space="0" w:color="auto"/>
            </w:tcBorders>
            <w:shd w:val="clear" w:color="auto" w:fill="auto"/>
            <w:noWrap/>
            <w:vAlign w:val="center"/>
            <w:hideMark/>
          </w:tcPr>
          <w:p w14:paraId="1740738A"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690" w:type="dxa"/>
            <w:tcBorders>
              <w:top w:val="nil"/>
              <w:left w:val="nil"/>
              <w:bottom w:val="single" w:sz="4" w:space="0" w:color="auto"/>
              <w:right w:val="nil"/>
            </w:tcBorders>
            <w:shd w:val="clear" w:color="auto" w:fill="auto"/>
            <w:noWrap/>
            <w:vAlign w:val="bottom"/>
            <w:hideMark/>
          </w:tcPr>
          <w:p w14:paraId="1E9D2D1B"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55</w:t>
            </w:r>
          </w:p>
        </w:tc>
        <w:tc>
          <w:tcPr>
            <w:tcW w:w="1062" w:type="dxa"/>
            <w:tcBorders>
              <w:top w:val="nil"/>
              <w:left w:val="nil"/>
              <w:bottom w:val="single" w:sz="4" w:space="0" w:color="auto"/>
              <w:right w:val="single" w:sz="4" w:space="0" w:color="auto"/>
            </w:tcBorders>
            <w:shd w:val="clear" w:color="auto" w:fill="auto"/>
            <w:noWrap/>
            <w:vAlign w:val="center"/>
            <w:hideMark/>
          </w:tcPr>
          <w:p w14:paraId="0ED83296"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539" w:type="dxa"/>
            <w:tcBorders>
              <w:top w:val="nil"/>
              <w:left w:val="nil"/>
              <w:bottom w:val="single" w:sz="4" w:space="0" w:color="auto"/>
              <w:right w:val="nil"/>
            </w:tcBorders>
            <w:shd w:val="clear" w:color="auto" w:fill="auto"/>
            <w:noWrap/>
            <w:vAlign w:val="center"/>
            <w:hideMark/>
          </w:tcPr>
          <w:p w14:paraId="17196CCD" w14:textId="5A97FE33"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100,9 %</w:t>
            </w:r>
          </w:p>
        </w:tc>
      </w:tr>
      <w:tr w:rsidR="00B64E96" w:rsidRPr="00730B1E" w14:paraId="7B433B79" w14:textId="77777777" w:rsidTr="00A949F1">
        <w:trPr>
          <w:trHeight w:val="315"/>
        </w:trPr>
        <w:tc>
          <w:tcPr>
            <w:tcW w:w="2020" w:type="dxa"/>
            <w:tcBorders>
              <w:top w:val="nil"/>
              <w:left w:val="nil"/>
              <w:bottom w:val="single" w:sz="4" w:space="0" w:color="auto"/>
              <w:right w:val="nil"/>
            </w:tcBorders>
            <w:shd w:val="clear" w:color="auto" w:fill="auto"/>
            <w:noWrap/>
            <w:vAlign w:val="bottom"/>
            <w:hideMark/>
          </w:tcPr>
          <w:p w14:paraId="692BB432" w14:textId="77777777" w:rsidR="00A949F1" w:rsidRPr="00730B1E" w:rsidRDefault="00A949F1" w:rsidP="00A949F1">
            <w:pPr>
              <w:spacing w:line="240" w:lineRule="auto"/>
              <w:jc w:val="left"/>
              <w:rPr>
                <w:rFonts w:eastAsia="Times New Roman"/>
                <w:szCs w:val="24"/>
                <w:lang w:eastAsia="cs-CZ"/>
              </w:rPr>
            </w:pPr>
            <w:r w:rsidRPr="00730B1E">
              <w:rPr>
                <w:rFonts w:eastAsia="Times New Roman"/>
                <w:szCs w:val="24"/>
                <w:lang w:eastAsia="cs-CZ"/>
              </w:rPr>
              <w:t>KS Ústí n. Labem</w:t>
            </w:r>
          </w:p>
        </w:tc>
        <w:tc>
          <w:tcPr>
            <w:tcW w:w="837" w:type="dxa"/>
            <w:tcBorders>
              <w:top w:val="nil"/>
              <w:left w:val="nil"/>
              <w:bottom w:val="single" w:sz="4" w:space="0" w:color="auto"/>
              <w:right w:val="nil"/>
            </w:tcBorders>
            <w:shd w:val="clear" w:color="auto" w:fill="auto"/>
            <w:noWrap/>
            <w:vAlign w:val="bottom"/>
            <w:hideMark/>
          </w:tcPr>
          <w:p w14:paraId="4CACCBD0"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172</w:t>
            </w:r>
          </w:p>
        </w:tc>
        <w:tc>
          <w:tcPr>
            <w:tcW w:w="1062" w:type="dxa"/>
            <w:tcBorders>
              <w:top w:val="nil"/>
              <w:left w:val="nil"/>
              <w:bottom w:val="single" w:sz="4" w:space="0" w:color="auto"/>
              <w:right w:val="nil"/>
            </w:tcBorders>
            <w:shd w:val="clear" w:color="auto" w:fill="auto"/>
            <w:noWrap/>
            <w:vAlign w:val="center"/>
            <w:hideMark/>
          </w:tcPr>
          <w:p w14:paraId="1C13C8C0"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868" w:type="dxa"/>
            <w:tcBorders>
              <w:top w:val="nil"/>
              <w:left w:val="single" w:sz="4" w:space="0" w:color="auto"/>
              <w:bottom w:val="single" w:sz="4" w:space="0" w:color="auto"/>
              <w:right w:val="nil"/>
            </w:tcBorders>
            <w:shd w:val="clear" w:color="auto" w:fill="auto"/>
            <w:noWrap/>
            <w:vAlign w:val="bottom"/>
            <w:hideMark/>
          </w:tcPr>
          <w:p w14:paraId="3E092D97"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171</w:t>
            </w:r>
          </w:p>
        </w:tc>
        <w:tc>
          <w:tcPr>
            <w:tcW w:w="1062" w:type="dxa"/>
            <w:tcBorders>
              <w:top w:val="nil"/>
              <w:left w:val="nil"/>
              <w:bottom w:val="single" w:sz="4" w:space="0" w:color="auto"/>
              <w:right w:val="single" w:sz="4" w:space="0" w:color="auto"/>
            </w:tcBorders>
            <w:shd w:val="clear" w:color="auto" w:fill="auto"/>
            <w:noWrap/>
            <w:vAlign w:val="center"/>
            <w:hideMark/>
          </w:tcPr>
          <w:p w14:paraId="0126CA68"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690" w:type="dxa"/>
            <w:tcBorders>
              <w:top w:val="nil"/>
              <w:left w:val="nil"/>
              <w:bottom w:val="single" w:sz="4" w:space="0" w:color="auto"/>
              <w:right w:val="nil"/>
            </w:tcBorders>
            <w:shd w:val="clear" w:color="auto" w:fill="auto"/>
            <w:noWrap/>
            <w:vAlign w:val="bottom"/>
            <w:hideMark/>
          </w:tcPr>
          <w:p w14:paraId="482FB55F"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105</w:t>
            </w:r>
          </w:p>
        </w:tc>
        <w:tc>
          <w:tcPr>
            <w:tcW w:w="1062" w:type="dxa"/>
            <w:tcBorders>
              <w:top w:val="nil"/>
              <w:left w:val="nil"/>
              <w:bottom w:val="single" w:sz="4" w:space="0" w:color="auto"/>
              <w:right w:val="single" w:sz="4" w:space="0" w:color="auto"/>
            </w:tcBorders>
            <w:shd w:val="clear" w:color="auto" w:fill="auto"/>
            <w:noWrap/>
            <w:vAlign w:val="center"/>
            <w:hideMark/>
          </w:tcPr>
          <w:p w14:paraId="694DE330"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539" w:type="dxa"/>
            <w:tcBorders>
              <w:top w:val="nil"/>
              <w:left w:val="nil"/>
              <w:bottom w:val="single" w:sz="4" w:space="0" w:color="auto"/>
              <w:right w:val="nil"/>
            </w:tcBorders>
            <w:shd w:val="clear" w:color="auto" w:fill="auto"/>
            <w:noWrap/>
            <w:vAlign w:val="center"/>
            <w:hideMark/>
          </w:tcPr>
          <w:p w14:paraId="6C11A065" w14:textId="59C351CA"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99,4 %</w:t>
            </w:r>
          </w:p>
        </w:tc>
      </w:tr>
      <w:tr w:rsidR="00B64E96" w:rsidRPr="00730B1E" w14:paraId="3BAAB1FE" w14:textId="77777777" w:rsidTr="00A949F1">
        <w:trPr>
          <w:trHeight w:val="315"/>
        </w:trPr>
        <w:tc>
          <w:tcPr>
            <w:tcW w:w="2020" w:type="dxa"/>
            <w:tcBorders>
              <w:top w:val="nil"/>
              <w:left w:val="nil"/>
              <w:bottom w:val="single" w:sz="4" w:space="0" w:color="auto"/>
              <w:right w:val="nil"/>
            </w:tcBorders>
            <w:shd w:val="clear" w:color="auto" w:fill="auto"/>
            <w:noWrap/>
            <w:vAlign w:val="bottom"/>
            <w:hideMark/>
          </w:tcPr>
          <w:p w14:paraId="5D4D89AA" w14:textId="77777777" w:rsidR="00A949F1" w:rsidRPr="00730B1E" w:rsidRDefault="00A949F1" w:rsidP="00A949F1">
            <w:pPr>
              <w:spacing w:line="240" w:lineRule="auto"/>
              <w:jc w:val="left"/>
              <w:rPr>
                <w:rFonts w:eastAsia="Times New Roman"/>
                <w:szCs w:val="24"/>
                <w:lang w:eastAsia="cs-CZ"/>
              </w:rPr>
            </w:pPr>
            <w:r w:rsidRPr="00730B1E">
              <w:rPr>
                <w:rFonts w:eastAsia="Times New Roman"/>
                <w:szCs w:val="24"/>
                <w:lang w:eastAsia="cs-CZ"/>
              </w:rPr>
              <w:t>KS Hr. Králové</w:t>
            </w:r>
          </w:p>
        </w:tc>
        <w:tc>
          <w:tcPr>
            <w:tcW w:w="837" w:type="dxa"/>
            <w:tcBorders>
              <w:top w:val="nil"/>
              <w:left w:val="nil"/>
              <w:bottom w:val="single" w:sz="4" w:space="0" w:color="auto"/>
              <w:right w:val="nil"/>
            </w:tcBorders>
            <w:shd w:val="clear" w:color="auto" w:fill="auto"/>
            <w:noWrap/>
            <w:vAlign w:val="bottom"/>
            <w:hideMark/>
          </w:tcPr>
          <w:p w14:paraId="02A73094"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84</w:t>
            </w:r>
          </w:p>
        </w:tc>
        <w:tc>
          <w:tcPr>
            <w:tcW w:w="1062" w:type="dxa"/>
            <w:tcBorders>
              <w:top w:val="nil"/>
              <w:left w:val="nil"/>
              <w:bottom w:val="single" w:sz="4" w:space="0" w:color="auto"/>
              <w:right w:val="nil"/>
            </w:tcBorders>
            <w:shd w:val="clear" w:color="auto" w:fill="auto"/>
            <w:noWrap/>
            <w:vAlign w:val="center"/>
            <w:hideMark/>
          </w:tcPr>
          <w:p w14:paraId="62FF4DDE"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868" w:type="dxa"/>
            <w:tcBorders>
              <w:top w:val="nil"/>
              <w:left w:val="single" w:sz="4" w:space="0" w:color="auto"/>
              <w:bottom w:val="single" w:sz="4" w:space="0" w:color="auto"/>
              <w:right w:val="nil"/>
            </w:tcBorders>
            <w:shd w:val="clear" w:color="auto" w:fill="auto"/>
            <w:noWrap/>
            <w:vAlign w:val="bottom"/>
            <w:hideMark/>
          </w:tcPr>
          <w:p w14:paraId="775B2F04"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86</w:t>
            </w:r>
          </w:p>
        </w:tc>
        <w:tc>
          <w:tcPr>
            <w:tcW w:w="1062" w:type="dxa"/>
            <w:tcBorders>
              <w:top w:val="nil"/>
              <w:left w:val="nil"/>
              <w:bottom w:val="single" w:sz="4" w:space="0" w:color="auto"/>
              <w:right w:val="single" w:sz="4" w:space="0" w:color="auto"/>
            </w:tcBorders>
            <w:shd w:val="clear" w:color="auto" w:fill="auto"/>
            <w:noWrap/>
            <w:vAlign w:val="center"/>
            <w:hideMark/>
          </w:tcPr>
          <w:p w14:paraId="0027967B"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690" w:type="dxa"/>
            <w:tcBorders>
              <w:top w:val="nil"/>
              <w:left w:val="nil"/>
              <w:bottom w:val="single" w:sz="4" w:space="0" w:color="auto"/>
              <w:right w:val="nil"/>
            </w:tcBorders>
            <w:shd w:val="clear" w:color="auto" w:fill="auto"/>
            <w:noWrap/>
            <w:vAlign w:val="bottom"/>
            <w:hideMark/>
          </w:tcPr>
          <w:p w14:paraId="09C4A110"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22</w:t>
            </w:r>
          </w:p>
        </w:tc>
        <w:tc>
          <w:tcPr>
            <w:tcW w:w="1062" w:type="dxa"/>
            <w:tcBorders>
              <w:top w:val="nil"/>
              <w:left w:val="nil"/>
              <w:bottom w:val="single" w:sz="4" w:space="0" w:color="auto"/>
              <w:right w:val="single" w:sz="4" w:space="0" w:color="auto"/>
            </w:tcBorders>
            <w:shd w:val="clear" w:color="auto" w:fill="auto"/>
            <w:noWrap/>
            <w:vAlign w:val="center"/>
            <w:hideMark/>
          </w:tcPr>
          <w:p w14:paraId="57639504"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539" w:type="dxa"/>
            <w:tcBorders>
              <w:top w:val="nil"/>
              <w:left w:val="nil"/>
              <w:bottom w:val="single" w:sz="4" w:space="0" w:color="auto"/>
              <w:right w:val="nil"/>
            </w:tcBorders>
            <w:shd w:val="clear" w:color="auto" w:fill="auto"/>
            <w:noWrap/>
            <w:vAlign w:val="center"/>
            <w:hideMark/>
          </w:tcPr>
          <w:p w14:paraId="22589722" w14:textId="7CF15355"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102,4 %</w:t>
            </w:r>
          </w:p>
        </w:tc>
      </w:tr>
      <w:tr w:rsidR="00B64E96" w:rsidRPr="00730B1E" w14:paraId="48EFF002" w14:textId="77777777" w:rsidTr="00A949F1">
        <w:trPr>
          <w:trHeight w:val="315"/>
        </w:trPr>
        <w:tc>
          <w:tcPr>
            <w:tcW w:w="2020" w:type="dxa"/>
            <w:tcBorders>
              <w:top w:val="nil"/>
              <w:left w:val="nil"/>
              <w:bottom w:val="single" w:sz="4" w:space="0" w:color="auto"/>
              <w:right w:val="nil"/>
            </w:tcBorders>
            <w:shd w:val="clear" w:color="auto" w:fill="auto"/>
            <w:noWrap/>
            <w:vAlign w:val="bottom"/>
            <w:hideMark/>
          </w:tcPr>
          <w:p w14:paraId="1E7B316C" w14:textId="77777777" w:rsidR="00A949F1" w:rsidRPr="00730B1E" w:rsidRDefault="00A949F1" w:rsidP="00A949F1">
            <w:pPr>
              <w:spacing w:line="240" w:lineRule="auto"/>
              <w:jc w:val="left"/>
              <w:rPr>
                <w:rFonts w:eastAsia="Times New Roman"/>
                <w:szCs w:val="24"/>
                <w:lang w:eastAsia="cs-CZ"/>
              </w:rPr>
            </w:pPr>
            <w:r w:rsidRPr="00730B1E">
              <w:rPr>
                <w:rFonts w:eastAsia="Times New Roman"/>
                <w:szCs w:val="24"/>
                <w:lang w:eastAsia="cs-CZ"/>
              </w:rPr>
              <w:t>KS Brno</w:t>
            </w:r>
          </w:p>
        </w:tc>
        <w:tc>
          <w:tcPr>
            <w:tcW w:w="837" w:type="dxa"/>
            <w:tcBorders>
              <w:top w:val="nil"/>
              <w:left w:val="nil"/>
              <w:bottom w:val="single" w:sz="4" w:space="0" w:color="auto"/>
              <w:right w:val="nil"/>
            </w:tcBorders>
            <w:shd w:val="clear" w:color="auto" w:fill="auto"/>
            <w:noWrap/>
            <w:vAlign w:val="bottom"/>
            <w:hideMark/>
          </w:tcPr>
          <w:p w14:paraId="7723AF08"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201</w:t>
            </w:r>
          </w:p>
        </w:tc>
        <w:tc>
          <w:tcPr>
            <w:tcW w:w="1062" w:type="dxa"/>
            <w:tcBorders>
              <w:top w:val="nil"/>
              <w:left w:val="nil"/>
              <w:bottom w:val="single" w:sz="4" w:space="0" w:color="auto"/>
              <w:right w:val="nil"/>
            </w:tcBorders>
            <w:shd w:val="clear" w:color="auto" w:fill="auto"/>
            <w:noWrap/>
            <w:vAlign w:val="center"/>
            <w:hideMark/>
          </w:tcPr>
          <w:p w14:paraId="2EFECBF4"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868" w:type="dxa"/>
            <w:tcBorders>
              <w:top w:val="nil"/>
              <w:left w:val="single" w:sz="4" w:space="0" w:color="auto"/>
              <w:bottom w:val="single" w:sz="4" w:space="0" w:color="auto"/>
              <w:right w:val="nil"/>
            </w:tcBorders>
            <w:shd w:val="clear" w:color="auto" w:fill="auto"/>
            <w:noWrap/>
            <w:vAlign w:val="bottom"/>
            <w:hideMark/>
          </w:tcPr>
          <w:p w14:paraId="7FE327D4"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203</w:t>
            </w:r>
          </w:p>
        </w:tc>
        <w:tc>
          <w:tcPr>
            <w:tcW w:w="1062" w:type="dxa"/>
            <w:tcBorders>
              <w:top w:val="nil"/>
              <w:left w:val="nil"/>
              <w:bottom w:val="single" w:sz="4" w:space="0" w:color="auto"/>
              <w:right w:val="single" w:sz="4" w:space="0" w:color="auto"/>
            </w:tcBorders>
            <w:shd w:val="clear" w:color="auto" w:fill="auto"/>
            <w:noWrap/>
            <w:vAlign w:val="center"/>
            <w:hideMark/>
          </w:tcPr>
          <w:p w14:paraId="487BE833"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690" w:type="dxa"/>
            <w:tcBorders>
              <w:top w:val="nil"/>
              <w:left w:val="nil"/>
              <w:bottom w:val="single" w:sz="4" w:space="0" w:color="auto"/>
              <w:right w:val="nil"/>
            </w:tcBorders>
            <w:shd w:val="clear" w:color="auto" w:fill="auto"/>
            <w:noWrap/>
            <w:vAlign w:val="bottom"/>
            <w:hideMark/>
          </w:tcPr>
          <w:p w14:paraId="5487D3DA"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104</w:t>
            </w:r>
          </w:p>
        </w:tc>
        <w:tc>
          <w:tcPr>
            <w:tcW w:w="1062" w:type="dxa"/>
            <w:tcBorders>
              <w:top w:val="nil"/>
              <w:left w:val="nil"/>
              <w:bottom w:val="single" w:sz="4" w:space="0" w:color="auto"/>
              <w:right w:val="single" w:sz="4" w:space="0" w:color="auto"/>
            </w:tcBorders>
            <w:shd w:val="clear" w:color="auto" w:fill="auto"/>
            <w:noWrap/>
            <w:vAlign w:val="center"/>
            <w:hideMark/>
          </w:tcPr>
          <w:p w14:paraId="79D73E8A"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539" w:type="dxa"/>
            <w:tcBorders>
              <w:top w:val="nil"/>
              <w:left w:val="nil"/>
              <w:bottom w:val="single" w:sz="4" w:space="0" w:color="auto"/>
              <w:right w:val="nil"/>
            </w:tcBorders>
            <w:shd w:val="clear" w:color="auto" w:fill="auto"/>
            <w:noWrap/>
            <w:vAlign w:val="center"/>
            <w:hideMark/>
          </w:tcPr>
          <w:p w14:paraId="518726FF" w14:textId="7510B89E"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101,0 %</w:t>
            </w:r>
          </w:p>
        </w:tc>
      </w:tr>
      <w:tr w:rsidR="00B64E96" w:rsidRPr="00730B1E" w14:paraId="13030D3D" w14:textId="77777777" w:rsidTr="00A949F1">
        <w:trPr>
          <w:trHeight w:val="330"/>
        </w:trPr>
        <w:tc>
          <w:tcPr>
            <w:tcW w:w="2020" w:type="dxa"/>
            <w:tcBorders>
              <w:top w:val="nil"/>
              <w:left w:val="nil"/>
              <w:bottom w:val="double" w:sz="6" w:space="0" w:color="auto"/>
              <w:right w:val="nil"/>
            </w:tcBorders>
            <w:shd w:val="clear" w:color="auto" w:fill="auto"/>
            <w:noWrap/>
            <w:vAlign w:val="bottom"/>
            <w:hideMark/>
          </w:tcPr>
          <w:p w14:paraId="37D761BB" w14:textId="77777777" w:rsidR="00A949F1" w:rsidRPr="00730B1E" w:rsidRDefault="00A949F1" w:rsidP="00A949F1">
            <w:pPr>
              <w:spacing w:line="240" w:lineRule="auto"/>
              <w:jc w:val="left"/>
              <w:rPr>
                <w:rFonts w:eastAsia="Times New Roman"/>
                <w:szCs w:val="24"/>
                <w:lang w:eastAsia="cs-CZ"/>
              </w:rPr>
            </w:pPr>
            <w:r w:rsidRPr="00730B1E">
              <w:rPr>
                <w:rFonts w:eastAsia="Times New Roman"/>
                <w:szCs w:val="24"/>
                <w:lang w:eastAsia="cs-CZ"/>
              </w:rPr>
              <w:t>KS Ostrava</w:t>
            </w:r>
          </w:p>
        </w:tc>
        <w:tc>
          <w:tcPr>
            <w:tcW w:w="837" w:type="dxa"/>
            <w:tcBorders>
              <w:top w:val="nil"/>
              <w:left w:val="nil"/>
              <w:bottom w:val="double" w:sz="6" w:space="0" w:color="auto"/>
              <w:right w:val="nil"/>
            </w:tcBorders>
            <w:shd w:val="clear" w:color="auto" w:fill="auto"/>
            <w:noWrap/>
            <w:vAlign w:val="bottom"/>
            <w:hideMark/>
          </w:tcPr>
          <w:p w14:paraId="5CCD1714"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210</w:t>
            </w:r>
          </w:p>
        </w:tc>
        <w:tc>
          <w:tcPr>
            <w:tcW w:w="1062" w:type="dxa"/>
            <w:tcBorders>
              <w:top w:val="nil"/>
              <w:left w:val="nil"/>
              <w:bottom w:val="double" w:sz="6" w:space="0" w:color="auto"/>
              <w:right w:val="nil"/>
            </w:tcBorders>
            <w:shd w:val="clear" w:color="auto" w:fill="auto"/>
            <w:noWrap/>
            <w:vAlign w:val="center"/>
            <w:hideMark/>
          </w:tcPr>
          <w:p w14:paraId="42FB336E"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+25 %  </w:t>
            </w:r>
          </w:p>
        </w:tc>
        <w:tc>
          <w:tcPr>
            <w:tcW w:w="868" w:type="dxa"/>
            <w:tcBorders>
              <w:top w:val="nil"/>
              <w:left w:val="single" w:sz="4" w:space="0" w:color="auto"/>
              <w:bottom w:val="double" w:sz="6" w:space="0" w:color="auto"/>
              <w:right w:val="nil"/>
            </w:tcBorders>
            <w:shd w:val="clear" w:color="auto" w:fill="auto"/>
            <w:noWrap/>
            <w:vAlign w:val="bottom"/>
            <w:hideMark/>
          </w:tcPr>
          <w:p w14:paraId="39F0E2A5"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180</w:t>
            </w:r>
          </w:p>
        </w:tc>
        <w:tc>
          <w:tcPr>
            <w:tcW w:w="1062" w:type="dxa"/>
            <w:tcBorders>
              <w:top w:val="nil"/>
              <w:left w:val="nil"/>
              <w:bottom w:val="double" w:sz="6" w:space="0" w:color="auto"/>
              <w:right w:val="single" w:sz="4" w:space="0" w:color="auto"/>
            </w:tcBorders>
            <w:shd w:val="clear" w:color="auto" w:fill="auto"/>
            <w:noWrap/>
            <w:vAlign w:val="center"/>
            <w:hideMark/>
          </w:tcPr>
          <w:p w14:paraId="6933AC0E"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690" w:type="dxa"/>
            <w:tcBorders>
              <w:top w:val="nil"/>
              <w:left w:val="nil"/>
              <w:bottom w:val="double" w:sz="6" w:space="0" w:color="auto"/>
              <w:right w:val="nil"/>
            </w:tcBorders>
            <w:shd w:val="clear" w:color="auto" w:fill="auto"/>
            <w:noWrap/>
            <w:vAlign w:val="bottom"/>
            <w:hideMark/>
          </w:tcPr>
          <w:p w14:paraId="7E5C864D" w14:textId="77777777"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112</w:t>
            </w:r>
          </w:p>
        </w:tc>
        <w:tc>
          <w:tcPr>
            <w:tcW w:w="1062" w:type="dxa"/>
            <w:tcBorders>
              <w:top w:val="nil"/>
              <w:left w:val="nil"/>
              <w:bottom w:val="double" w:sz="6" w:space="0" w:color="auto"/>
              <w:right w:val="single" w:sz="4" w:space="0" w:color="auto"/>
            </w:tcBorders>
            <w:shd w:val="clear" w:color="auto" w:fill="auto"/>
            <w:noWrap/>
            <w:vAlign w:val="center"/>
            <w:hideMark/>
          </w:tcPr>
          <w:p w14:paraId="3E99236C" w14:textId="77777777" w:rsidR="00A949F1" w:rsidRPr="00730B1E" w:rsidRDefault="00A949F1" w:rsidP="00A949F1">
            <w:pPr>
              <w:spacing w:line="240" w:lineRule="auto"/>
              <w:jc w:val="center"/>
              <w:rPr>
                <w:rFonts w:eastAsia="Times New Roman"/>
                <w:sz w:val="20"/>
                <w:szCs w:val="20"/>
                <w:lang w:eastAsia="cs-CZ"/>
              </w:rPr>
            </w:pPr>
            <w:r w:rsidRPr="00730B1E">
              <w:rPr>
                <w:rFonts w:eastAsia="Times New Roman"/>
                <w:sz w:val="20"/>
                <w:szCs w:val="20"/>
                <w:lang w:eastAsia="cs-CZ"/>
              </w:rPr>
              <w:t xml:space="preserve">+37 %  </w:t>
            </w:r>
          </w:p>
        </w:tc>
        <w:tc>
          <w:tcPr>
            <w:tcW w:w="1539" w:type="dxa"/>
            <w:tcBorders>
              <w:top w:val="nil"/>
              <w:left w:val="nil"/>
              <w:bottom w:val="nil"/>
              <w:right w:val="nil"/>
            </w:tcBorders>
            <w:shd w:val="clear" w:color="auto" w:fill="auto"/>
            <w:noWrap/>
            <w:vAlign w:val="center"/>
            <w:hideMark/>
          </w:tcPr>
          <w:p w14:paraId="13F0ABFF" w14:textId="736AD346" w:rsidR="00A949F1" w:rsidRPr="00730B1E" w:rsidRDefault="00A949F1" w:rsidP="00A949F1">
            <w:pPr>
              <w:spacing w:line="240" w:lineRule="auto"/>
              <w:jc w:val="center"/>
              <w:rPr>
                <w:rFonts w:eastAsia="Times New Roman"/>
                <w:szCs w:val="24"/>
                <w:lang w:eastAsia="cs-CZ"/>
              </w:rPr>
            </w:pPr>
            <w:r w:rsidRPr="00730B1E">
              <w:rPr>
                <w:rFonts w:eastAsia="Times New Roman"/>
                <w:szCs w:val="24"/>
                <w:lang w:eastAsia="cs-CZ"/>
              </w:rPr>
              <w:t>85,7 %</w:t>
            </w:r>
          </w:p>
        </w:tc>
      </w:tr>
      <w:tr w:rsidR="00B64E96" w:rsidRPr="00730B1E" w14:paraId="273AEDFC" w14:textId="77777777" w:rsidTr="00A949F1">
        <w:trPr>
          <w:trHeight w:val="345"/>
        </w:trPr>
        <w:tc>
          <w:tcPr>
            <w:tcW w:w="2020" w:type="dxa"/>
            <w:tcBorders>
              <w:top w:val="nil"/>
              <w:left w:val="nil"/>
              <w:bottom w:val="double" w:sz="6" w:space="0" w:color="auto"/>
              <w:right w:val="nil"/>
            </w:tcBorders>
            <w:shd w:val="clear" w:color="auto" w:fill="auto"/>
            <w:noWrap/>
            <w:vAlign w:val="bottom"/>
            <w:hideMark/>
          </w:tcPr>
          <w:p w14:paraId="771F8817" w14:textId="77777777" w:rsidR="00A949F1" w:rsidRPr="00730B1E" w:rsidRDefault="00A949F1" w:rsidP="00A949F1">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837" w:type="dxa"/>
            <w:tcBorders>
              <w:top w:val="nil"/>
              <w:left w:val="nil"/>
              <w:bottom w:val="double" w:sz="6" w:space="0" w:color="auto"/>
              <w:right w:val="nil"/>
            </w:tcBorders>
            <w:shd w:val="clear" w:color="auto" w:fill="auto"/>
            <w:noWrap/>
            <w:vAlign w:val="bottom"/>
            <w:hideMark/>
          </w:tcPr>
          <w:p w14:paraId="0FB4DDA2" w14:textId="19E2446A"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1</w:t>
            </w:r>
            <w:r w:rsidR="00E55E35" w:rsidRPr="00730B1E">
              <w:rPr>
                <w:rFonts w:eastAsia="Times New Roman"/>
                <w:b/>
                <w:bCs/>
                <w:szCs w:val="24"/>
                <w:lang w:eastAsia="cs-CZ"/>
              </w:rPr>
              <w:t xml:space="preserve"> </w:t>
            </w:r>
            <w:r w:rsidRPr="00730B1E">
              <w:rPr>
                <w:rFonts w:eastAsia="Times New Roman"/>
                <w:b/>
                <w:bCs/>
                <w:szCs w:val="24"/>
                <w:lang w:eastAsia="cs-CZ"/>
              </w:rPr>
              <w:t>201</w:t>
            </w:r>
          </w:p>
        </w:tc>
        <w:tc>
          <w:tcPr>
            <w:tcW w:w="1062" w:type="dxa"/>
            <w:tcBorders>
              <w:top w:val="nil"/>
              <w:left w:val="nil"/>
              <w:bottom w:val="double" w:sz="6" w:space="0" w:color="auto"/>
              <w:right w:val="nil"/>
            </w:tcBorders>
            <w:shd w:val="clear" w:color="auto" w:fill="auto"/>
            <w:noWrap/>
            <w:vAlign w:val="center"/>
            <w:hideMark/>
          </w:tcPr>
          <w:p w14:paraId="28A74C52" w14:textId="77777777" w:rsidR="00A949F1" w:rsidRPr="00730B1E" w:rsidRDefault="00A949F1" w:rsidP="00A949F1">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+5 %  </w:t>
            </w:r>
          </w:p>
        </w:tc>
        <w:tc>
          <w:tcPr>
            <w:tcW w:w="868" w:type="dxa"/>
            <w:tcBorders>
              <w:top w:val="nil"/>
              <w:left w:val="single" w:sz="4" w:space="0" w:color="auto"/>
              <w:bottom w:val="double" w:sz="6" w:space="0" w:color="auto"/>
              <w:right w:val="nil"/>
            </w:tcBorders>
            <w:shd w:val="clear" w:color="auto" w:fill="auto"/>
            <w:noWrap/>
            <w:vAlign w:val="bottom"/>
            <w:hideMark/>
          </w:tcPr>
          <w:p w14:paraId="3527AFAB" w14:textId="4760EF84"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1</w:t>
            </w:r>
            <w:r w:rsidR="00E55E35" w:rsidRPr="00730B1E">
              <w:rPr>
                <w:rFonts w:eastAsia="Times New Roman"/>
                <w:b/>
                <w:bCs/>
                <w:szCs w:val="24"/>
                <w:lang w:eastAsia="cs-CZ"/>
              </w:rPr>
              <w:t xml:space="preserve"> </w:t>
            </w:r>
            <w:r w:rsidRPr="00730B1E">
              <w:rPr>
                <w:rFonts w:eastAsia="Times New Roman"/>
                <w:b/>
                <w:bCs/>
                <w:szCs w:val="24"/>
                <w:lang w:eastAsia="cs-CZ"/>
              </w:rPr>
              <w:t>227</w:t>
            </w:r>
          </w:p>
        </w:tc>
        <w:tc>
          <w:tcPr>
            <w:tcW w:w="1062" w:type="dxa"/>
            <w:tcBorders>
              <w:top w:val="nil"/>
              <w:left w:val="nil"/>
              <w:bottom w:val="double" w:sz="6" w:space="0" w:color="auto"/>
              <w:right w:val="single" w:sz="4" w:space="0" w:color="auto"/>
            </w:tcBorders>
            <w:shd w:val="clear" w:color="auto" w:fill="auto"/>
            <w:noWrap/>
            <w:vAlign w:val="center"/>
            <w:hideMark/>
          </w:tcPr>
          <w:p w14:paraId="4E8B10B5" w14:textId="77777777" w:rsidR="00A949F1" w:rsidRPr="00730B1E" w:rsidRDefault="00A949F1" w:rsidP="00A949F1">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+6 %  </w:t>
            </w:r>
          </w:p>
        </w:tc>
        <w:tc>
          <w:tcPr>
            <w:tcW w:w="690" w:type="dxa"/>
            <w:tcBorders>
              <w:top w:val="nil"/>
              <w:left w:val="nil"/>
              <w:bottom w:val="double" w:sz="6" w:space="0" w:color="auto"/>
              <w:right w:val="nil"/>
            </w:tcBorders>
            <w:shd w:val="clear" w:color="auto" w:fill="auto"/>
            <w:noWrap/>
            <w:vAlign w:val="bottom"/>
            <w:hideMark/>
          </w:tcPr>
          <w:p w14:paraId="480CC493" w14:textId="77777777"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595</w:t>
            </w:r>
          </w:p>
        </w:tc>
        <w:tc>
          <w:tcPr>
            <w:tcW w:w="1062" w:type="dxa"/>
            <w:tcBorders>
              <w:top w:val="nil"/>
              <w:left w:val="nil"/>
              <w:bottom w:val="double" w:sz="6" w:space="0" w:color="auto"/>
              <w:right w:val="single" w:sz="4" w:space="0" w:color="auto"/>
            </w:tcBorders>
            <w:shd w:val="clear" w:color="auto" w:fill="auto"/>
            <w:noWrap/>
            <w:vAlign w:val="center"/>
            <w:hideMark/>
          </w:tcPr>
          <w:p w14:paraId="2CDE068F" w14:textId="77777777" w:rsidR="00A949F1" w:rsidRPr="00730B1E" w:rsidRDefault="00A949F1" w:rsidP="00A949F1">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-4 %  </w:t>
            </w:r>
          </w:p>
        </w:tc>
        <w:tc>
          <w:tcPr>
            <w:tcW w:w="1539" w:type="dxa"/>
            <w:tcBorders>
              <w:top w:val="double" w:sz="6" w:space="0" w:color="auto"/>
              <w:left w:val="nil"/>
              <w:bottom w:val="double" w:sz="6" w:space="0" w:color="auto"/>
              <w:right w:val="nil"/>
            </w:tcBorders>
            <w:shd w:val="clear" w:color="auto" w:fill="auto"/>
            <w:noWrap/>
            <w:vAlign w:val="center"/>
            <w:hideMark/>
          </w:tcPr>
          <w:p w14:paraId="5CAE568B" w14:textId="55BA7103" w:rsidR="00A949F1" w:rsidRPr="00730B1E" w:rsidRDefault="00A949F1" w:rsidP="00A949F1">
            <w:pPr>
              <w:spacing w:line="240" w:lineRule="auto"/>
              <w:jc w:val="center"/>
              <w:rPr>
                <w:rFonts w:eastAsia="Times New Roman"/>
                <w:b/>
                <w:bCs/>
                <w:szCs w:val="24"/>
                <w:lang w:eastAsia="cs-CZ"/>
              </w:rPr>
            </w:pPr>
            <w:r w:rsidRPr="00730B1E">
              <w:rPr>
                <w:rFonts w:eastAsia="Times New Roman"/>
                <w:b/>
                <w:bCs/>
                <w:szCs w:val="24"/>
                <w:lang w:eastAsia="cs-CZ"/>
              </w:rPr>
              <w:t>102,2 %</w:t>
            </w:r>
          </w:p>
        </w:tc>
      </w:tr>
      <w:tr w:rsidR="00B64E96" w:rsidRPr="00730B1E" w14:paraId="754C5D20" w14:textId="77777777" w:rsidTr="00A949F1">
        <w:trPr>
          <w:trHeight w:val="330"/>
        </w:trPr>
        <w:tc>
          <w:tcPr>
            <w:tcW w:w="2020" w:type="dxa"/>
            <w:tcBorders>
              <w:top w:val="nil"/>
              <w:left w:val="nil"/>
              <w:bottom w:val="nil"/>
              <w:right w:val="nil"/>
            </w:tcBorders>
            <w:shd w:val="clear" w:color="auto" w:fill="auto"/>
            <w:noWrap/>
            <w:vAlign w:val="bottom"/>
            <w:hideMark/>
          </w:tcPr>
          <w:p w14:paraId="1AC8AE12" w14:textId="77777777" w:rsidR="00A949F1" w:rsidRPr="00730B1E" w:rsidRDefault="00A949F1" w:rsidP="00A949F1">
            <w:pPr>
              <w:spacing w:line="240" w:lineRule="auto"/>
              <w:jc w:val="center"/>
              <w:rPr>
                <w:rFonts w:eastAsia="Times New Roman"/>
                <w:b/>
                <w:bCs/>
                <w:szCs w:val="24"/>
                <w:lang w:eastAsia="cs-CZ"/>
              </w:rPr>
            </w:pPr>
          </w:p>
        </w:tc>
        <w:tc>
          <w:tcPr>
            <w:tcW w:w="837" w:type="dxa"/>
            <w:tcBorders>
              <w:top w:val="nil"/>
              <w:left w:val="nil"/>
              <w:bottom w:val="nil"/>
              <w:right w:val="nil"/>
            </w:tcBorders>
            <w:shd w:val="clear" w:color="auto" w:fill="auto"/>
            <w:noWrap/>
            <w:vAlign w:val="bottom"/>
            <w:hideMark/>
          </w:tcPr>
          <w:p w14:paraId="1FCAB3FF" w14:textId="77777777" w:rsidR="00A949F1" w:rsidRPr="00DF07F3" w:rsidRDefault="00A949F1" w:rsidP="00A949F1">
            <w:pPr>
              <w:spacing w:line="240" w:lineRule="auto"/>
              <w:jc w:val="left"/>
              <w:rPr>
                <w:sz w:val="20"/>
              </w:rPr>
            </w:pPr>
          </w:p>
        </w:tc>
        <w:tc>
          <w:tcPr>
            <w:tcW w:w="1062" w:type="dxa"/>
            <w:tcBorders>
              <w:top w:val="nil"/>
              <w:left w:val="nil"/>
              <w:bottom w:val="nil"/>
              <w:right w:val="nil"/>
            </w:tcBorders>
            <w:shd w:val="clear" w:color="auto" w:fill="auto"/>
            <w:noWrap/>
            <w:vAlign w:val="bottom"/>
            <w:hideMark/>
          </w:tcPr>
          <w:p w14:paraId="3E67EDBE" w14:textId="77777777" w:rsidR="00A949F1" w:rsidRPr="00DF07F3" w:rsidRDefault="00A949F1" w:rsidP="00A949F1">
            <w:pPr>
              <w:spacing w:line="240" w:lineRule="auto"/>
              <w:jc w:val="left"/>
              <w:rPr>
                <w:sz w:val="20"/>
              </w:rPr>
            </w:pPr>
          </w:p>
        </w:tc>
        <w:tc>
          <w:tcPr>
            <w:tcW w:w="868" w:type="dxa"/>
            <w:tcBorders>
              <w:top w:val="nil"/>
              <w:left w:val="nil"/>
              <w:bottom w:val="nil"/>
              <w:right w:val="nil"/>
            </w:tcBorders>
            <w:shd w:val="clear" w:color="auto" w:fill="auto"/>
            <w:noWrap/>
            <w:vAlign w:val="bottom"/>
            <w:hideMark/>
          </w:tcPr>
          <w:p w14:paraId="34185D07" w14:textId="77777777" w:rsidR="00A949F1" w:rsidRPr="00DF07F3" w:rsidRDefault="00A949F1" w:rsidP="00A949F1">
            <w:pPr>
              <w:spacing w:line="240" w:lineRule="auto"/>
              <w:jc w:val="left"/>
              <w:rPr>
                <w:sz w:val="20"/>
              </w:rPr>
            </w:pPr>
          </w:p>
        </w:tc>
        <w:tc>
          <w:tcPr>
            <w:tcW w:w="1062" w:type="dxa"/>
            <w:tcBorders>
              <w:top w:val="nil"/>
              <w:left w:val="nil"/>
              <w:bottom w:val="nil"/>
              <w:right w:val="nil"/>
            </w:tcBorders>
            <w:shd w:val="clear" w:color="auto" w:fill="auto"/>
            <w:noWrap/>
            <w:vAlign w:val="bottom"/>
            <w:hideMark/>
          </w:tcPr>
          <w:p w14:paraId="25B5A891" w14:textId="77777777" w:rsidR="00A949F1" w:rsidRPr="00DF07F3" w:rsidRDefault="00A949F1" w:rsidP="00A949F1">
            <w:pPr>
              <w:spacing w:line="240" w:lineRule="auto"/>
              <w:jc w:val="left"/>
              <w:rPr>
                <w:sz w:val="20"/>
              </w:rPr>
            </w:pPr>
          </w:p>
        </w:tc>
        <w:tc>
          <w:tcPr>
            <w:tcW w:w="690" w:type="dxa"/>
            <w:tcBorders>
              <w:top w:val="nil"/>
              <w:left w:val="nil"/>
              <w:bottom w:val="nil"/>
              <w:right w:val="nil"/>
            </w:tcBorders>
            <w:shd w:val="clear" w:color="auto" w:fill="auto"/>
            <w:noWrap/>
            <w:vAlign w:val="bottom"/>
            <w:hideMark/>
          </w:tcPr>
          <w:p w14:paraId="4510800B" w14:textId="77777777" w:rsidR="00A949F1" w:rsidRPr="00DF07F3" w:rsidRDefault="00A949F1" w:rsidP="00A949F1">
            <w:pPr>
              <w:spacing w:line="240" w:lineRule="auto"/>
              <w:jc w:val="left"/>
              <w:rPr>
                <w:sz w:val="20"/>
              </w:rPr>
            </w:pPr>
          </w:p>
        </w:tc>
        <w:tc>
          <w:tcPr>
            <w:tcW w:w="1062" w:type="dxa"/>
            <w:tcBorders>
              <w:top w:val="nil"/>
              <w:left w:val="nil"/>
              <w:bottom w:val="nil"/>
              <w:right w:val="nil"/>
            </w:tcBorders>
            <w:shd w:val="clear" w:color="auto" w:fill="auto"/>
            <w:noWrap/>
            <w:vAlign w:val="bottom"/>
            <w:hideMark/>
          </w:tcPr>
          <w:p w14:paraId="250CF6C5" w14:textId="77777777" w:rsidR="00A949F1" w:rsidRPr="00DF07F3" w:rsidRDefault="00A949F1" w:rsidP="00A949F1">
            <w:pPr>
              <w:spacing w:line="240" w:lineRule="auto"/>
              <w:jc w:val="left"/>
              <w:rPr>
                <w:sz w:val="20"/>
              </w:rPr>
            </w:pPr>
          </w:p>
        </w:tc>
        <w:tc>
          <w:tcPr>
            <w:tcW w:w="1539" w:type="dxa"/>
            <w:tcBorders>
              <w:top w:val="nil"/>
              <w:left w:val="nil"/>
              <w:bottom w:val="nil"/>
              <w:right w:val="nil"/>
            </w:tcBorders>
            <w:shd w:val="clear" w:color="auto" w:fill="auto"/>
            <w:noWrap/>
            <w:vAlign w:val="bottom"/>
            <w:hideMark/>
          </w:tcPr>
          <w:p w14:paraId="7D63B60F" w14:textId="77777777" w:rsidR="00A949F1" w:rsidRPr="00DF07F3" w:rsidRDefault="00A949F1" w:rsidP="00A949F1">
            <w:pPr>
              <w:spacing w:line="240" w:lineRule="auto"/>
              <w:jc w:val="left"/>
              <w:rPr>
                <w:sz w:val="20"/>
              </w:rPr>
            </w:pPr>
          </w:p>
        </w:tc>
      </w:tr>
    </w:tbl>
    <w:p w14:paraId="62B94663" w14:textId="032F396E" w:rsidR="00A61B55" w:rsidRPr="00730B1E" w:rsidRDefault="00A61B55" w:rsidP="00A61B55">
      <w:pPr>
        <w:pStyle w:val="OdstavecASR"/>
      </w:pPr>
      <w:r w:rsidRPr="00730B1E">
        <w:t xml:space="preserve">Z tabulky vyčteme, že 6 z 8 soudů mělo méně příchozích věcí (nápad + </w:t>
      </w:r>
      <w:r w:rsidR="00102E29" w:rsidRPr="00730B1E">
        <w:t>obživlé věci</w:t>
      </w:r>
      <w:r w:rsidRPr="00730B1E">
        <w:t>) než věcí vyřízených. Nejnižší míru vyřizování měl KS Ostrava (85,7 %) a nejvyšší KS Č. Budějovice (150,</w:t>
      </w:r>
      <w:r w:rsidR="000C76E6" w:rsidRPr="00730B1E">
        <w:t>0 </w:t>
      </w:r>
      <w:r w:rsidRPr="00730B1E">
        <w:t>%). Rozdíly v absolutních číslech jsou však relativně malé</w:t>
      </w:r>
      <w:r w:rsidR="000C76E6" w:rsidRPr="00730B1E">
        <w:t xml:space="preserve"> – </w:t>
      </w:r>
      <w:r w:rsidRPr="00730B1E">
        <w:t xml:space="preserve">pokud by </w:t>
      </w:r>
      <w:r w:rsidR="000C76E6" w:rsidRPr="00730B1E">
        <w:t xml:space="preserve">například </w:t>
      </w:r>
      <w:r w:rsidRPr="00730B1E">
        <w:t>KS České Budějovice vyřídil jen o 17 věcí méně, vykázal by míru vyřizování 100 %. Důvodem je to, že počet věcí v této agendě je velmi malý.</w:t>
      </w:r>
    </w:p>
    <w:p w14:paraId="78CE1EDA" w14:textId="57C3588D" w:rsidR="00F67361" w:rsidRPr="00730B1E" w:rsidRDefault="00A61B55" w:rsidP="00A61B55">
      <w:pPr>
        <w:pStyle w:val="OdstavecASR"/>
      </w:pPr>
      <w:r w:rsidRPr="00730B1E">
        <w:t>Počet příchozích, vyřízených a nevyřízených věcí samozřejmě úzce souvisí s velikostí soudu. Pro lepší porovnání soudů je tedy v příštích podkapitolách</w:t>
      </w:r>
      <w:r w:rsidRPr="00730B1E" w:rsidDel="00EA1996">
        <w:t xml:space="preserve"> </w:t>
      </w:r>
      <w:r w:rsidRPr="00730B1E">
        <w:t>opět využit přepočet na soudce a disposition time. I u těchto ukazatelů však hraje roli malý počet pozorování.</w:t>
      </w:r>
    </w:p>
    <w:p w14:paraId="7C28EC77" w14:textId="77777777" w:rsidR="00F67361" w:rsidRPr="00730B1E" w:rsidRDefault="00F67361">
      <w:pPr>
        <w:spacing w:after="160" w:line="259" w:lineRule="auto"/>
        <w:jc w:val="left"/>
      </w:pPr>
      <w:r w:rsidRPr="00730B1E">
        <w:br w:type="page"/>
      </w:r>
    </w:p>
    <w:p w14:paraId="6387D384" w14:textId="124AEB2B" w:rsidR="00577F29" w:rsidRPr="00730B1E" w:rsidRDefault="00577F29" w:rsidP="00DD0A0A">
      <w:pPr>
        <w:pStyle w:val="Nadpis3"/>
        <w:numPr>
          <w:ilvl w:val="2"/>
          <w:numId w:val="1"/>
        </w:numPr>
        <w:rPr>
          <w:color w:val="auto"/>
        </w:rPr>
      </w:pPr>
      <w:bookmarkStart w:id="957" w:name="_Toc106092766"/>
      <w:bookmarkStart w:id="958" w:name="_Toc169250842"/>
      <w:bookmarkStart w:id="959" w:name="_Toc174080878"/>
      <w:r w:rsidRPr="00730B1E">
        <w:rPr>
          <w:color w:val="auto"/>
        </w:rPr>
        <w:lastRenderedPageBreak/>
        <w:t>Vyřizování věcí v přepočtu na soudce</w:t>
      </w:r>
      <w:bookmarkEnd w:id="957"/>
      <w:bookmarkEnd w:id="958"/>
      <w:bookmarkEnd w:id="959"/>
    </w:p>
    <w:p w14:paraId="3D17DC1B" w14:textId="77777777" w:rsidR="00A61B55" w:rsidRPr="00730B1E" w:rsidRDefault="00A61B55" w:rsidP="00A61B55">
      <w:pPr>
        <w:pStyle w:val="OdstavecASR"/>
      </w:pPr>
      <w:r w:rsidRPr="00730B1E">
        <w:t>V tabulce níže je uveden přepočet na skutečný počet soudců, resp. skutečný počet úvazků.</w:t>
      </w:r>
    </w:p>
    <w:p w14:paraId="388F4876" w14:textId="4FF5E85E" w:rsidR="00A61B55" w:rsidRPr="00730B1E" w:rsidRDefault="00A61B55" w:rsidP="00A61B55">
      <w:pPr>
        <w:pStyle w:val="Podnadpis"/>
        <w:numPr>
          <w:ilvl w:val="0"/>
          <w:numId w:val="0"/>
        </w:numPr>
        <w:rPr>
          <w:color w:val="auto"/>
        </w:rPr>
      </w:pPr>
      <w:bookmarkStart w:id="960" w:name="_Toc144104297"/>
      <w:bookmarkStart w:id="961" w:name="_Toc169251111"/>
      <w:bookmarkStart w:id="962" w:name="_Toc174080797"/>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54</w:t>
      </w:r>
      <w:r w:rsidRPr="00730B1E">
        <w:rPr>
          <w:noProof/>
          <w:color w:val="auto"/>
        </w:rPr>
        <w:fldChar w:fldCharType="end"/>
      </w:r>
      <w:r w:rsidRPr="00730B1E">
        <w:rPr>
          <w:color w:val="auto"/>
        </w:rPr>
        <w:t>: KS – vyřiz. prvostupň. trest. věcí na skutečný úvazek dle soudů</w:t>
      </w:r>
      <w:bookmarkEnd w:id="960"/>
      <w:bookmarkEnd w:id="961"/>
      <w:bookmarkEnd w:id="962"/>
    </w:p>
    <w:tbl>
      <w:tblPr>
        <w:tblW w:w="9000" w:type="dxa"/>
        <w:tblCellMar>
          <w:left w:w="70" w:type="dxa"/>
          <w:right w:w="70" w:type="dxa"/>
        </w:tblCellMar>
        <w:tblLook w:val="04A0" w:firstRow="1" w:lastRow="0" w:firstColumn="1" w:lastColumn="0" w:noHBand="0" w:noVBand="1"/>
      </w:tblPr>
      <w:tblGrid>
        <w:gridCol w:w="1820"/>
        <w:gridCol w:w="1059"/>
        <w:gridCol w:w="1021"/>
        <w:gridCol w:w="1085"/>
        <w:gridCol w:w="1021"/>
        <w:gridCol w:w="1085"/>
        <w:gridCol w:w="824"/>
        <w:gridCol w:w="1085"/>
      </w:tblGrid>
      <w:tr w:rsidR="00B64E96" w:rsidRPr="00730B1E" w14:paraId="5EEA5BEB" w14:textId="77777777" w:rsidTr="00A61B55">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36060B86" w14:textId="6D4BE015" w:rsidR="00A61B55" w:rsidRPr="00730B1E" w:rsidRDefault="00E55E35" w:rsidP="00DF07F3">
            <w:pPr>
              <w:spacing w:line="240" w:lineRule="auto"/>
              <w:jc w:val="center"/>
              <w:rPr>
                <w:rFonts w:eastAsia="Times New Roman"/>
                <w:b/>
                <w:bCs/>
                <w:szCs w:val="24"/>
                <w:lang w:eastAsia="cs-CZ"/>
              </w:rPr>
            </w:pPr>
            <w:r w:rsidRPr="00730B1E">
              <w:rPr>
                <w:rFonts w:eastAsia="Times New Roman"/>
                <w:b/>
                <w:bCs/>
                <w:szCs w:val="24"/>
                <w:lang w:eastAsia="cs-CZ"/>
              </w:rPr>
              <w:t>S</w:t>
            </w:r>
            <w:r w:rsidR="00A61B55" w:rsidRPr="00730B1E">
              <w:rPr>
                <w:rFonts w:eastAsia="Times New Roman"/>
                <w:b/>
                <w:bCs/>
                <w:szCs w:val="24"/>
                <w:lang w:eastAsia="cs-CZ"/>
              </w:rPr>
              <w:t>oud</w:t>
            </w:r>
          </w:p>
        </w:tc>
        <w:tc>
          <w:tcPr>
            <w:tcW w:w="1059" w:type="dxa"/>
            <w:vMerge w:val="restart"/>
            <w:tcBorders>
              <w:top w:val="double" w:sz="6" w:space="0" w:color="auto"/>
              <w:left w:val="nil"/>
              <w:bottom w:val="double" w:sz="6" w:space="0" w:color="000000"/>
              <w:right w:val="nil"/>
            </w:tcBorders>
            <w:shd w:val="clear" w:color="auto" w:fill="auto"/>
            <w:vAlign w:val="center"/>
            <w:hideMark/>
          </w:tcPr>
          <w:p w14:paraId="20F4E222" w14:textId="77777777"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6121" w:type="dxa"/>
            <w:gridSpan w:val="6"/>
            <w:tcBorders>
              <w:top w:val="double" w:sz="6" w:space="0" w:color="auto"/>
              <w:left w:val="nil"/>
              <w:bottom w:val="nil"/>
              <w:right w:val="nil"/>
            </w:tcBorders>
            <w:shd w:val="clear" w:color="auto" w:fill="auto"/>
            <w:noWrap/>
            <w:vAlign w:val="center"/>
            <w:hideMark/>
          </w:tcPr>
          <w:p w14:paraId="6D93ECA5" w14:textId="77777777"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4FF72EB4" w14:textId="77777777" w:rsidTr="00A61B55">
        <w:trPr>
          <w:trHeight w:val="330"/>
        </w:trPr>
        <w:tc>
          <w:tcPr>
            <w:tcW w:w="1820" w:type="dxa"/>
            <w:vMerge/>
            <w:tcBorders>
              <w:top w:val="double" w:sz="6" w:space="0" w:color="auto"/>
              <w:left w:val="nil"/>
              <w:bottom w:val="double" w:sz="6" w:space="0" w:color="000000"/>
              <w:right w:val="nil"/>
            </w:tcBorders>
            <w:vAlign w:val="center"/>
            <w:hideMark/>
          </w:tcPr>
          <w:p w14:paraId="5FD52873" w14:textId="77777777" w:rsidR="00A61B55" w:rsidRPr="00730B1E" w:rsidRDefault="00A61B55" w:rsidP="00A61B55">
            <w:pPr>
              <w:spacing w:line="240" w:lineRule="auto"/>
              <w:jc w:val="left"/>
              <w:rPr>
                <w:rFonts w:eastAsia="Times New Roman"/>
                <w:b/>
                <w:bCs/>
                <w:szCs w:val="24"/>
                <w:lang w:eastAsia="cs-CZ"/>
              </w:rPr>
            </w:pPr>
          </w:p>
        </w:tc>
        <w:tc>
          <w:tcPr>
            <w:tcW w:w="1059" w:type="dxa"/>
            <w:vMerge/>
            <w:tcBorders>
              <w:top w:val="double" w:sz="6" w:space="0" w:color="auto"/>
              <w:left w:val="nil"/>
              <w:bottom w:val="double" w:sz="6" w:space="0" w:color="000000"/>
              <w:right w:val="nil"/>
            </w:tcBorders>
            <w:vAlign w:val="center"/>
            <w:hideMark/>
          </w:tcPr>
          <w:p w14:paraId="0F7DBB11" w14:textId="77777777" w:rsidR="00A61B55" w:rsidRPr="00730B1E" w:rsidRDefault="00A61B55" w:rsidP="00A61B55">
            <w:pPr>
              <w:spacing w:line="240" w:lineRule="auto"/>
              <w:jc w:val="left"/>
              <w:rPr>
                <w:rFonts w:eastAsia="Times New Roman"/>
                <w:b/>
                <w:bCs/>
                <w:szCs w:val="24"/>
                <w:lang w:eastAsia="cs-CZ"/>
              </w:rPr>
            </w:pPr>
          </w:p>
        </w:tc>
        <w:tc>
          <w:tcPr>
            <w:tcW w:w="2106" w:type="dxa"/>
            <w:gridSpan w:val="2"/>
            <w:tcBorders>
              <w:top w:val="nil"/>
              <w:left w:val="nil"/>
              <w:bottom w:val="double" w:sz="6" w:space="0" w:color="auto"/>
              <w:right w:val="nil"/>
            </w:tcBorders>
            <w:shd w:val="clear" w:color="auto" w:fill="auto"/>
            <w:noWrap/>
            <w:vAlign w:val="center"/>
            <w:hideMark/>
          </w:tcPr>
          <w:p w14:paraId="657E353E" w14:textId="11C48A20"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210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5CD82F6" w14:textId="77777777"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909" w:type="dxa"/>
            <w:gridSpan w:val="2"/>
            <w:tcBorders>
              <w:top w:val="nil"/>
              <w:left w:val="nil"/>
              <w:bottom w:val="double" w:sz="6" w:space="0" w:color="auto"/>
              <w:right w:val="nil"/>
            </w:tcBorders>
            <w:shd w:val="clear" w:color="auto" w:fill="auto"/>
            <w:noWrap/>
            <w:vAlign w:val="center"/>
            <w:hideMark/>
          </w:tcPr>
          <w:p w14:paraId="2825DF60" w14:textId="77777777"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494A0C05" w14:textId="77777777" w:rsidTr="00A61B55">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58C79E82" w14:textId="77777777" w:rsidR="00A61B55" w:rsidRPr="00730B1E" w:rsidRDefault="00A61B55" w:rsidP="00A61B55">
            <w:pPr>
              <w:spacing w:line="240" w:lineRule="auto"/>
              <w:jc w:val="left"/>
              <w:rPr>
                <w:rFonts w:eastAsia="Times New Roman"/>
                <w:szCs w:val="24"/>
                <w:lang w:eastAsia="cs-CZ"/>
              </w:rPr>
            </w:pPr>
            <w:r w:rsidRPr="00730B1E">
              <w:rPr>
                <w:rFonts w:eastAsia="Times New Roman"/>
                <w:szCs w:val="24"/>
                <w:lang w:eastAsia="cs-CZ"/>
              </w:rPr>
              <w:t>MS Praha</w:t>
            </w:r>
          </w:p>
        </w:tc>
        <w:tc>
          <w:tcPr>
            <w:tcW w:w="1059" w:type="dxa"/>
            <w:tcBorders>
              <w:top w:val="single" w:sz="4" w:space="0" w:color="auto"/>
              <w:left w:val="nil"/>
              <w:bottom w:val="single" w:sz="4" w:space="0" w:color="auto"/>
              <w:right w:val="nil"/>
            </w:tcBorders>
            <w:shd w:val="clear" w:color="auto" w:fill="auto"/>
            <w:noWrap/>
            <w:vAlign w:val="bottom"/>
            <w:hideMark/>
          </w:tcPr>
          <w:p w14:paraId="7D18C960" w14:textId="73436D17"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18,7</w:t>
            </w:r>
          </w:p>
        </w:tc>
        <w:tc>
          <w:tcPr>
            <w:tcW w:w="1021" w:type="dxa"/>
            <w:tcBorders>
              <w:top w:val="single" w:sz="4" w:space="0" w:color="auto"/>
              <w:left w:val="nil"/>
              <w:bottom w:val="single" w:sz="4" w:space="0" w:color="auto"/>
              <w:right w:val="nil"/>
            </w:tcBorders>
            <w:shd w:val="clear" w:color="auto" w:fill="auto"/>
            <w:noWrap/>
            <w:vAlign w:val="bottom"/>
            <w:hideMark/>
          </w:tcPr>
          <w:p w14:paraId="3AF25426" w14:textId="79633649"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15,19</w:t>
            </w:r>
          </w:p>
        </w:tc>
        <w:tc>
          <w:tcPr>
            <w:tcW w:w="1085" w:type="dxa"/>
            <w:tcBorders>
              <w:top w:val="single" w:sz="4" w:space="0" w:color="auto"/>
              <w:left w:val="nil"/>
              <w:bottom w:val="single" w:sz="4" w:space="0" w:color="auto"/>
              <w:right w:val="nil"/>
            </w:tcBorders>
            <w:shd w:val="clear" w:color="auto" w:fill="auto"/>
            <w:noWrap/>
            <w:vAlign w:val="center"/>
            <w:hideMark/>
          </w:tcPr>
          <w:p w14:paraId="7D92FB69"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21" w:type="dxa"/>
            <w:tcBorders>
              <w:top w:val="nil"/>
              <w:left w:val="single" w:sz="4" w:space="0" w:color="auto"/>
              <w:bottom w:val="single" w:sz="4" w:space="0" w:color="auto"/>
              <w:right w:val="nil"/>
            </w:tcBorders>
            <w:shd w:val="clear" w:color="auto" w:fill="auto"/>
            <w:noWrap/>
            <w:vAlign w:val="bottom"/>
            <w:hideMark/>
          </w:tcPr>
          <w:p w14:paraId="0AC3E189" w14:textId="5638B83B"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16,95</w:t>
            </w:r>
          </w:p>
        </w:tc>
        <w:tc>
          <w:tcPr>
            <w:tcW w:w="1085" w:type="dxa"/>
            <w:tcBorders>
              <w:top w:val="nil"/>
              <w:left w:val="nil"/>
              <w:bottom w:val="single" w:sz="4" w:space="0" w:color="auto"/>
              <w:right w:val="single" w:sz="4" w:space="0" w:color="auto"/>
            </w:tcBorders>
            <w:shd w:val="clear" w:color="auto" w:fill="auto"/>
            <w:noWrap/>
            <w:vAlign w:val="center"/>
            <w:hideMark/>
          </w:tcPr>
          <w:p w14:paraId="17AFF7F3"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824" w:type="dxa"/>
            <w:tcBorders>
              <w:top w:val="single" w:sz="4" w:space="0" w:color="auto"/>
              <w:left w:val="nil"/>
              <w:bottom w:val="single" w:sz="4" w:space="0" w:color="auto"/>
              <w:right w:val="nil"/>
            </w:tcBorders>
            <w:shd w:val="clear" w:color="auto" w:fill="auto"/>
            <w:noWrap/>
            <w:vAlign w:val="bottom"/>
            <w:hideMark/>
          </w:tcPr>
          <w:p w14:paraId="54C7DB13" w14:textId="078A727B"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7,91</w:t>
            </w:r>
          </w:p>
        </w:tc>
        <w:tc>
          <w:tcPr>
            <w:tcW w:w="1085" w:type="dxa"/>
            <w:tcBorders>
              <w:top w:val="single" w:sz="4" w:space="0" w:color="auto"/>
              <w:left w:val="nil"/>
              <w:bottom w:val="single" w:sz="4" w:space="0" w:color="auto"/>
              <w:right w:val="nil"/>
            </w:tcBorders>
            <w:shd w:val="clear" w:color="auto" w:fill="auto"/>
            <w:noWrap/>
            <w:vAlign w:val="center"/>
            <w:hideMark/>
          </w:tcPr>
          <w:p w14:paraId="122C51C7"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72EE0314" w14:textId="77777777" w:rsidTr="00A61B55">
        <w:trPr>
          <w:trHeight w:val="315"/>
        </w:trPr>
        <w:tc>
          <w:tcPr>
            <w:tcW w:w="1820" w:type="dxa"/>
            <w:tcBorders>
              <w:top w:val="nil"/>
              <w:left w:val="nil"/>
              <w:bottom w:val="single" w:sz="4" w:space="0" w:color="auto"/>
              <w:right w:val="nil"/>
            </w:tcBorders>
            <w:shd w:val="clear" w:color="auto" w:fill="auto"/>
            <w:noWrap/>
            <w:vAlign w:val="bottom"/>
            <w:hideMark/>
          </w:tcPr>
          <w:p w14:paraId="38BBF5A8" w14:textId="77777777" w:rsidR="00A61B55" w:rsidRPr="00730B1E" w:rsidRDefault="00A61B55" w:rsidP="00A61B55">
            <w:pPr>
              <w:spacing w:line="240" w:lineRule="auto"/>
              <w:jc w:val="left"/>
              <w:rPr>
                <w:rFonts w:eastAsia="Times New Roman"/>
                <w:szCs w:val="24"/>
                <w:lang w:eastAsia="cs-CZ"/>
              </w:rPr>
            </w:pPr>
            <w:r w:rsidRPr="00730B1E">
              <w:rPr>
                <w:rFonts w:eastAsia="Times New Roman"/>
                <w:szCs w:val="24"/>
                <w:lang w:eastAsia="cs-CZ"/>
              </w:rPr>
              <w:t>KS Praha</w:t>
            </w:r>
          </w:p>
        </w:tc>
        <w:tc>
          <w:tcPr>
            <w:tcW w:w="1059" w:type="dxa"/>
            <w:tcBorders>
              <w:top w:val="nil"/>
              <w:left w:val="nil"/>
              <w:bottom w:val="single" w:sz="4" w:space="0" w:color="auto"/>
              <w:right w:val="nil"/>
            </w:tcBorders>
            <w:shd w:val="clear" w:color="auto" w:fill="auto"/>
            <w:noWrap/>
            <w:vAlign w:val="bottom"/>
            <w:hideMark/>
          </w:tcPr>
          <w:p w14:paraId="1DCBFFB5" w14:textId="44A20EB0"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5,9</w:t>
            </w:r>
          </w:p>
        </w:tc>
        <w:tc>
          <w:tcPr>
            <w:tcW w:w="1021" w:type="dxa"/>
            <w:tcBorders>
              <w:top w:val="nil"/>
              <w:left w:val="nil"/>
              <w:bottom w:val="single" w:sz="4" w:space="0" w:color="auto"/>
              <w:right w:val="nil"/>
            </w:tcBorders>
            <w:shd w:val="clear" w:color="auto" w:fill="auto"/>
            <w:noWrap/>
            <w:vAlign w:val="bottom"/>
            <w:hideMark/>
          </w:tcPr>
          <w:p w14:paraId="361D75C8" w14:textId="431A667C"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18,14</w:t>
            </w:r>
          </w:p>
        </w:tc>
        <w:tc>
          <w:tcPr>
            <w:tcW w:w="1085" w:type="dxa"/>
            <w:tcBorders>
              <w:top w:val="nil"/>
              <w:left w:val="nil"/>
              <w:bottom w:val="single" w:sz="4" w:space="0" w:color="auto"/>
              <w:right w:val="nil"/>
            </w:tcBorders>
            <w:shd w:val="clear" w:color="auto" w:fill="auto"/>
            <w:noWrap/>
            <w:vAlign w:val="center"/>
            <w:hideMark/>
          </w:tcPr>
          <w:p w14:paraId="233C47E2"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+39 %  </w:t>
            </w:r>
          </w:p>
        </w:tc>
        <w:tc>
          <w:tcPr>
            <w:tcW w:w="1021" w:type="dxa"/>
            <w:tcBorders>
              <w:top w:val="nil"/>
              <w:left w:val="single" w:sz="4" w:space="0" w:color="auto"/>
              <w:bottom w:val="single" w:sz="4" w:space="0" w:color="auto"/>
              <w:right w:val="nil"/>
            </w:tcBorders>
            <w:shd w:val="clear" w:color="auto" w:fill="auto"/>
            <w:noWrap/>
            <w:vAlign w:val="bottom"/>
            <w:hideMark/>
          </w:tcPr>
          <w:p w14:paraId="5A9E74DA" w14:textId="6643AA27"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18,47</w:t>
            </w:r>
          </w:p>
        </w:tc>
        <w:tc>
          <w:tcPr>
            <w:tcW w:w="1085" w:type="dxa"/>
            <w:tcBorders>
              <w:top w:val="nil"/>
              <w:left w:val="nil"/>
              <w:bottom w:val="single" w:sz="4" w:space="0" w:color="auto"/>
              <w:right w:val="single" w:sz="4" w:space="0" w:color="auto"/>
            </w:tcBorders>
            <w:shd w:val="clear" w:color="auto" w:fill="auto"/>
            <w:noWrap/>
            <w:vAlign w:val="center"/>
            <w:hideMark/>
          </w:tcPr>
          <w:p w14:paraId="0BF5C18A"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+42 %  </w:t>
            </w:r>
          </w:p>
        </w:tc>
        <w:tc>
          <w:tcPr>
            <w:tcW w:w="824" w:type="dxa"/>
            <w:tcBorders>
              <w:top w:val="nil"/>
              <w:left w:val="nil"/>
              <w:bottom w:val="single" w:sz="4" w:space="0" w:color="auto"/>
              <w:right w:val="nil"/>
            </w:tcBorders>
            <w:shd w:val="clear" w:color="auto" w:fill="auto"/>
            <w:noWrap/>
            <w:vAlign w:val="bottom"/>
            <w:hideMark/>
          </w:tcPr>
          <w:p w14:paraId="6E0E85A6" w14:textId="50A09776"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4,75</w:t>
            </w:r>
          </w:p>
        </w:tc>
        <w:tc>
          <w:tcPr>
            <w:tcW w:w="1085" w:type="dxa"/>
            <w:tcBorders>
              <w:top w:val="nil"/>
              <w:left w:val="nil"/>
              <w:bottom w:val="single" w:sz="4" w:space="0" w:color="auto"/>
              <w:right w:val="nil"/>
            </w:tcBorders>
            <w:shd w:val="clear" w:color="auto" w:fill="auto"/>
            <w:noWrap/>
            <w:vAlign w:val="center"/>
            <w:hideMark/>
          </w:tcPr>
          <w:p w14:paraId="3E2A2C30"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03CE2F62" w14:textId="77777777" w:rsidTr="00A61B55">
        <w:trPr>
          <w:trHeight w:val="315"/>
        </w:trPr>
        <w:tc>
          <w:tcPr>
            <w:tcW w:w="1820" w:type="dxa"/>
            <w:tcBorders>
              <w:top w:val="nil"/>
              <w:left w:val="nil"/>
              <w:bottom w:val="single" w:sz="4" w:space="0" w:color="auto"/>
              <w:right w:val="nil"/>
            </w:tcBorders>
            <w:shd w:val="clear" w:color="auto" w:fill="auto"/>
            <w:noWrap/>
            <w:vAlign w:val="bottom"/>
            <w:hideMark/>
          </w:tcPr>
          <w:p w14:paraId="2FF907B5" w14:textId="77777777" w:rsidR="00A61B55" w:rsidRPr="00730B1E" w:rsidRDefault="00A61B55" w:rsidP="00A61B55">
            <w:pPr>
              <w:spacing w:line="240" w:lineRule="auto"/>
              <w:jc w:val="left"/>
              <w:rPr>
                <w:rFonts w:eastAsia="Times New Roman"/>
                <w:szCs w:val="24"/>
                <w:lang w:eastAsia="cs-CZ"/>
              </w:rPr>
            </w:pPr>
            <w:r w:rsidRPr="00730B1E">
              <w:rPr>
                <w:rFonts w:eastAsia="Times New Roman"/>
                <w:szCs w:val="24"/>
                <w:lang w:eastAsia="cs-CZ"/>
              </w:rPr>
              <w:t>KS Č. Budějovice</w:t>
            </w:r>
          </w:p>
        </w:tc>
        <w:tc>
          <w:tcPr>
            <w:tcW w:w="1059" w:type="dxa"/>
            <w:tcBorders>
              <w:top w:val="nil"/>
              <w:left w:val="nil"/>
              <w:bottom w:val="single" w:sz="4" w:space="0" w:color="auto"/>
              <w:right w:val="nil"/>
            </w:tcBorders>
            <w:shd w:val="clear" w:color="auto" w:fill="auto"/>
            <w:noWrap/>
            <w:vAlign w:val="bottom"/>
            <w:hideMark/>
          </w:tcPr>
          <w:p w14:paraId="7FA984E4" w14:textId="05DE12F6"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5,2</w:t>
            </w:r>
          </w:p>
        </w:tc>
        <w:tc>
          <w:tcPr>
            <w:tcW w:w="1021" w:type="dxa"/>
            <w:tcBorders>
              <w:top w:val="nil"/>
              <w:left w:val="nil"/>
              <w:bottom w:val="single" w:sz="4" w:space="0" w:color="auto"/>
              <w:right w:val="nil"/>
            </w:tcBorders>
            <w:shd w:val="clear" w:color="auto" w:fill="auto"/>
            <w:noWrap/>
            <w:vAlign w:val="bottom"/>
            <w:hideMark/>
          </w:tcPr>
          <w:p w14:paraId="255C0C60" w14:textId="551A97CB"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6,54</w:t>
            </w:r>
          </w:p>
        </w:tc>
        <w:tc>
          <w:tcPr>
            <w:tcW w:w="1085" w:type="dxa"/>
            <w:tcBorders>
              <w:top w:val="nil"/>
              <w:left w:val="nil"/>
              <w:bottom w:val="single" w:sz="4" w:space="0" w:color="auto"/>
              <w:right w:val="nil"/>
            </w:tcBorders>
            <w:shd w:val="clear" w:color="auto" w:fill="auto"/>
            <w:noWrap/>
            <w:vAlign w:val="center"/>
            <w:hideMark/>
          </w:tcPr>
          <w:p w14:paraId="575387EE"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-39 %  </w:t>
            </w:r>
          </w:p>
        </w:tc>
        <w:tc>
          <w:tcPr>
            <w:tcW w:w="1021" w:type="dxa"/>
            <w:tcBorders>
              <w:top w:val="nil"/>
              <w:left w:val="single" w:sz="4" w:space="0" w:color="auto"/>
              <w:bottom w:val="single" w:sz="4" w:space="0" w:color="auto"/>
              <w:right w:val="nil"/>
            </w:tcBorders>
            <w:shd w:val="clear" w:color="auto" w:fill="auto"/>
            <w:noWrap/>
            <w:vAlign w:val="bottom"/>
            <w:hideMark/>
          </w:tcPr>
          <w:p w14:paraId="3A92931F" w14:textId="04B9920B"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9,81</w:t>
            </w:r>
          </w:p>
        </w:tc>
        <w:tc>
          <w:tcPr>
            <w:tcW w:w="1085" w:type="dxa"/>
            <w:tcBorders>
              <w:top w:val="nil"/>
              <w:left w:val="nil"/>
              <w:bottom w:val="single" w:sz="4" w:space="0" w:color="auto"/>
              <w:right w:val="single" w:sz="4" w:space="0" w:color="auto"/>
            </w:tcBorders>
            <w:shd w:val="clear" w:color="auto" w:fill="auto"/>
            <w:noWrap/>
            <w:vAlign w:val="center"/>
            <w:hideMark/>
          </w:tcPr>
          <w:p w14:paraId="2422E80D"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824" w:type="dxa"/>
            <w:tcBorders>
              <w:top w:val="nil"/>
              <w:left w:val="nil"/>
              <w:bottom w:val="single" w:sz="4" w:space="0" w:color="auto"/>
              <w:right w:val="nil"/>
            </w:tcBorders>
            <w:shd w:val="clear" w:color="auto" w:fill="auto"/>
            <w:noWrap/>
            <w:vAlign w:val="bottom"/>
            <w:hideMark/>
          </w:tcPr>
          <w:p w14:paraId="6A2D01C1" w14:textId="36B2577D"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4,04</w:t>
            </w:r>
          </w:p>
        </w:tc>
        <w:tc>
          <w:tcPr>
            <w:tcW w:w="1085" w:type="dxa"/>
            <w:tcBorders>
              <w:top w:val="nil"/>
              <w:left w:val="nil"/>
              <w:bottom w:val="single" w:sz="4" w:space="0" w:color="auto"/>
              <w:right w:val="nil"/>
            </w:tcBorders>
            <w:shd w:val="clear" w:color="auto" w:fill="auto"/>
            <w:noWrap/>
            <w:vAlign w:val="center"/>
            <w:hideMark/>
          </w:tcPr>
          <w:p w14:paraId="5BA92A72"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-42 %  </w:t>
            </w:r>
          </w:p>
        </w:tc>
      </w:tr>
      <w:tr w:rsidR="00B64E96" w:rsidRPr="00730B1E" w14:paraId="016B51BD" w14:textId="77777777" w:rsidTr="00A61B55">
        <w:trPr>
          <w:trHeight w:val="315"/>
        </w:trPr>
        <w:tc>
          <w:tcPr>
            <w:tcW w:w="1820" w:type="dxa"/>
            <w:tcBorders>
              <w:top w:val="nil"/>
              <w:left w:val="nil"/>
              <w:bottom w:val="single" w:sz="4" w:space="0" w:color="auto"/>
              <w:right w:val="nil"/>
            </w:tcBorders>
            <w:shd w:val="clear" w:color="auto" w:fill="auto"/>
            <w:noWrap/>
            <w:vAlign w:val="bottom"/>
            <w:hideMark/>
          </w:tcPr>
          <w:p w14:paraId="17FC7F85" w14:textId="77777777" w:rsidR="00A61B55" w:rsidRPr="00730B1E" w:rsidRDefault="00A61B55" w:rsidP="00A61B55">
            <w:pPr>
              <w:spacing w:line="240" w:lineRule="auto"/>
              <w:jc w:val="left"/>
              <w:rPr>
                <w:rFonts w:eastAsia="Times New Roman"/>
                <w:szCs w:val="24"/>
                <w:lang w:eastAsia="cs-CZ"/>
              </w:rPr>
            </w:pPr>
            <w:r w:rsidRPr="00730B1E">
              <w:rPr>
                <w:rFonts w:eastAsia="Times New Roman"/>
                <w:szCs w:val="24"/>
                <w:lang w:eastAsia="cs-CZ"/>
              </w:rPr>
              <w:t>KS Plzeň</w:t>
            </w:r>
          </w:p>
        </w:tc>
        <w:tc>
          <w:tcPr>
            <w:tcW w:w="1059" w:type="dxa"/>
            <w:tcBorders>
              <w:top w:val="nil"/>
              <w:left w:val="nil"/>
              <w:bottom w:val="single" w:sz="4" w:space="0" w:color="auto"/>
              <w:right w:val="nil"/>
            </w:tcBorders>
            <w:shd w:val="clear" w:color="auto" w:fill="auto"/>
            <w:noWrap/>
            <w:vAlign w:val="bottom"/>
            <w:hideMark/>
          </w:tcPr>
          <w:p w14:paraId="4CB4DEA4" w14:textId="77777777"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6</w:t>
            </w:r>
          </w:p>
        </w:tc>
        <w:tc>
          <w:tcPr>
            <w:tcW w:w="1021" w:type="dxa"/>
            <w:tcBorders>
              <w:top w:val="nil"/>
              <w:left w:val="nil"/>
              <w:bottom w:val="single" w:sz="4" w:space="0" w:color="auto"/>
              <w:right w:val="nil"/>
            </w:tcBorders>
            <w:shd w:val="clear" w:color="auto" w:fill="auto"/>
            <w:noWrap/>
            <w:vAlign w:val="bottom"/>
            <w:hideMark/>
          </w:tcPr>
          <w:p w14:paraId="51CE24CD" w14:textId="2B7312F9"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18,17</w:t>
            </w:r>
          </w:p>
        </w:tc>
        <w:tc>
          <w:tcPr>
            <w:tcW w:w="1085" w:type="dxa"/>
            <w:tcBorders>
              <w:top w:val="nil"/>
              <w:left w:val="nil"/>
              <w:bottom w:val="single" w:sz="4" w:space="0" w:color="auto"/>
              <w:right w:val="nil"/>
            </w:tcBorders>
            <w:shd w:val="clear" w:color="auto" w:fill="auto"/>
            <w:noWrap/>
            <w:vAlign w:val="center"/>
            <w:hideMark/>
          </w:tcPr>
          <w:p w14:paraId="6C66A389"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021" w:type="dxa"/>
            <w:tcBorders>
              <w:top w:val="nil"/>
              <w:left w:val="single" w:sz="4" w:space="0" w:color="auto"/>
              <w:bottom w:val="single" w:sz="4" w:space="0" w:color="auto"/>
              <w:right w:val="nil"/>
            </w:tcBorders>
            <w:shd w:val="clear" w:color="auto" w:fill="auto"/>
            <w:noWrap/>
            <w:vAlign w:val="bottom"/>
            <w:hideMark/>
          </w:tcPr>
          <w:p w14:paraId="389CC185" w14:textId="6E75962D"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18,33</w:t>
            </w:r>
          </w:p>
        </w:tc>
        <w:tc>
          <w:tcPr>
            <w:tcW w:w="1085" w:type="dxa"/>
            <w:tcBorders>
              <w:top w:val="nil"/>
              <w:left w:val="nil"/>
              <w:bottom w:val="single" w:sz="4" w:space="0" w:color="auto"/>
              <w:right w:val="single" w:sz="4" w:space="0" w:color="auto"/>
            </w:tcBorders>
            <w:shd w:val="clear" w:color="auto" w:fill="auto"/>
            <w:noWrap/>
            <w:vAlign w:val="center"/>
            <w:hideMark/>
          </w:tcPr>
          <w:p w14:paraId="70B8E3CE"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824" w:type="dxa"/>
            <w:tcBorders>
              <w:top w:val="nil"/>
              <w:left w:val="nil"/>
              <w:bottom w:val="single" w:sz="4" w:space="0" w:color="auto"/>
              <w:right w:val="nil"/>
            </w:tcBorders>
            <w:shd w:val="clear" w:color="auto" w:fill="auto"/>
            <w:noWrap/>
            <w:vAlign w:val="bottom"/>
            <w:hideMark/>
          </w:tcPr>
          <w:p w14:paraId="00084389" w14:textId="503465C4"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9,17</w:t>
            </w:r>
          </w:p>
        </w:tc>
        <w:tc>
          <w:tcPr>
            <w:tcW w:w="1085" w:type="dxa"/>
            <w:tcBorders>
              <w:top w:val="nil"/>
              <w:left w:val="nil"/>
              <w:bottom w:val="single" w:sz="4" w:space="0" w:color="auto"/>
              <w:right w:val="nil"/>
            </w:tcBorders>
            <w:shd w:val="clear" w:color="auto" w:fill="auto"/>
            <w:noWrap/>
            <w:vAlign w:val="center"/>
            <w:hideMark/>
          </w:tcPr>
          <w:p w14:paraId="58138F3F"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6E9AB794" w14:textId="77777777" w:rsidTr="00A61B55">
        <w:trPr>
          <w:trHeight w:val="315"/>
        </w:trPr>
        <w:tc>
          <w:tcPr>
            <w:tcW w:w="1820" w:type="dxa"/>
            <w:tcBorders>
              <w:top w:val="nil"/>
              <w:left w:val="nil"/>
              <w:bottom w:val="single" w:sz="4" w:space="0" w:color="auto"/>
              <w:right w:val="nil"/>
            </w:tcBorders>
            <w:shd w:val="clear" w:color="auto" w:fill="auto"/>
            <w:noWrap/>
            <w:vAlign w:val="bottom"/>
            <w:hideMark/>
          </w:tcPr>
          <w:p w14:paraId="0D2B655A" w14:textId="77777777" w:rsidR="00A61B55" w:rsidRPr="00730B1E" w:rsidRDefault="00A61B55" w:rsidP="00A61B55">
            <w:pPr>
              <w:spacing w:line="240" w:lineRule="auto"/>
              <w:jc w:val="left"/>
              <w:rPr>
                <w:rFonts w:eastAsia="Times New Roman"/>
                <w:szCs w:val="24"/>
                <w:lang w:eastAsia="cs-CZ"/>
              </w:rPr>
            </w:pPr>
            <w:r w:rsidRPr="00730B1E">
              <w:rPr>
                <w:rFonts w:eastAsia="Times New Roman"/>
                <w:szCs w:val="24"/>
                <w:lang w:eastAsia="cs-CZ"/>
              </w:rPr>
              <w:t>KS Ústí n. Labem</w:t>
            </w:r>
          </w:p>
        </w:tc>
        <w:tc>
          <w:tcPr>
            <w:tcW w:w="1059" w:type="dxa"/>
            <w:tcBorders>
              <w:top w:val="nil"/>
              <w:left w:val="nil"/>
              <w:bottom w:val="single" w:sz="4" w:space="0" w:color="auto"/>
              <w:right w:val="nil"/>
            </w:tcBorders>
            <w:shd w:val="clear" w:color="auto" w:fill="auto"/>
            <w:noWrap/>
            <w:vAlign w:val="bottom"/>
            <w:hideMark/>
          </w:tcPr>
          <w:p w14:paraId="54DBEF2F" w14:textId="77777777"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14</w:t>
            </w:r>
          </w:p>
        </w:tc>
        <w:tc>
          <w:tcPr>
            <w:tcW w:w="1021" w:type="dxa"/>
            <w:tcBorders>
              <w:top w:val="nil"/>
              <w:left w:val="nil"/>
              <w:bottom w:val="single" w:sz="4" w:space="0" w:color="auto"/>
              <w:right w:val="nil"/>
            </w:tcBorders>
            <w:shd w:val="clear" w:color="auto" w:fill="auto"/>
            <w:noWrap/>
            <w:vAlign w:val="bottom"/>
            <w:hideMark/>
          </w:tcPr>
          <w:p w14:paraId="1473B9FA" w14:textId="42D6FF6A"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12,29</w:t>
            </w:r>
          </w:p>
        </w:tc>
        <w:tc>
          <w:tcPr>
            <w:tcW w:w="1085" w:type="dxa"/>
            <w:tcBorders>
              <w:top w:val="nil"/>
              <w:left w:val="nil"/>
              <w:bottom w:val="single" w:sz="4" w:space="0" w:color="auto"/>
              <w:right w:val="nil"/>
            </w:tcBorders>
            <w:shd w:val="clear" w:color="auto" w:fill="auto"/>
            <w:noWrap/>
            <w:vAlign w:val="center"/>
            <w:hideMark/>
          </w:tcPr>
          <w:p w14:paraId="36B26A29"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021" w:type="dxa"/>
            <w:tcBorders>
              <w:top w:val="nil"/>
              <w:left w:val="single" w:sz="4" w:space="0" w:color="auto"/>
              <w:bottom w:val="single" w:sz="4" w:space="0" w:color="auto"/>
              <w:right w:val="nil"/>
            </w:tcBorders>
            <w:shd w:val="clear" w:color="auto" w:fill="auto"/>
            <w:noWrap/>
            <w:vAlign w:val="bottom"/>
            <w:hideMark/>
          </w:tcPr>
          <w:p w14:paraId="759F8587" w14:textId="2F8EFEFA"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12,21</w:t>
            </w:r>
          </w:p>
        </w:tc>
        <w:tc>
          <w:tcPr>
            <w:tcW w:w="1085" w:type="dxa"/>
            <w:tcBorders>
              <w:top w:val="nil"/>
              <w:left w:val="nil"/>
              <w:bottom w:val="single" w:sz="4" w:space="0" w:color="auto"/>
              <w:right w:val="single" w:sz="4" w:space="0" w:color="auto"/>
            </w:tcBorders>
            <w:shd w:val="clear" w:color="auto" w:fill="auto"/>
            <w:noWrap/>
            <w:vAlign w:val="center"/>
            <w:hideMark/>
          </w:tcPr>
          <w:p w14:paraId="03D275B2"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c>
          <w:tcPr>
            <w:tcW w:w="824" w:type="dxa"/>
            <w:tcBorders>
              <w:top w:val="nil"/>
              <w:left w:val="nil"/>
              <w:bottom w:val="single" w:sz="4" w:space="0" w:color="auto"/>
              <w:right w:val="nil"/>
            </w:tcBorders>
            <w:shd w:val="clear" w:color="auto" w:fill="auto"/>
            <w:noWrap/>
            <w:vAlign w:val="bottom"/>
            <w:hideMark/>
          </w:tcPr>
          <w:p w14:paraId="3BF9E5A3" w14:textId="5F15C332"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7,50</w:t>
            </w:r>
          </w:p>
        </w:tc>
        <w:tc>
          <w:tcPr>
            <w:tcW w:w="1085" w:type="dxa"/>
            <w:tcBorders>
              <w:top w:val="nil"/>
              <w:left w:val="nil"/>
              <w:bottom w:val="single" w:sz="4" w:space="0" w:color="auto"/>
              <w:right w:val="nil"/>
            </w:tcBorders>
            <w:shd w:val="clear" w:color="auto" w:fill="auto"/>
            <w:noWrap/>
            <w:vAlign w:val="center"/>
            <w:hideMark/>
          </w:tcPr>
          <w:p w14:paraId="7CEB6BFD"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r>
      <w:tr w:rsidR="00B64E96" w:rsidRPr="00730B1E" w14:paraId="5E0EADB0" w14:textId="77777777" w:rsidTr="00A61B55">
        <w:trPr>
          <w:trHeight w:val="315"/>
        </w:trPr>
        <w:tc>
          <w:tcPr>
            <w:tcW w:w="1820" w:type="dxa"/>
            <w:tcBorders>
              <w:top w:val="nil"/>
              <w:left w:val="nil"/>
              <w:bottom w:val="single" w:sz="4" w:space="0" w:color="auto"/>
              <w:right w:val="nil"/>
            </w:tcBorders>
            <w:shd w:val="clear" w:color="auto" w:fill="auto"/>
            <w:noWrap/>
            <w:vAlign w:val="bottom"/>
            <w:hideMark/>
          </w:tcPr>
          <w:p w14:paraId="40818D8B" w14:textId="77777777" w:rsidR="00A61B55" w:rsidRPr="00730B1E" w:rsidRDefault="00A61B55" w:rsidP="00A61B55">
            <w:pPr>
              <w:spacing w:line="240" w:lineRule="auto"/>
              <w:jc w:val="left"/>
              <w:rPr>
                <w:rFonts w:eastAsia="Times New Roman"/>
                <w:szCs w:val="24"/>
                <w:lang w:eastAsia="cs-CZ"/>
              </w:rPr>
            </w:pPr>
            <w:r w:rsidRPr="00730B1E">
              <w:rPr>
                <w:rFonts w:eastAsia="Times New Roman"/>
                <w:szCs w:val="24"/>
                <w:lang w:eastAsia="cs-CZ"/>
              </w:rPr>
              <w:t>KS Hr. Králové</w:t>
            </w:r>
          </w:p>
        </w:tc>
        <w:tc>
          <w:tcPr>
            <w:tcW w:w="1059" w:type="dxa"/>
            <w:tcBorders>
              <w:top w:val="nil"/>
              <w:left w:val="nil"/>
              <w:bottom w:val="single" w:sz="4" w:space="0" w:color="auto"/>
              <w:right w:val="nil"/>
            </w:tcBorders>
            <w:shd w:val="clear" w:color="auto" w:fill="auto"/>
            <w:noWrap/>
            <w:vAlign w:val="bottom"/>
            <w:hideMark/>
          </w:tcPr>
          <w:p w14:paraId="451FF32C" w14:textId="2D1AE4B3"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7,4</w:t>
            </w:r>
          </w:p>
        </w:tc>
        <w:tc>
          <w:tcPr>
            <w:tcW w:w="1021" w:type="dxa"/>
            <w:tcBorders>
              <w:top w:val="nil"/>
              <w:left w:val="nil"/>
              <w:bottom w:val="single" w:sz="4" w:space="0" w:color="auto"/>
              <w:right w:val="nil"/>
            </w:tcBorders>
            <w:shd w:val="clear" w:color="auto" w:fill="auto"/>
            <w:noWrap/>
            <w:vAlign w:val="bottom"/>
            <w:hideMark/>
          </w:tcPr>
          <w:p w14:paraId="75C0CB7A" w14:textId="3AFB488E"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11,35</w:t>
            </w:r>
          </w:p>
        </w:tc>
        <w:tc>
          <w:tcPr>
            <w:tcW w:w="1085" w:type="dxa"/>
            <w:tcBorders>
              <w:top w:val="nil"/>
              <w:left w:val="nil"/>
              <w:bottom w:val="single" w:sz="4" w:space="0" w:color="auto"/>
              <w:right w:val="nil"/>
            </w:tcBorders>
            <w:shd w:val="clear" w:color="auto" w:fill="auto"/>
            <w:noWrap/>
            <w:vAlign w:val="center"/>
            <w:hideMark/>
          </w:tcPr>
          <w:p w14:paraId="004B0820"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1021" w:type="dxa"/>
            <w:tcBorders>
              <w:top w:val="nil"/>
              <w:left w:val="single" w:sz="4" w:space="0" w:color="auto"/>
              <w:bottom w:val="single" w:sz="4" w:space="0" w:color="auto"/>
              <w:right w:val="nil"/>
            </w:tcBorders>
            <w:shd w:val="clear" w:color="auto" w:fill="auto"/>
            <w:noWrap/>
            <w:vAlign w:val="bottom"/>
            <w:hideMark/>
          </w:tcPr>
          <w:p w14:paraId="59837064" w14:textId="13A5E338"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11,62</w:t>
            </w:r>
          </w:p>
        </w:tc>
        <w:tc>
          <w:tcPr>
            <w:tcW w:w="1085" w:type="dxa"/>
            <w:tcBorders>
              <w:top w:val="nil"/>
              <w:left w:val="nil"/>
              <w:bottom w:val="single" w:sz="4" w:space="0" w:color="auto"/>
              <w:right w:val="single" w:sz="4" w:space="0" w:color="auto"/>
            </w:tcBorders>
            <w:shd w:val="clear" w:color="auto" w:fill="auto"/>
            <w:noWrap/>
            <w:vAlign w:val="center"/>
            <w:hideMark/>
          </w:tcPr>
          <w:p w14:paraId="227B9216"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824" w:type="dxa"/>
            <w:tcBorders>
              <w:top w:val="nil"/>
              <w:left w:val="nil"/>
              <w:bottom w:val="single" w:sz="4" w:space="0" w:color="auto"/>
              <w:right w:val="nil"/>
            </w:tcBorders>
            <w:shd w:val="clear" w:color="auto" w:fill="auto"/>
            <w:noWrap/>
            <w:vAlign w:val="bottom"/>
            <w:hideMark/>
          </w:tcPr>
          <w:p w14:paraId="79A00B1D" w14:textId="58C7C0EC"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2,97</w:t>
            </w:r>
          </w:p>
        </w:tc>
        <w:tc>
          <w:tcPr>
            <w:tcW w:w="1085" w:type="dxa"/>
            <w:tcBorders>
              <w:top w:val="nil"/>
              <w:left w:val="nil"/>
              <w:bottom w:val="single" w:sz="4" w:space="0" w:color="auto"/>
              <w:right w:val="nil"/>
            </w:tcBorders>
            <w:shd w:val="clear" w:color="auto" w:fill="auto"/>
            <w:noWrap/>
            <w:vAlign w:val="center"/>
            <w:hideMark/>
          </w:tcPr>
          <w:p w14:paraId="0BD74F6D"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r>
      <w:tr w:rsidR="00B64E96" w:rsidRPr="00730B1E" w14:paraId="4F47D6D4" w14:textId="77777777" w:rsidTr="00A61B55">
        <w:trPr>
          <w:trHeight w:val="315"/>
        </w:trPr>
        <w:tc>
          <w:tcPr>
            <w:tcW w:w="1820" w:type="dxa"/>
            <w:tcBorders>
              <w:top w:val="nil"/>
              <w:left w:val="nil"/>
              <w:bottom w:val="single" w:sz="4" w:space="0" w:color="auto"/>
              <w:right w:val="nil"/>
            </w:tcBorders>
            <w:shd w:val="clear" w:color="auto" w:fill="auto"/>
            <w:noWrap/>
            <w:vAlign w:val="bottom"/>
            <w:hideMark/>
          </w:tcPr>
          <w:p w14:paraId="742A0F67" w14:textId="77777777" w:rsidR="00A61B55" w:rsidRPr="00730B1E" w:rsidRDefault="00A61B55" w:rsidP="00A61B55">
            <w:pPr>
              <w:spacing w:line="240" w:lineRule="auto"/>
              <w:jc w:val="left"/>
              <w:rPr>
                <w:rFonts w:eastAsia="Times New Roman"/>
                <w:szCs w:val="24"/>
                <w:lang w:eastAsia="cs-CZ"/>
              </w:rPr>
            </w:pPr>
            <w:r w:rsidRPr="00730B1E">
              <w:rPr>
                <w:rFonts w:eastAsia="Times New Roman"/>
                <w:szCs w:val="24"/>
                <w:lang w:eastAsia="cs-CZ"/>
              </w:rPr>
              <w:t>KS Brno</w:t>
            </w:r>
          </w:p>
        </w:tc>
        <w:tc>
          <w:tcPr>
            <w:tcW w:w="1059" w:type="dxa"/>
            <w:tcBorders>
              <w:top w:val="nil"/>
              <w:left w:val="nil"/>
              <w:bottom w:val="single" w:sz="4" w:space="0" w:color="auto"/>
              <w:right w:val="nil"/>
            </w:tcBorders>
            <w:shd w:val="clear" w:color="auto" w:fill="auto"/>
            <w:noWrap/>
            <w:vAlign w:val="bottom"/>
            <w:hideMark/>
          </w:tcPr>
          <w:p w14:paraId="0C9DD3CA" w14:textId="77777777"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13</w:t>
            </w:r>
          </w:p>
        </w:tc>
        <w:tc>
          <w:tcPr>
            <w:tcW w:w="1021" w:type="dxa"/>
            <w:tcBorders>
              <w:top w:val="nil"/>
              <w:left w:val="nil"/>
              <w:bottom w:val="single" w:sz="4" w:space="0" w:color="auto"/>
              <w:right w:val="nil"/>
            </w:tcBorders>
            <w:shd w:val="clear" w:color="auto" w:fill="auto"/>
            <w:noWrap/>
            <w:vAlign w:val="bottom"/>
            <w:hideMark/>
          </w:tcPr>
          <w:p w14:paraId="1DD2991E" w14:textId="1297465E"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15,46</w:t>
            </w:r>
          </w:p>
        </w:tc>
        <w:tc>
          <w:tcPr>
            <w:tcW w:w="1085" w:type="dxa"/>
            <w:tcBorders>
              <w:top w:val="nil"/>
              <w:left w:val="nil"/>
              <w:bottom w:val="single" w:sz="4" w:space="0" w:color="auto"/>
              <w:right w:val="nil"/>
            </w:tcBorders>
            <w:shd w:val="clear" w:color="auto" w:fill="auto"/>
            <w:noWrap/>
            <w:vAlign w:val="center"/>
            <w:hideMark/>
          </w:tcPr>
          <w:p w14:paraId="3348D83C"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21" w:type="dxa"/>
            <w:tcBorders>
              <w:top w:val="nil"/>
              <w:left w:val="single" w:sz="4" w:space="0" w:color="auto"/>
              <w:bottom w:val="single" w:sz="4" w:space="0" w:color="auto"/>
              <w:right w:val="nil"/>
            </w:tcBorders>
            <w:shd w:val="clear" w:color="auto" w:fill="auto"/>
            <w:noWrap/>
            <w:vAlign w:val="bottom"/>
            <w:hideMark/>
          </w:tcPr>
          <w:p w14:paraId="0C9C4274" w14:textId="729F35F7"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15,62</w:t>
            </w:r>
          </w:p>
        </w:tc>
        <w:tc>
          <w:tcPr>
            <w:tcW w:w="1085" w:type="dxa"/>
            <w:tcBorders>
              <w:top w:val="nil"/>
              <w:left w:val="nil"/>
              <w:bottom w:val="single" w:sz="4" w:space="0" w:color="auto"/>
              <w:right w:val="single" w:sz="4" w:space="0" w:color="auto"/>
            </w:tcBorders>
            <w:shd w:val="clear" w:color="auto" w:fill="auto"/>
            <w:noWrap/>
            <w:vAlign w:val="center"/>
            <w:hideMark/>
          </w:tcPr>
          <w:p w14:paraId="61AE08A5"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824" w:type="dxa"/>
            <w:tcBorders>
              <w:top w:val="nil"/>
              <w:left w:val="nil"/>
              <w:bottom w:val="single" w:sz="4" w:space="0" w:color="auto"/>
              <w:right w:val="nil"/>
            </w:tcBorders>
            <w:shd w:val="clear" w:color="auto" w:fill="auto"/>
            <w:noWrap/>
            <w:vAlign w:val="bottom"/>
            <w:hideMark/>
          </w:tcPr>
          <w:p w14:paraId="6C8E9E18" w14:textId="7B03CC9C"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8,00</w:t>
            </w:r>
          </w:p>
        </w:tc>
        <w:tc>
          <w:tcPr>
            <w:tcW w:w="1085" w:type="dxa"/>
            <w:tcBorders>
              <w:top w:val="nil"/>
              <w:left w:val="nil"/>
              <w:bottom w:val="single" w:sz="4" w:space="0" w:color="auto"/>
              <w:right w:val="nil"/>
            </w:tcBorders>
            <w:shd w:val="clear" w:color="auto" w:fill="auto"/>
            <w:noWrap/>
            <w:vAlign w:val="center"/>
            <w:hideMark/>
          </w:tcPr>
          <w:p w14:paraId="3653FE19"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r>
      <w:tr w:rsidR="00B64E96" w:rsidRPr="00730B1E" w14:paraId="392F9C07" w14:textId="77777777" w:rsidTr="00A61B55">
        <w:trPr>
          <w:trHeight w:val="330"/>
        </w:trPr>
        <w:tc>
          <w:tcPr>
            <w:tcW w:w="1820" w:type="dxa"/>
            <w:tcBorders>
              <w:top w:val="nil"/>
              <w:left w:val="nil"/>
              <w:bottom w:val="double" w:sz="6" w:space="0" w:color="auto"/>
              <w:right w:val="nil"/>
            </w:tcBorders>
            <w:shd w:val="clear" w:color="auto" w:fill="auto"/>
            <w:noWrap/>
            <w:vAlign w:val="bottom"/>
            <w:hideMark/>
          </w:tcPr>
          <w:p w14:paraId="12096360" w14:textId="77777777" w:rsidR="00A61B55" w:rsidRPr="00730B1E" w:rsidRDefault="00A61B55" w:rsidP="00A61B55">
            <w:pPr>
              <w:spacing w:line="240" w:lineRule="auto"/>
              <w:jc w:val="left"/>
              <w:rPr>
                <w:rFonts w:eastAsia="Times New Roman"/>
                <w:szCs w:val="24"/>
                <w:lang w:eastAsia="cs-CZ"/>
              </w:rPr>
            </w:pPr>
            <w:r w:rsidRPr="00730B1E">
              <w:rPr>
                <w:rFonts w:eastAsia="Times New Roman"/>
                <w:szCs w:val="24"/>
                <w:lang w:eastAsia="cs-CZ"/>
              </w:rPr>
              <w:t>KS Ostrava</w:t>
            </w:r>
          </w:p>
        </w:tc>
        <w:tc>
          <w:tcPr>
            <w:tcW w:w="1059" w:type="dxa"/>
            <w:tcBorders>
              <w:top w:val="nil"/>
              <w:left w:val="nil"/>
              <w:bottom w:val="double" w:sz="6" w:space="0" w:color="auto"/>
              <w:right w:val="nil"/>
            </w:tcBorders>
            <w:shd w:val="clear" w:color="auto" w:fill="auto"/>
            <w:noWrap/>
            <w:vAlign w:val="bottom"/>
            <w:hideMark/>
          </w:tcPr>
          <w:p w14:paraId="0D3623FC" w14:textId="77777777"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17</w:t>
            </w:r>
          </w:p>
        </w:tc>
        <w:tc>
          <w:tcPr>
            <w:tcW w:w="1021" w:type="dxa"/>
            <w:tcBorders>
              <w:top w:val="nil"/>
              <w:left w:val="nil"/>
              <w:bottom w:val="double" w:sz="6" w:space="0" w:color="auto"/>
              <w:right w:val="nil"/>
            </w:tcBorders>
            <w:shd w:val="clear" w:color="auto" w:fill="auto"/>
            <w:noWrap/>
            <w:vAlign w:val="bottom"/>
            <w:hideMark/>
          </w:tcPr>
          <w:p w14:paraId="710F204F" w14:textId="718AB9BE"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12,35</w:t>
            </w:r>
          </w:p>
        </w:tc>
        <w:tc>
          <w:tcPr>
            <w:tcW w:w="1085" w:type="dxa"/>
            <w:tcBorders>
              <w:top w:val="nil"/>
              <w:left w:val="nil"/>
              <w:bottom w:val="double" w:sz="6" w:space="0" w:color="auto"/>
              <w:right w:val="nil"/>
            </w:tcBorders>
            <w:shd w:val="clear" w:color="auto" w:fill="auto"/>
            <w:noWrap/>
            <w:vAlign w:val="center"/>
            <w:hideMark/>
          </w:tcPr>
          <w:p w14:paraId="6C576584"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1021" w:type="dxa"/>
            <w:tcBorders>
              <w:top w:val="nil"/>
              <w:left w:val="single" w:sz="4" w:space="0" w:color="auto"/>
              <w:bottom w:val="double" w:sz="6" w:space="0" w:color="auto"/>
              <w:right w:val="nil"/>
            </w:tcBorders>
            <w:shd w:val="clear" w:color="auto" w:fill="auto"/>
            <w:noWrap/>
            <w:vAlign w:val="bottom"/>
            <w:hideMark/>
          </w:tcPr>
          <w:p w14:paraId="6FDE6BAA" w14:textId="36D96D32"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10,59</w:t>
            </w:r>
          </w:p>
        </w:tc>
        <w:tc>
          <w:tcPr>
            <w:tcW w:w="1085" w:type="dxa"/>
            <w:tcBorders>
              <w:top w:val="nil"/>
              <w:left w:val="nil"/>
              <w:bottom w:val="double" w:sz="6" w:space="0" w:color="auto"/>
              <w:right w:val="single" w:sz="4" w:space="0" w:color="auto"/>
            </w:tcBorders>
            <w:shd w:val="clear" w:color="auto" w:fill="auto"/>
            <w:noWrap/>
            <w:vAlign w:val="center"/>
            <w:hideMark/>
          </w:tcPr>
          <w:p w14:paraId="42D55C8F"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c>
          <w:tcPr>
            <w:tcW w:w="824" w:type="dxa"/>
            <w:tcBorders>
              <w:top w:val="nil"/>
              <w:left w:val="nil"/>
              <w:bottom w:val="double" w:sz="6" w:space="0" w:color="auto"/>
              <w:right w:val="nil"/>
            </w:tcBorders>
            <w:shd w:val="clear" w:color="auto" w:fill="auto"/>
            <w:noWrap/>
            <w:vAlign w:val="bottom"/>
            <w:hideMark/>
          </w:tcPr>
          <w:p w14:paraId="0E4CA0E9" w14:textId="60F2768D" w:rsidR="00A61B55" w:rsidRPr="00730B1E" w:rsidRDefault="00A61B55" w:rsidP="00A61B55">
            <w:pPr>
              <w:spacing w:line="240" w:lineRule="auto"/>
              <w:jc w:val="center"/>
              <w:rPr>
                <w:rFonts w:eastAsia="Times New Roman"/>
                <w:szCs w:val="24"/>
                <w:lang w:eastAsia="cs-CZ"/>
              </w:rPr>
            </w:pPr>
            <w:r w:rsidRPr="00730B1E">
              <w:rPr>
                <w:rFonts w:eastAsia="Times New Roman"/>
                <w:szCs w:val="24"/>
                <w:lang w:eastAsia="cs-CZ"/>
              </w:rPr>
              <w:t>6,59</w:t>
            </w:r>
          </w:p>
        </w:tc>
        <w:tc>
          <w:tcPr>
            <w:tcW w:w="1085" w:type="dxa"/>
            <w:tcBorders>
              <w:top w:val="nil"/>
              <w:left w:val="nil"/>
              <w:bottom w:val="double" w:sz="6" w:space="0" w:color="auto"/>
              <w:right w:val="nil"/>
            </w:tcBorders>
            <w:shd w:val="clear" w:color="auto" w:fill="auto"/>
            <w:noWrap/>
            <w:vAlign w:val="center"/>
            <w:hideMark/>
          </w:tcPr>
          <w:p w14:paraId="2CC5BEA5" w14:textId="77777777" w:rsidR="00A61B55" w:rsidRPr="00730B1E" w:rsidRDefault="00A61B55" w:rsidP="00A61B55">
            <w:pPr>
              <w:spacing w:line="240" w:lineRule="auto"/>
              <w:jc w:val="center"/>
              <w:rPr>
                <w:rFonts w:eastAsia="Times New Roman"/>
                <w:sz w:val="20"/>
                <w:szCs w:val="20"/>
                <w:lang w:eastAsia="cs-CZ"/>
              </w:rPr>
            </w:pPr>
            <w:r w:rsidRPr="00730B1E">
              <w:rPr>
                <w:rFonts w:eastAsia="Times New Roman"/>
                <w:sz w:val="20"/>
                <w:szCs w:val="20"/>
                <w:lang w:eastAsia="cs-CZ"/>
              </w:rPr>
              <w:t xml:space="preserve">+25 %  </w:t>
            </w:r>
          </w:p>
        </w:tc>
      </w:tr>
      <w:tr w:rsidR="00B64E96" w:rsidRPr="00730B1E" w14:paraId="3CC68E8C" w14:textId="77777777" w:rsidTr="00A61B55">
        <w:trPr>
          <w:trHeight w:val="345"/>
        </w:trPr>
        <w:tc>
          <w:tcPr>
            <w:tcW w:w="1820" w:type="dxa"/>
            <w:tcBorders>
              <w:top w:val="nil"/>
              <w:left w:val="nil"/>
              <w:bottom w:val="double" w:sz="6" w:space="0" w:color="auto"/>
              <w:right w:val="nil"/>
            </w:tcBorders>
            <w:shd w:val="clear" w:color="auto" w:fill="auto"/>
            <w:noWrap/>
            <w:vAlign w:val="bottom"/>
            <w:hideMark/>
          </w:tcPr>
          <w:p w14:paraId="72819B72" w14:textId="77777777" w:rsidR="00A61B55" w:rsidRPr="00730B1E" w:rsidRDefault="00A61B55" w:rsidP="00A61B55">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59" w:type="dxa"/>
            <w:tcBorders>
              <w:top w:val="nil"/>
              <w:left w:val="nil"/>
              <w:bottom w:val="double" w:sz="6" w:space="0" w:color="auto"/>
              <w:right w:val="nil"/>
            </w:tcBorders>
            <w:shd w:val="clear" w:color="auto" w:fill="auto"/>
            <w:noWrap/>
            <w:vAlign w:val="bottom"/>
            <w:hideMark/>
          </w:tcPr>
          <w:p w14:paraId="71355B9F" w14:textId="2AE6CF55"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87,2</w:t>
            </w:r>
          </w:p>
        </w:tc>
        <w:tc>
          <w:tcPr>
            <w:tcW w:w="1021" w:type="dxa"/>
            <w:tcBorders>
              <w:top w:val="nil"/>
              <w:left w:val="nil"/>
              <w:bottom w:val="double" w:sz="6" w:space="0" w:color="auto"/>
              <w:right w:val="nil"/>
            </w:tcBorders>
            <w:shd w:val="clear" w:color="auto" w:fill="auto"/>
            <w:noWrap/>
            <w:vAlign w:val="bottom"/>
            <w:hideMark/>
          </w:tcPr>
          <w:p w14:paraId="2708E2AB" w14:textId="43091474"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13,77</w:t>
            </w:r>
          </w:p>
        </w:tc>
        <w:tc>
          <w:tcPr>
            <w:tcW w:w="1085" w:type="dxa"/>
            <w:tcBorders>
              <w:top w:val="nil"/>
              <w:left w:val="nil"/>
              <w:bottom w:val="double" w:sz="6" w:space="0" w:color="auto"/>
              <w:right w:val="nil"/>
            </w:tcBorders>
            <w:shd w:val="clear" w:color="auto" w:fill="auto"/>
            <w:noWrap/>
            <w:vAlign w:val="center"/>
            <w:hideMark/>
          </w:tcPr>
          <w:p w14:paraId="1AEC6FFF" w14:textId="77777777" w:rsidR="00A61B55" w:rsidRPr="00730B1E" w:rsidRDefault="00A61B55" w:rsidP="00A61B55">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+3 %  </w:t>
            </w:r>
          </w:p>
        </w:tc>
        <w:tc>
          <w:tcPr>
            <w:tcW w:w="1021" w:type="dxa"/>
            <w:tcBorders>
              <w:top w:val="nil"/>
              <w:left w:val="single" w:sz="4" w:space="0" w:color="auto"/>
              <w:bottom w:val="double" w:sz="6" w:space="0" w:color="auto"/>
              <w:right w:val="nil"/>
            </w:tcBorders>
            <w:shd w:val="clear" w:color="auto" w:fill="auto"/>
            <w:noWrap/>
            <w:vAlign w:val="bottom"/>
            <w:hideMark/>
          </w:tcPr>
          <w:p w14:paraId="7B91541D" w14:textId="31DAA89E"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14,07</w:t>
            </w:r>
          </w:p>
        </w:tc>
        <w:tc>
          <w:tcPr>
            <w:tcW w:w="1085" w:type="dxa"/>
            <w:tcBorders>
              <w:top w:val="nil"/>
              <w:left w:val="nil"/>
              <w:bottom w:val="double" w:sz="6" w:space="0" w:color="auto"/>
              <w:right w:val="single" w:sz="4" w:space="0" w:color="auto"/>
            </w:tcBorders>
            <w:shd w:val="clear" w:color="auto" w:fill="auto"/>
            <w:noWrap/>
            <w:vAlign w:val="center"/>
            <w:hideMark/>
          </w:tcPr>
          <w:p w14:paraId="1154CB82" w14:textId="77777777" w:rsidR="00A61B55" w:rsidRPr="00730B1E" w:rsidRDefault="00A61B55" w:rsidP="00A61B55">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+3 %  </w:t>
            </w:r>
          </w:p>
        </w:tc>
        <w:tc>
          <w:tcPr>
            <w:tcW w:w="824" w:type="dxa"/>
            <w:tcBorders>
              <w:top w:val="nil"/>
              <w:left w:val="nil"/>
              <w:bottom w:val="double" w:sz="6" w:space="0" w:color="auto"/>
              <w:right w:val="nil"/>
            </w:tcBorders>
            <w:shd w:val="clear" w:color="auto" w:fill="auto"/>
            <w:noWrap/>
            <w:vAlign w:val="bottom"/>
            <w:hideMark/>
          </w:tcPr>
          <w:p w14:paraId="7D0FEE26" w14:textId="4D7FAFD1" w:rsidR="00A61B55" w:rsidRPr="00730B1E" w:rsidRDefault="00A61B55" w:rsidP="00A61B55">
            <w:pPr>
              <w:spacing w:line="240" w:lineRule="auto"/>
              <w:jc w:val="center"/>
              <w:rPr>
                <w:rFonts w:eastAsia="Times New Roman"/>
                <w:b/>
                <w:bCs/>
                <w:szCs w:val="24"/>
                <w:lang w:eastAsia="cs-CZ"/>
              </w:rPr>
            </w:pPr>
            <w:r w:rsidRPr="00730B1E">
              <w:rPr>
                <w:rFonts w:eastAsia="Times New Roman"/>
                <w:b/>
                <w:bCs/>
                <w:szCs w:val="24"/>
                <w:lang w:eastAsia="cs-CZ"/>
              </w:rPr>
              <w:t>6,82</w:t>
            </w:r>
          </w:p>
        </w:tc>
        <w:tc>
          <w:tcPr>
            <w:tcW w:w="1085" w:type="dxa"/>
            <w:tcBorders>
              <w:top w:val="nil"/>
              <w:left w:val="nil"/>
              <w:bottom w:val="double" w:sz="6" w:space="0" w:color="auto"/>
              <w:right w:val="nil"/>
            </w:tcBorders>
            <w:shd w:val="clear" w:color="auto" w:fill="auto"/>
            <w:noWrap/>
            <w:vAlign w:val="center"/>
            <w:hideMark/>
          </w:tcPr>
          <w:p w14:paraId="67302349" w14:textId="77777777" w:rsidR="00A61B55" w:rsidRPr="00730B1E" w:rsidRDefault="00A61B55" w:rsidP="00A61B55">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-6 %  </w:t>
            </w:r>
          </w:p>
        </w:tc>
      </w:tr>
      <w:tr w:rsidR="00B64E96" w:rsidRPr="00730B1E" w14:paraId="5D311C29" w14:textId="77777777" w:rsidTr="00A61B55">
        <w:trPr>
          <w:trHeight w:val="330"/>
        </w:trPr>
        <w:tc>
          <w:tcPr>
            <w:tcW w:w="1820" w:type="dxa"/>
            <w:tcBorders>
              <w:top w:val="nil"/>
              <w:left w:val="nil"/>
              <w:bottom w:val="nil"/>
              <w:right w:val="nil"/>
            </w:tcBorders>
            <w:shd w:val="clear" w:color="auto" w:fill="auto"/>
            <w:noWrap/>
            <w:vAlign w:val="bottom"/>
            <w:hideMark/>
          </w:tcPr>
          <w:p w14:paraId="28576156" w14:textId="77777777" w:rsidR="00A61B55" w:rsidRPr="00730B1E" w:rsidRDefault="00A61B55" w:rsidP="00A61B55">
            <w:pPr>
              <w:spacing w:line="240" w:lineRule="auto"/>
              <w:jc w:val="center"/>
              <w:rPr>
                <w:rFonts w:eastAsia="Times New Roman"/>
                <w:b/>
                <w:bCs/>
                <w:sz w:val="20"/>
                <w:szCs w:val="20"/>
                <w:lang w:eastAsia="cs-CZ"/>
              </w:rPr>
            </w:pPr>
          </w:p>
        </w:tc>
        <w:tc>
          <w:tcPr>
            <w:tcW w:w="1059" w:type="dxa"/>
            <w:tcBorders>
              <w:top w:val="nil"/>
              <w:left w:val="nil"/>
              <w:bottom w:val="nil"/>
              <w:right w:val="nil"/>
            </w:tcBorders>
            <w:shd w:val="clear" w:color="auto" w:fill="auto"/>
            <w:noWrap/>
            <w:vAlign w:val="bottom"/>
            <w:hideMark/>
          </w:tcPr>
          <w:p w14:paraId="3B3DD6DE" w14:textId="77777777" w:rsidR="00A61B55" w:rsidRPr="00DF07F3" w:rsidRDefault="00A61B55" w:rsidP="00A61B55">
            <w:pPr>
              <w:spacing w:line="240" w:lineRule="auto"/>
              <w:jc w:val="left"/>
              <w:rPr>
                <w:sz w:val="20"/>
              </w:rPr>
            </w:pPr>
          </w:p>
        </w:tc>
        <w:tc>
          <w:tcPr>
            <w:tcW w:w="1021" w:type="dxa"/>
            <w:tcBorders>
              <w:top w:val="nil"/>
              <w:left w:val="nil"/>
              <w:bottom w:val="nil"/>
              <w:right w:val="nil"/>
            </w:tcBorders>
            <w:shd w:val="clear" w:color="auto" w:fill="auto"/>
            <w:noWrap/>
            <w:vAlign w:val="bottom"/>
            <w:hideMark/>
          </w:tcPr>
          <w:p w14:paraId="4E68C615" w14:textId="77777777" w:rsidR="00A61B55" w:rsidRPr="00DF07F3" w:rsidRDefault="00A61B55" w:rsidP="00A61B55">
            <w:pPr>
              <w:spacing w:line="240" w:lineRule="auto"/>
              <w:jc w:val="left"/>
              <w:rPr>
                <w:sz w:val="20"/>
              </w:rPr>
            </w:pPr>
          </w:p>
        </w:tc>
        <w:tc>
          <w:tcPr>
            <w:tcW w:w="1085" w:type="dxa"/>
            <w:tcBorders>
              <w:top w:val="nil"/>
              <w:left w:val="nil"/>
              <w:bottom w:val="nil"/>
              <w:right w:val="nil"/>
            </w:tcBorders>
            <w:shd w:val="clear" w:color="auto" w:fill="auto"/>
            <w:noWrap/>
            <w:vAlign w:val="bottom"/>
            <w:hideMark/>
          </w:tcPr>
          <w:p w14:paraId="2483FFC1" w14:textId="77777777" w:rsidR="00A61B55" w:rsidRPr="00DF07F3" w:rsidRDefault="00A61B55" w:rsidP="00A61B55">
            <w:pPr>
              <w:spacing w:line="240" w:lineRule="auto"/>
              <w:jc w:val="left"/>
              <w:rPr>
                <w:sz w:val="20"/>
              </w:rPr>
            </w:pPr>
          </w:p>
        </w:tc>
        <w:tc>
          <w:tcPr>
            <w:tcW w:w="1021" w:type="dxa"/>
            <w:tcBorders>
              <w:top w:val="nil"/>
              <w:left w:val="nil"/>
              <w:bottom w:val="nil"/>
              <w:right w:val="nil"/>
            </w:tcBorders>
            <w:shd w:val="clear" w:color="auto" w:fill="auto"/>
            <w:noWrap/>
            <w:vAlign w:val="bottom"/>
            <w:hideMark/>
          </w:tcPr>
          <w:p w14:paraId="76F746B5" w14:textId="77777777" w:rsidR="00A61B55" w:rsidRPr="00DF07F3" w:rsidRDefault="00A61B55" w:rsidP="00A61B55">
            <w:pPr>
              <w:spacing w:line="240" w:lineRule="auto"/>
              <w:jc w:val="left"/>
              <w:rPr>
                <w:sz w:val="20"/>
              </w:rPr>
            </w:pPr>
          </w:p>
        </w:tc>
        <w:tc>
          <w:tcPr>
            <w:tcW w:w="1085" w:type="dxa"/>
            <w:tcBorders>
              <w:top w:val="nil"/>
              <w:left w:val="nil"/>
              <w:bottom w:val="nil"/>
              <w:right w:val="nil"/>
            </w:tcBorders>
            <w:shd w:val="clear" w:color="auto" w:fill="auto"/>
            <w:noWrap/>
            <w:vAlign w:val="bottom"/>
            <w:hideMark/>
          </w:tcPr>
          <w:p w14:paraId="0760856B" w14:textId="77777777" w:rsidR="00A61B55" w:rsidRPr="00DF07F3" w:rsidRDefault="00A61B55" w:rsidP="00A61B55">
            <w:pPr>
              <w:spacing w:line="240" w:lineRule="auto"/>
              <w:jc w:val="left"/>
              <w:rPr>
                <w:sz w:val="20"/>
              </w:rPr>
            </w:pPr>
          </w:p>
        </w:tc>
        <w:tc>
          <w:tcPr>
            <w:tcW w:w="824" w:type="dxa"/>
            <w:tcBorders>
              <w:top w:val="nil"/>
              <w:left w:val="nil"/>
              <w:bottom w:val="nil"/>
              <w:right w:val="nil"/>
            </w:tcBorders>
            <w:shd w:val="clear" w:color="auto" w:fill="auto"/>
            <w:noWrap/>
            <w:vAlign w:val="bottom"/>
            <w:hideMark/>
          </w:tcPr>
          <w:p w14:paraId="1CEB107F" w14:textId="77777777" w:rsidR="00A61B55" w:rsidRPr="00DF07F3" w:rsidRDefault="00A61B55" w:rsidP="00A61B55">
            <w:pPr>
              <w:spacing w:line="240" w:lineRule="auto"/>
              <w:jc w:val="left"/>
              <w:rPr>
                <w:sz w:val="20"/>
              </w:rPr>
            </w:pPr>
          </w:p>
        </w:tc>
        <w:tc>
          <w:tcPr>
            <w:tcW w:w="1085" w:type="dxa"/>
            <w:tcBorders>
              <w:top w:val="nil"/>
              <w:left w:val="nil"/>
              <w:bottom w:val="nil"/>
              <w:right w:val="nil"/>
            </w:tcBorders>
            <w:shd w:val="clear" w:color="auto" w:fill="auto"/>
            <w:noWrap/>
            <w:vAlign w:val="bottom"/>
            <w:hideMark/>
          </w:tcPr>
          <w:p w14:paraId="00E49B94" w14:textId="77777777" w:rsidR="00A61B55" w:rsidRPr="00DF07F3" w:rsidRDefault="00A61B55" w:rsidP="00A61B55">
            <w:pPr>
              <w:spacing w:line="240" w:lineRule="auto"/>
              <w:jc w:val="left"/>
              <w:rPr>
                <w:sz w:val="20"/>
              </w:rPr>
            </w:pPr>
          </w:p>
        </w:tc>
      </w:tr>
    </w:tbl>
    <w:p w14:paraId="433C3F88" w14:textId="12649BAD" w:rsidR="00A61B55" w:rsidRPr="00730B1E" w:rsidRDefault="00A61B55" w:rsidP="00A61B55">
      <w:pPr>
        <w:pStyle w:val="OdstavecASR"/>
      </w:pPr>
      <w:r w:rsidRPr="00730B1E">
        <w:t>Oproti předchozímu roku vzrostl skutečný počet soudců na trestním úseku z 85,1 na 87,2 (připomínáme však, že v roce 2020 zde pracovalo 94 soudců). Největší nárůst zaznamenal KS v Ústí nad Labem (z 10,8 na 1</w:t>
      </w:r>
      <w:r w:rsidR="006E4F72" w:rsidRPr="00730B1E">
        <w:t>4</w:t>
      </w:r>
      <w:r w:rsidRPr="00730B1E">
        <w:t>). To se u daného soudu výrazně projevilo v přepočtu na soudce.</w:t>
      </w:r>
    </w:p>
    <w:p w14:paraId="28204690" w14:textId="77777777" w:rsidR="00A61B55" w:rsidRPr="00730B1E" w:rsidRDefault="00A61B55" w:rsidP="00A61B55">
      <w:pPr>
        <w:pStyle w:val="OdstavecASR"/>
      </w:pPr>
      <w:r w:rsidRPr="00730B1E">
        <w:t>V případě prvostupňové trestní agendy zároveň počty nevyřízených věcí na soudce příliš nekorespondují s výsledky z části o délkách řízení. Tuto výjimečnou situaci lze přisuzovat malému počtu věcí, malému počtu soudců, a tedy tendenci k velkým výkyvům v datech. Mezi soudy jsou nemalé rozdíly v počtu příchozích a vyřízených věcí na soudce, což opět plyne hlavně z velikosti agendy a případných personálních oslabení soudů.</w:t>
      </w:r>
    </w:p>
    <w:p w14:paraId="0CF9D734" w14:textId="2EB152E5" w:rsidR="008430BD" w:rsidRPr="00730B1E" w:rsidRDefault="008430BD" w:rsidP="008430BD">
      <w:pPr>
        <w:pStyle w:val="Nadpis3"/>
        <w:numPr>
          <w:ilvl w:val="2"/>
          <w:numId w:val="1"/>
        </w:numPr>
        <w:rPr>
          <w:color w:val="auto"/>
        </w:rPr>
      </w:pPr>
      <w:bookmarkStart w:id="963" w:name="_Toc43903068"/>
      <w:bookmarkStart w:id="964" w:name="_Toc106092767"/>
      <w:bookmarkStart w:id="965" w:name="_Toc169250843"/>
      <w:bookmarkStart w:id="966" w:name="_Toc174080879"/>
      <w:r w:rsidRPr="00730B1E">
        <w:rPr>
          <w:color w:val="auto"/>
        </w:rPr>
        <w:t>Disposition time</w:t>
      </w:r>
      <w:bookmarkEnd w:id="963"/>
      <w:r w:rsidRPr="00730B1E">
        <w:rPr>
          <w:color w:val="auto"/>
        </w:rPr>
        <w:t xml:space="preserve"> (dispoziční čas)</w:t>
      </w:r>
      <w:bookmarkEnd w:id="964"/>
      <w:bookmarkEnd w:id="965"/>
      <w:bookmarkEnd w:id="966"/>
    </w:p>
    <w:p w14:paraId="5A3F6535" w14:textId="29A10D2F" w:rsidR="00A61B55" w:rsidRPr="00730B1E" w:rsidRDefault="00A61B55" w:rsidP="00A61B55">
      <w:pPr>
        <w:pStyle w:val="OdstavecASR"/>
      </w:pPr>
      <w:r w:rsidRPr="00730B1E">
        <w:t>Pozorujeme, že DT od roku 201</w:t>
      </w:r>
      <w:r w:rsidR="006E4F72" w:rsidRPr="00730B1E">
        <w:t>4</w:t>
      </w:r>
      <w:r w:rsidRPr="00730B1E">
        <w:t xml:space="preserve"> do roku 2</w:t>
      </w:r>
      <w:r w:rsidR="006E4F72" w:rsidRPr="00730B1E">
        <w:t>020</w:t>
      </w:r>
      <w:r w:rsidRPr="00730B1E">
        <w:t xml:space="preserve"> vykazoval rostoucí trend, což plynulo z postupného růstu počtu nevyřízených věcí</w:t>
      </w:r>
      <w:r w:rsidR="006E4F72" w:rsidRPr="00730B1E">
        <w:t> spojeného s poklesem v počtu věcí příchozích</w:t>
      </w:r>
      <w:r w:rsidR="00545CEA" w:rsidRPr="00730B1E">
        <w:t>,</w:t>
      </w:r>
      <w:r w:rsidR="006E4F72" w:rsidRPr="00730B1E">
        <w:t xml:space="preserve"> a tedy i vyřízených.</w:t>
      </w:r>
      <w:r w:rsidRPr="00730B1E">
        <w:t xml:space="preserve"> V roce 2020 </w:t>
      </w:r>
      <w:r w:rsidR="006E4F72" w:rsidRPr="00730B1E">
        <w:t>tak</w:t>
      </w:r>
      <w:r w:rsidRPr="00730B1E">
        <w:t xml:space="preserve"> DT dosáhl nejvyšší hodnoty</w:t>
      </w:r>
      <w:r w:rsidR="006E4F72" w:rsidRPr="00730B1E">
        <w:t xml:space="preserve"> ve sledovaném období</w:t>
      </w:r>
      <w:r w:rsidR="00545CEA" w:rsidRPr="00730B1E">
        <w:t>,</w:t>
      </w:r>
      <w:r w:rsidR="006E4F72" w:rsidRPr="00730B1E">
        <w:t xml:space="preserve"> </w:t>
      </w:r>
      <w:r w:rsidRPr="00730B1E">
        <w:t>třebaže ne výrazně</w:t>
      </w:r>
      <w:r w:rsidR="006E4F72" w:rsidRPr="00730B1E">
        <w:t>.</w:t>
      </w:r>
      <w:r w:rsidRPr="00730B1E">
        <w:t xml:space="preserve"> V roce 2021 došlo k významnému poklesu (o 16 %), což plyne z výše diskutovaného poklesu v počtu nevyřízených věcí, který je zřejmě spojen s poklesem v počtu věcí příchozích. DT tak klesl na úroveň roku 2013. V roce 2022 se DT prakticky nezměnil, protože se téměř nezměnil ani počet vyřízených a nevyřízených věcí</w:t>
      </w:r>
      <w:r w:rsidR="00C96676" w:rsidRPr="00730B1E">
        <w:t>.</w:t>
      </w:r>
      <w:r w:rsidR="006E4F72" w:rsidRPr="00730B1E">
        <w:t xml:space="preserve"> </w:t>
      </w:r>
      <w:r w:rsidR="00C96676" w:rsidRPr="00730B1E">
        <w:t>V</w:t>
      </w:r>
      <w:r w:rsidR="006E4F72" w:rsidRPr="00730B1E">
        <w:t> roce 2023 klesl DT na zdaleka nejmenší hodnotu ve sledovaném období.</w:t>
      </w:r>
    </w:p>
    <w:p w14:paraId="059CBF08" w14:textId="156DC064" w:rsidR="00A61B55" w:rsidRPr="00730B1E" w:rsidRDefault="00A61B55" w:rsidP="00A61B55">
      <w:pPr>
        <w:pStyle w:val="Podnadpis"/>
        <w:numPr>
          <w:ilvl w:val="0"/>
          <w:numId w:val="0"/>
        </w:numPr>
        <w:rPr>
          <w:color w:val="auto"/>
        </w:rPr>
      </w:pPr>
      <w:bookmarkStart w:id="967" w:name="_Toc515871392"/>
      <w:bookmarkStart w:id="968" w:name="_Toc11135123"/>
      <w:bookmarkStart w:id="969" w:name="_Toc43841441"/>
      <w:bookmarkStart w:id="970" w:name="_Toc75952244"/>
      <w:bookmarkStart w:id="971" w:name="_Toc106106701"/>
      <w:bookmarkStart w:id="972" w:name="_Toc109802025"/>
      <w:bookmarkStart w:id="973" w:name="_Toc144104177"/>
      <w:bookmarkStart w:id="974" w:name="_Toc169250989"/>
      <w:bookmarkStart w:id="975" w:name="_Toc174080675"/>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70</w:t>
      </w:r>
      <w:r w:rsidRPr="00730B1E">
        <w:rPr>
          <w:color w:val="auto"/>
        </w:rPr>
        <w:fldChar w:fldCharType="end"/>
      </w:r>
      <w:r w:rsidRPr="00730B1E">
        <w:rPr>
          <w:color w:val="auto"/>
        </w:rPr>
        <w:t>: KS – DT prvostupňového trestního řízení v</w:t>
      </w:r>
      <w:r w:rsidR="00C96676" w:rsidRPr="00730B1E">
        <w:rPr>
          <w:color w:val="auto"/>
        </w:rPr>
        <w:t> </w:t>
      </w:r>
      <w:r w:rsidRPr="00730B1E">
        <w:rPr>
          <w:color w:val="auto"/>
        </w:rPr>
        <w:t>letech 20</w:t>
      </w:r>
      <w:r w:rsidR="006E4F72" w:rsidRPr="00730B1E">
        <w:rPr>
          <w:color w:val="auto"/>
        </w:rPr>
        <w:t>14</w:t>
      </w:r>
      <w:r w:rsidRPr="00730B1E">
        <w:rPr>
          <w:color w:val="auto"/>
        </w:rPr>
        <w:t>–20</w:t>
      </w:r>
      <w:bookmarkEnd w:id="967"/>
      <w:bookmarkEnd w:id="968"/>
      <w:bookmarkEnd w:id="969"/>
      <w:r w:rsidRPr="00730B1E">
        <w:rPr>
          <w:color w:val="auto"/>
        </w:rPr>
        <w:t>2</w:t>
      </w:r>
      <w:bookmarkEnd w:id="970"/>
      <w:bookmarkEnd w:id="971"/>
      <w:bookmarkEnd w:id="972"/>
      <w:bookmarkEnd w:id="973"/>
      <w:r w:rsidR="006E4F72" w:rsidRPr="00730B1E">
        <w:rPr>
          <w:color w:val="auto"/>
        </w:rPr>
        <w:t>3</w:t>
      </w:r>
      <w:bookmarkEnd w:id="974"/>
      <w:bookmarkEnd w:id="975"/>
    </w:p>
    <w:p w14:paraId="6DE3E119" w14:textId="5C6288C3" w:rsidR="006E4F72" w:rsidRPr="00730B1E" w:rsidRDefault="006E4F72" w:rsidP="00A61B55">
      <w:r w:rsidRPr="00730B1E">
        <w:rPr>
          <w:noProof/>
          <w:lang w:eastAsia="cs-CZ"/>
        </w:rPr>
        <w:drawing>
          <wp:inline distT="0" distB="0" distL="0" distR="0" wp14:anchorId="06434D21" wp14:editId="065C10F9">
            <wp:extent cx="5029200" cy="3657600"/>
            <wp:effectExtent l="0" t="0" r="0" b="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2577C2" w14:textId="1F644DAA" w:rsidR="006E4F72" w:rsidRPr="00730B1E" w:rsidRDefault="006E4F72">
      <w:pPr>
        <w:spacing w:after="160" w:line="259" w:lineRule="auto"/>
        <w:jc w:val="left"/>
      </w:pPr>
    </w:p>
    <w:p w14:paraId="77701BEC" w14:textId="33BDB164" w:rsidR="006E4F72" w:rsidRPr="00730B1E" w:rsidRDefault="006E4F72" w:rsidP="006E4F72">
      <w:pPr>
        <w:pStyle w:val="Podnadpis"/>
        <w:rPr>
          <w:color w:val="auto"/>
        </w:rPr>
      </w:pPr>
      <w:bookmarkStart w:id="976" w:name="_Toc515871481"/>
      <w:bookmarkStart w:id="977" w:name="_Toc11133249"/>
      <w:bookmarkStart w:id="978" w:name="_Toc43931228"/>
      <w:bookmarkStart w:id="979" w:name="_Toc75952361"/>
      <w:bookmarkStart w:id="980" w:name="_Toc106106817"/>
      <w:bookmarkStart w:id="981" w:name="_Toc109802140"/>
      <w:bookmarkStart w:id="982" w:name="_Toc144104298"/>
      <w:bookmarkStart w:id="983" w:name="_Toc169251112"/>
      <w:bookmarkStart w:id="984" w:name="_Toc174080798"/>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55</w:t>
      </w:r>
      <w:r w:rsidRPr="00730B1E">
        <w:rPr>
          <w:noProof/>
          <w:color w:val="auto"/>
        </w:rPr>
        <w:fldChar w:fldCharType="end"/>
      </w:r>
      <w:r w:rsidRPr="00730B1E">
        <w:rPr>
          <w:color w:val="auto"/>
        </w:rPr>
        <w:t>: KS – DT v</w:t>
      </w:r>
      <w:r w:rsidR="00C96676" w:rsidRPr="00730B1E">
        <w:rPr>
          <w:color w:val="auto"/>
        </w:rPr>
        <w:t> </w:t>
      </w:r>
      <w:r w:rsidRPr="00730B1E">
        <w:rPr>
          <w:color w:val="auto"/>
        </w:rPr>
        <w:t>prvostupňovém trestním řízení dle soudů</w:t>
      </w:r>
      <w:bookmarkEnd w:id="976"/>
      <w:bookmarkEnd w:id="977"/>
      <w:bookmarkEnd w:id="978"/>
      <w:bookmarkEnd w:id="979"/>
      <w:bookmarkEnd w:id="980"/>
      <w:bookmarkEnd w:id="981"/>
      <w:bookmarkEnd w:id="982"/>
      <w:r w:rsidR="00554BBA" w:rsidRPr="00730B1E">
        <w:rPr>
          <w:color w:val="auto"/>
        </w:rPr>
        <w:t>, 2023</w:t>
      </w:r>
      <w:bookmarkEnd w:id="983"/>
      <w:bookmarkEnd w:id="984"/>
    </w:p>
    <w:tbl>
      <w:tblPr>
        <w:tblW w:w="5960" w:type="dxa"/>
        <w:tblCellMar>
          <w:left w:w="70" w:type="dxa"/>
          <w:right w:w="70" w:type="dxa"/>
        </w:tblCellMar>
        <w:tblLook w:val="04A0" w:firstRow="1" w:lastRow="0" w:firstColumn="1" w:lastColumn="0" w:noHBand="0" w:noVBand="1"/>
      </w:tblPr>
      <w:tblGrid>
        <w:gridCol w:w="2780"/>
        <w:gridCol w:w="1253"/>
        <w:gridCol w:w="1927"/>
      </w:tblGrid>
      <w:tr w:rsidR="00B64E96" w:rsidRPr="00730B1E" w14:paraId="096742C0" w14:textId="77777777" w:rsidTr="006E4F7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5C2BB4F" w14:textId="77777777" w:rsidR="006E4F72" w:rsidRPr="00730B1E" w:rsidRDefault="006E4F72" w:rsidP="006E4F72">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3A988D08" w14:textId="77777777" w:rsidR="006E4F72" w:rsidRPr="00730B1E" w:rsidRDefault="006E4F72" w:rsidP="006E4F72">
            <w:pPr>
              <w:spacing w:line="240" w:lineRule="auto"/>
              <w:jc w:val="center"/>
              <w:rPr>
                <w:rFonts w:eastAsia="Times New Roman"/>
                <w:b/>
                <w:bCs/>
                <w:szCs w:val="24"/>
                <w:lang w:eastAsia="cs-CZ"/>
              </w:rPr>
            </w:pPr>
            <w:r w:rsidRPr="00730B1E">
              <w:rPr>
                <w:rFonts w:eastAsia="Times New Roman"/>
                <w:b/>
                <w:bCs/>
                <w:szCs w:val="24"/>
                <w:lang w:eastAsia="cs-CZ"/>
              </w:rPr>
              <w:t>Disposition time</w:t>
            </w:r>
          </w:p>
        </w:tc>
      </w:tr>
      <w:tr w:rsidR="00B64E96" w:rsidRPr="00730B1E" w14:paraId="50F271DF" w14:textId="77777777" w:rsidTr="006E4F72">
        <w:trPr>
          <w:trHeight w:val="330"/>
        </w:trPr>
        <w:tc>
          <w:tcPr>
            <w:tcW w:w="2780" w:type="dxa"/>
            <w:tcBorders>
              <w:top w:val="nil"/>
              <w:left w:val="nil"/>
              <w:bottom w:val="single" w:sz="4" w:space="0" w:color="auto"/>
              <w:right w:val="nil"/>
            </w:tcBorders>
            <w:shd w:val="clear" w:color="auto" w:fill="auto"/>
            <w:noWrap/>
            <w:vAlign w:val="bottom"/>
            <w:hideMark/>
          </w:tcPr>
          <w:p w14:paraId="5978873B" w14:textId="77777777" w:rsidR="006E4F72" w:rsidRPr="00730B1E" w:rsidRDefault="006E4F72" w:rsidP="006E4F72">
            <w:pPr>
              <w:spacing w:line="240" w:lineRule="auto"/>
              <w:jc w:val="left"/>
              <w:rPr>
                <w:rFonts w:eastAsia="Times New Roman"/>
                <w:szCs w:val="24"/>
                <w:lang w:eastAsia="cs-CZ"/>
              </w:rPr>
            </w:pPr>
            <w:r w:rsidRPr="00730B1E">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7FE8C735" w14:textId="77777777" w:rsidR="006E4F72" w:rsidRPr="00730B1E" w:rsidRDefault="006E4F72" w:rsidP="006E4F72">
            <w:pPr>
              <w:spacing w:line="240" w:lineRule="auto"/>
              <w:jc w:val="center"/>
              <w:rPr>
                <w:rFonts w:eastAsia="Times New Roman"/>
                <w:szCs w:val="24"/>
                <w:lang w:eastAsia="cs-CZ"/>
              </w:rPr>
            </w:pPr>
            <w:r w:rsidRPr="00730B1E">
              <w:rPr>
                <w:rFonts w:eastAsia="Times New Roman"/>
                <w:szCs w:val="24"/>
                <w:lang w:eastAsia="cs-CZ"/>
              </w:rPr>
              <w:t>170</w:t>
            </w:r>
          </w:p>
        </w:tc>
        <w:tc>
          <w:tcPr>
            <w:tcW w:w="1927" w:type="dxa"/>
            <w:tcBorders>
              <w:top w:val="nil"/>
              <w:left w:val="nil"/>
              <w:bottom w:val="single" w:sz="4" w:space="0" w:color="auto"/>
              <w:right w:val="nil"/>
            </w:tcBorders>
            <w:shd w:val="clear" w:color="auto" w:fill="auto"/>
            <w:noWrap/>
            <w:vAlign w:val="center"/>
            <w:hideMark/>
          </w:tcPr>
          <w:p w14:paraId="202F4839" w14:textId="77777777" w:rsidR="006E4F72" w:rsidRPr="00730B1E" w:rsidRDefault="006E4F72" w:rsidP="006E4F72">
            <w:pPr>
              <w:spacing w:line="240" w:lineRule="auto"/>
              <w:jc w:val="center"/>
              <w:rPr>
                <w:rFonts w:eastAsia="Times New Roman"/>
                <w:sz w:val="20"/>
                <w:szCs w:val="20"/>
                <w:lang w:eastAsia="cs-CZ"/>
              </w:rPr>
            </w:pPr>
            <w:r w:rsidRPr="00730B1E">
              <w:rPr>
                <w:rFonts w:eastAsia="Times New Roman"/>
                <w:sz w:val="20"/>
                <w:szCs w:val="20"/>
                <w:lang w:eastAsia="cs-CZ"/>
              </w:rPr>
              <w:t xml:space="preserve">-26 %  </w:t>
            </w:r>
          </w:p>
        </w:tc>
      </w:tr>
      <w:tr w:rsidR="00B64E96" w:rsidRPr="00730B1E" w14:paraId="0CB9EF46" w14:textId="77777777" w:rsidTr="006E4F72">
        <w:trPr>
          <w:trHeight w:val="315"/>
        </w:trPr>
        <w:tc>
          <w:tcPr>
            <w:tcW w:w="2780" w:type="dxa"/>
            <w:tcBorders>
              <w:top w:val="nil"/>
              <w:left w:val="nil"/>
              <w:bottom w:val="single" w:sz="4" w:space="0" w:color="auto"/>
              <w:right w:val="nil"/>
            </w:tcBorders>
            <w:shd w:val="clear" w:color="auto" w:fill="auto"/>
            <w:noWrap/>
            <w:vAlign w:val="bottom"/>
            <w:hideMark/>
          </w:tcPr>
          <w:p w14:paraId="00075693" w14:textId="77777777" w:rsidR="006E4F72" w:rsidRPr="00730B1E" w:rsidRDefault="006E4F72" w:rsidP="006E4F72">
            <w:pPr>
              <w:spacing w:line="240" w:lineRule="auto"/>
              <w:jc w:val="left"/>
              <w:rPr>
                <w:rFonts w:eastAsia="Times New Roman"/>
                <w:szCs w:val="24"/>
                <w:lang w:eastAsia="cs-CZ"/>
              </w:rPr>
            </w:pPr>
            <w:r w:rsidRPr="00730B1E">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349101B8" w14:textId="77777777" w:rsidR="006E4F72" w:rsidRPr="00730B1E" w:rsidRDefault="006E4F72" w:rsidP="006E4F72">
            <w:pPr>
              <w:spacing w:line="240" w:lineRule="auto"/>
              <w:jc w:val="center"/>
              <w:rPr>
                <w:rFonts w:eastAsia="Times New Roman"/>
                <w:szCs w:val="24"/>
                <w:lang w:eastAsia="cs-CZ"/>
              </w:rPr>
            </w:pPr>
            <w:r w:rsidRPr="00730B1E">
              <w:rPr>
                <w:rFonts w:eastAsia="Times New Roman"/>
                <w:szCs w:val="24"/>
                <w:lang w:eastAsia="cs-CZ"/>
              </w:rPr>
              <w:t>94</w:t>
            </w:r>
          </w:p>
        </w:tc>
        <w:tc>
          <w:tcPr>
            <w:tcW w:w="1927" w:type="dxa"/>
            <w:tcBorders>
              <w:top w:val="nil"/>
              <w:left w:val="nil"/>
              <w:bottom w:val="single" w:sz="4" w:space="0" w:color="auto"/>
              <w:right w:val="nil"/>
            </w:tcBorders>
            <w:shd w:val="clear" w:color="auto" w:fill="auto"/>
            <w:noWrap/>
            <w:vAlign w:val="center"/>
            <w:hideMark/>
          </w:tcPr>
          <w:p w14:paraId="39FBD227" w14:textId="77777777" w:rsidR="006E4F72" w:rsidRPr="00730B1E" w:rsidRDefault="006E4F72" w:rsidP="006E4F72">
            <w:pPr>
              <w:spacing w:line="240" w:lineRule="auto"/>
              <w:jc w:val="center"/>
              <w:rPr>
                <w:rFonts w:eastAsia="Times New Roman"/>
                <w:sz w:val="20"/>
                <w:szCs w:val="20"/>
                <w:lang w:eastAsia="cs-CZ"/>
              </w:rPr>
            </w:pPr>
            <w:r w:rsidRPr="00730B1E">
              <w:rPr>
                <w:rFonts w:eastAsia="Times New Roman"/>
                <w:sz w:val="20"/>
                <w:szCs w:val="20"/>
                <w:lang w:eastAsia="cs-CZ"/>
              </w:rPr>
              <w:t xml:space="preserve">-34 %  </w:t>
            </w:r>
          </w:p>
        </w:tc>
      </w:tr>
      <w:tr w:rsidR="00B64E96" w:rsidRPr="00730B1E" w14:paraId="2300D5C1" w14:textId="77777777" w:rsidTr="006E4F72">
        <w:trPr>
          <w:trHeight w:val="315"/>
        </w:trPr>
        <w:tc>
          <w:tcPr>
            <w:tcW w:w="2780" w:type="dxa"/>
            <w:tcBorders>
              <w:top w:val="nil"/>
              <w:left w:val="nil"/>
              <w:bottom w:val="single" w:sz="4" w:space="0" w:color="auto"/>
              <w:right w:val="nil"/>
            </w:tcBorders>
            <w:shd w:val="clear" w:color="auto" w:fill="auto"/>
            <w:noWrap/>
            <w:vAlign w:val="bottom"/>
            <w:hideMark/>
          </w:tcPr>
          <w:p w14:paraId="541D0062" w14:textId="77777777" w:rsidR="006E4F72" w:rsidRPr="00730B1E" w:rsidRDefault="006E4F72" w:rsidP="006E4F72">
            <w:pPr>
              <w:spacing w:line="240" w:lineRule="auto"/>
              <w:jc w:val="left"/>
              <w:rPr>
                <w:rFonts w:eastAsia="Times New Roman"/>
                <w:szCs w:val="24"/>
                <w:lang w:eastAsia="cs-CZ"/>
              </w:rPr>
            </w:pPr>
            <w:r w:rsidRPr="00730B1E">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77A49307" w14:textId="77777777" w:rsidR="006E4F72" w:rsidRPr="00730B1E" w:rsidRDefault="006E4F72" w:rsidP="006E4F72">
            <w:pPr>
              <w:spacing w:line="240" w:lineRule="auto"/>
              <w:jc w:val="center"/>
              <w:rPr>
                <w:rFonts w:eastAsia="Times New Roman"/>
                <w:szCs w:val="24"/>
                <w:lang w:eastAsia="cs-CZ"/>
              </w:rPr>
            </w:pPr>
            <w:r w:rsidRPr="00730B1E">
              <w:rPr>
                <w:rFonts w:eastAsia="Times New Roman"/>
                <w:szCs w:val="24"/>
                <w:lang w:eastAsia="cs-CZ"/>
              </w:rPr>
              <w:t>150</w:t>
            </w:r>
          </w:p>
        </w:tc>
        <w:tc>
          <w:tcPr>
            <w:tcW w:w="1927" w:type="dxa"/>
            <w:tcBorders>
              <w:top w:val="nil"/>
              <w:left w:val="nil"/>
              <w:bottom w:val="single" w:sz="4" w:space="0" w:color="auto"/>
              <w:right w:val="nil"/>
            </w:tcBorders>
            <w:shd w:val="clear" w:color="auto" w:fill="auto"/>
            <w:noWrap/>
            <w:vAlign w:val="center"/>
            <w:hideMark/>
          </w:tcPr>
          <w:p w14:paraId="7FA9752A" w14:textId="77777777" w:rsidR="006E4F72" w:rsidRPr="00730B1E" w:rsidRDefault="006E4F72" w:rsidP="006E4F72">
            <w:pPr>
              <w:spacing w:line="240" w:lineRule="auto"/>
              <w:jc w:val="center"/>
              <w:rPr>
                <w:rFonts w:eastAsia="Times New Roman"/>
                <w:sz w:val="20"/>
                <w:szCs w:val="20"/>
                <w:lang w:eastAsia="cs-CZ"/>
              </w:rPr>
            </w:pPr>
            <w:r w:rsidRPr="00730B1E">
              <w:rPr>
                <w:rFonts w:eastAsia="Times New Roman"/>
                <w:sz w:val="20"/>
                <w:szCs w:val="20"/>
                <w:lang w:eastAsia="cs-CZ"/>
              </w:rPr>
              <w:t xml:space="preserve">-41 %  </w:t>
            </w:r>
          </w:p>
        </w:tc>
      </w:tr>
      <w:tr w:rsidR="00B64E96" w:rsidRPr="00730B1E" w14:paraId="193916BC" w14:textId="77777777" w:rsidTr="006E4F72">
        <w:trPr>
          <w:trHeight w:val="315"/>
        </w:trPr>
        <w:tc>
          <w:tcPr>
            <w:tcW w:w="2780" w:type="dxa"/>
            <w:tcBorders>
              <w:top w:val="nil"/>
              <w:left w:val="nil"/>
              <w:bottom w:val="single" w:sz="4" w:space="0" w:color="auto"/>
              <w:right w:val="nil"/>
            </w:tcBorders>
            <w:shd w:val="clear" w:color="auto" w:fill="auto"/>
            <w:noWrap/>
            <w:vAlign w:val="bottom"/>
            <w:hideMark/>
          </w:tcPr>
          <w:p w14:paraId="72150C93" w14:textId="77777777" w:rsidR="006E4F72" w:rsidRPr="00730B1E" w:rsidRDefault="006E4F72" w:rsidP="006E4F72">
            <w:pPr>
              <w:spacing w:line="240" w:lineRule="auto"/>
              <w:jc w:val="left"/>
              <w:rPr>
                <w:rFonts w:eastAsia="Times New Roman"/>
                <w:szCs w:val="24"/>
                <w:lang w:eastAsia="cs-CZ"/>
              </w:rPr>
            </w:pPr>
            <w:r w:rsidRPr="00730B1E">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2C905DD6" w14:textId="77777777" w:rsidR="006E4F72" w:rsidRPr="00730B1E" w:rsidRDefault="006E4F72" w:rsidP="006E4F72">
            <w:pPr>
              <w:spacing w:line="240" w:lineRule="auto"/>
              <w:jc w:val="center"/>
              <w:rPr>
                <w:rFonts w:eastAsia="Times New Roman"/>
                <w:szCs w:val="24"/>
                <w:lang w:eastAsia="cs-CZ"/>
              </w:rPr>
            </w:pPr>
            <w:r w:rsidRPr="00730B1E">
              <w:rPr>
                <w:rFonts w:eastAsia="Times New Roman"/>
                <w:szCs w:val="24"/>
                <w:lang w:eastAsia="cs-CZ"/>
              </w:rPr>
              <w:t>183</w:t>
            </w:r>
          </w:p>
        </w:tc>
        <w:tc>
          <w:tcPr>
            <w:tcW w:w="1927" w:type="dxa"/>
            <w:tcBorders>
              <w:top w:val="nil"/>
              <w:left w:val="nil"/>
              <w:bottom w:val="single" w:sz="4" w:space="0" w:color="auto"/>
              <w:right w:val="nil"/>
            </w:tcBorders>
            <w:shd w:val="clear" w:color="auto" w:fill="auto"/>
            <w:noWrap/>
            <w:vAlign w:val="center"/>
            <w:hideMark/>
          </w:tcPr>
          <w:p w14:paraId="396CAD17" w14:textId="77777777" w:rsidR="006E4F72" w:rsidRPr="00730B1E" w:rsidRDefault="006E4F72" w:rsidP="006E4F72">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25F06C61" w14:textId="77777777" w:rsidTr="006E4F72">
        <w:trPr>
          <w:trHeight w:val="315"/>
        </w:trPr>
        <w:tc>
          <w:tcPr>
            <w:tcW w:w="2780" w:type="dxa"/>
            <w:tcBorders>
              <w:top w:val="nil"/>
              <w:left w:val="nil"/>
              <w:bottom w:val="single" w:sz="4" w:space="0" w:color="auto"/>
              <w:right w:val="nil"/>
            </w:tcBorders>
            <w:shd w:val="clear" w:color="auto" w:fill="auto"/>
            <w:noWrap/>
            <w:vAlign w:val="bottom"/>
            <w:hideMark/>
          </w:tcPr>
          <w:p w14:paraId="3E29F9CC" w14:textId="77777777" w:rsidR="006E4F72" w:rsidRPr="00730B1E" w:rsidRDefault="006E4F72" w:rsidP="006E4F72">
            <w:pPr>
              <w:spacing w:line="240" w:lineRule="auto"/>
              <w:jc w:val="left"/>
              <w:rPr>
                <w:rFonts w:eastAsia="Times New Roman"/>
                <w:szCs w:val="24"/>
                <w:lang w:eastAsia="cs-CZ"/>
              </w:rPr>
            </w:pPr>
            <w:r w:rsidRPr="00730B1E">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6B60D63B" w14:textId="77777777" w:rsidR="006E4F72" w:rsidRPr="00730B1E" w:rsidRDefault="006E4F72" w:rsidP="006E4F72">
            <w:pPr>
              <w:spacing w:line="240" w:lineRule="auto"/>
              <w:jc w:val="center"/>
              <w:rPr>
                <w:rFonts w:eastAsia="Times New Roman"/>
                <w:szCs w:val="24"/>
                <w:lang w:eastAsia="cs-CZ"/>
              </w:rPr>
            </w:pPr>
            <w:r w:rsidRPr="00730B1E">
              <w:rPr>
                <w:rFonts w:eastAsia="Times New Roman"/>
                <w:szCs w:val="24"/>
                <w:lang w:eastAsia="cs-CZ"/>
              </w:rPr>
              <w:t>224</w:t>
            </w:r>
          </w:p>
        </w:tc>
        <w:tc>
          <w:tcPr>
            <w:tcW w:w="1927" w:type="dxa"/>
            <w:tcBorders>
              <w:top w:val="nil"/>
              <w:left w:val="nil"/>
              <w:bottom w:val="single" w:sz="4" w:space="0" w:color="auto"/>
              <w:right w:val="nil"/>
            </w:tcBorders>
            <w:shd w:val="clear" w:color="auto" w:fill="auto"/>
            <w:noWrap/>
            <w:vAlign w:val="center"/>
            <w:hideMark/>
          </w:tcPr>
          <w:p w14:paraId="7D078E70" w14:textId="77777777" w:rsidR="006E4F72" w:rsidRPr="00730B1E" w:rsidRDefault="006E4F72" w:rsidP="006E4F72">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2AA34176" w14:textId="77777777" w:rsidTr="006E4F72">
        <w:trPr>
          <w:trHeight w:val="315"/>
        </w:trPr>
        <w:tc>
          <w:tcPr>
            <w:tcW w:w="2780" w:type="dxa"/>
            <w:tcBorders>
              <w:top w:val="nil"/>
              <w:left w:val="nil"/>
              <w:bottom w:val="single" w:sz="4" w:space="0" w:color="auto"/>
              <w:right w:val="nil"/>
            </w:tcBorders>
            <w:shd w:val="clear" w:color="auto" w:fill="auto"/>
            <w:noWrap/>
            <w:vAlign w:val="bottom"/>
            <w:hideMark/>
          </w:tcPr>
          <w:p w14:paraId="137A8B4D" w14:textId="77777777" w:rsidR="006E4F72" w:rsidRPr="00730B1E" w:rsidRDefault="006E4F72" w:rsidP="006E4F72">
            <w:pPr>
              <w:spacing w:line="240" w:lineRule="auto"/>
              <w:jc w:val="left"/>
              <w:rPr>
                <w:rFonts w:eastAsia="Times New Roman"/>
                <w:szCs w:val="24"/>
                <w:lang w:eastAsia="cs-CZ"/>
              </w:rPr>
            </w:pPr>
            <w:r w:rsidRPr="00730B1E">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5F3EB614" w14:textId="77777777" w:rsidR="006E4F72" w:rsidRPr="00730B1E" w:rsidRDefault="006E4F72" w:rsidP="006E4F72">
            <w:pPr>
              <w:spacing w:line="240" w:lineRule="auto"/>
              <w:jc w:val="center"/>
              <w:rPr>
                <w:rFonts w:eastAsia="Times New Roman"/>
                <w:szCs w:val="24"/>
                <w:lang w:eastAsia="cs-CZ"/>
              </w:rPr>
            </w:pPr>
            <w:r w:rsidRPr="00730B1E">
              <w:rPr>
                <w:rFonts w:eastAsia="Times New Roman"/>
                <w:szCs w:val="24"/>
                <w:lang w:eastAsia="cs-CZ"/>
              </w:rPr>
              <w:t>93</w:t>
            </w:r>
          </w:p>
        </w:tc>
        <w:tc>
          <w:tcPr>
            <w:tcW w:w="1927" w:type="dxa"/>
            <w:tcBorders>
              <w:top w:val="nil"/>
              <w:left w:val="nil"/>
              <w:bottom w:val="single" w:sz="4" w:space="0" w:color="auto"/>
              <w:right w:val="nil"/>
            </w:tcBorders>
            <w:shd w:val="clear" w:color="auto" w:fill="auto"/>
            <w:noWrap/>
            <w:vAlign w:val="center"/>
            <w:hideMark/>
          </w:tcPr>
          <w:p w14:paraId="03DC0472" w14:textId="77777777" w:rsidR="006E4F72" w:rsidRPr="00730B1E" w:rsidRDefault="006E4F72" w:rsidP="006E4F72">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r>
      <w:tr w:rsidR="00B64E96" w:rsidRPr="00730B1E" w14:paraId="1FEC126D" w14:textId="77777777" w:rsidTr="006E4F72">
        <w:trPr>
          <w:trHeight w:val="315"/>
        </w:trPr>
        <w:tc>
          <w:tcPr>
            <w:tcW w:w="2780" w:type="dxa"/>
            <w:tcBorders>
              <w:top w:val="nil"/>
              <w:left w:val="nil"/>
              <w:bottom w:val="single" w:sz="4" w:space="0" w:color="auto"/>
              <w:right w:val="nil"/>
            </w:tcBorders>
            <w:shd w:val="clear" w:color="auto" w:fill="auto"/>
            <w:noWrap/>
            <w:vAlign w:val="bottom"/>
            <w:hideMark/>
          </w:tcPr>
          <w:p w14:paraId="5413209C" w14:textId="77777777" w:rsidR="006E4F72" w:rsidRPr="00730B1E" w:rsidRDefault="006E4F72" w:rsidP="006E4F72">
            <w:pPr>
              <w:spacing w:line="240" w:lineRule="auto"/>
              <w:jc w:val="left"/>
              <w:rPr>
                <w:rFonts w:eastAsia="Times New Roman"/>
                <w:szCs w:val="24"/>
                <w:lang w:eastAsia="cs-CZ"/>
              </w:rPr>
            </w:pPr>
            <w:r w:rsidRPr="00730B1E">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7CD6EB37" w14:textId="77777777" w:rsidR="006E4F72" w:rsidRPr="00730B1E" w:rsidRDefault="006E4F72" w:rsidP="006E4F72">
            <w:pPr>
              <w:spacing w:line="240" w:lineRule="auto"/>
              <w:jc w:val="center"/>
              <w:rPr>
                <w:rFonts w:eastAsia="Times New Roman"/>
                <w:szCs w:val="24"/>
                <w:lang w:eastAsia="cs-CZ"/>
              </w:rPr>
            </w:pPr>
            <w:r w:rsidRPr="00730B1E">
              <w:rPr>
                <w:rFonts w:eastAsia="Times New Roman"/>
                <w:szCs w:val="24"/>
                <w:lang w:eastAsia="cs-CZ"/>
              </w:rPr>
              <w:t>187</w:t>
            </w:r>
          </w:p>
        </w:tc>
        <w:tc>
          <w:tcPr>
            <w:tcW w:w="1927" w:type="dxa"/>
            <w:tcBorders>
              <w:top w:val="nil"/>
              <w:left w:val="nil"/>
              <w:bottom w:val="single" w:sz="4" w:space="0" w:color="auto"/>
              <w:right w:val="nil"/>
            </w:tcBorders>
            <w:shd w:val="clear" w:color="auto" w:fill="auto"/>
            <w:noWrap/>
            <w:vAlign w:val="center"/>
            <w:hideMark/>
          </w:tcPr>
          <w:p w14:paraId="5C0AA86C" w14:textId="77777777" w:rsidR="006E4F72" w:rsidRPr="00730B1E" w:rsidRDefault="006E4F72" w:rsidP="006E4F72">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161C08DB" w14:textId="77777777" w:rsidTr="006E4F72">
        <w:trPr>
          <w:trHeight w:val="330"/>
        </w:trPr>
        <w:tc>
          <w:tcPr>
            <w:tcW w:w="2780" w:type="dxa"/>
            <w:tcBorders>
              <w:top w:val="nil"/>
              <w:left w:val="nil"/>
              <w:bottom w:val="double" w:sz="6" w:space="0" w:color="auto"/>
              <w:right w:val="nil"/>
            </w:tcBorders>
            <w:shd w:val="clear" w:color="auto" w:fill="auto"/>
            <w:noWrap/>
            <w:vAlign w:val="bottom"/>
            <w:hideMark/>
          </w:tcPr>
          <w:p w14:paraId="3E8B953F" w14:textId="77777777" w:rsidR="006E4F72" w:rsidRPr="00730B1E" w:rsidRDefault="006E4F72" w:rsidP="006E4F72">
            <w:pPr>
              <w:spacing w:line="240" w:lineRule="auto"/>
              <w:jc w:val="left"/>
              <w:rPr>
                <w:rFonts w:eastAsia="Times New Roman"/>
                <w:szCs w:val="24"/>
                <w:lang w:eastAsia="cs-CZ"/>
              </w:rPr>
            </w:pPr>
            <w:r w:rsidRPr="00730B1E">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0BE96DD4" w14:textId="77777777" w:rsidR="006E4F72" w:rsidRPr="00730B1E" w:rsidRDefault="006E4F72" w:rsidP="006E4F72">
            <w:pPr>
              <w:spacing w:line="240" w:lineRule="auto"/>
              <w:jc w:val="center"/>
              <w:rPr>
                <w:rFonts w:eastAsia="Times New Roman"/>
                <w:szCs w:val="24"/>
                <w:lang w:eastAsia="cs-CZ"/>
              </w:rPr>
            </w:pPr>
            <w:r w:rsidRPr="00730B1E">
              <w:rPr>
                <w:rFonts w:eastAsia="Times New Roman"/>
                <w:szCs w:val="24"/>
                <w:lang w:eastAsia="cs-CZ"/>
              </w:rPr>
              <w:t>227</w:t>
            </w:r>
          </w:p>
        </w:tc>
        <w:tc>
          <w:tcPr>
            <w:tcW w:w="1927" w:type="dxa"/>
            <w:tcBorders>
              <w:top w:val="nil"/>
              <w:left w:val="nil"/>
              <w:bottom w:val="double" w:sz="6" w:space="0" w:color="auto"/>
              <w:right w:val="nil"/>
            </w:tcBorders>
            <w:shd w:val="clear" w:color="auto" w:fill="auto"/>
            <w:noWrap/>
            <w:vAlign w:val="center"/>
            <w:hideMark/>
          </w:tcPr>
          <w:p w14:paraId="15270CA0" w14:textId="77777777" w:rsidR="006E4F72" w:rsidRPr="00730B1E" w:rsidRDefault="006E4F72" w:rsidP="006E4F72">
            <w:pPr>
              <w:spacing w:line="240" w:lineRule="auto"/>
              <w:jc w:val="center"/>
              <w:rPr>
                <w:rFonts w:eastAsia="Times New Roman"/>
                <w:sz w:val="20"/>
                <w:szCs w:val="20"/>
                <w:lang w:eastAsia="cs-CZ"/>
              </w:rPr>
            </w:pPr>
            <w:r w:rsidRPr="00730B1E">
              <w:rPr>
                <w:rFonts w:eastAsia="Times New Roman"/>
                <w:sz w:val="20"/>
                <w:szCs w:val="20"/>
                <w:lang w:eastAsia="cs-CZ"/>
              </w:rPr>
              <w:t xml:space="preserve">+48 %  </w:t>
            </w:r>
          </w:p>
        </w:tc>
      </w:tr>
      <w:tr w:rsidR="00B64E96" w:rsidRPr="00730B1E" w14:paraId="230CB1BD" w14:textId="77777777" w:rsidTr="006E4F72">
        <w:trPr>
          <w:trHeight w:val="345"/>
        </w:trPr>
        <w:tc>
          <w:tcPr>
            <w:tcW w:w="2780" w:type="dxa"/>
            <w:tcBorders>
              <w:top w:val="nil"/>
              <w:left w:val="nil"/>
              <w:bottom w:val="double" w:sz="6" w:space="0" w:color="auto"/>
              <w:right w:val="nil"/>
            </w:tcBorders>
            <w:shd w:val="clear" w:color="auto" w:fill="auto"/>
            <w:noWrap/>
            <w:vAlign w:val="bottom"/>
            <w:hideMark/>
          </w:tcPr>
          <w:p w14:paraId="4C8C6BE9" w14:textId="77777777" w:rsidR="006E4F72" w:rsidRPr="00730B1E" w:rsidRDefault="006E4F72" w:rsidP="006E4F72">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4214A5E2" w14:textId="77777777" w:rsidR="006E4F72" w:rsidRPr="00730B1E" w:rsidRDefault="006E4F72" w:rsidP="006E4F72">
            <w:pPr>
              <w:spacing w:line="240" w:lineRule="auto"/>
              <w:jc w:val="center"/>
              <w:rPr>
                <w:rFonts w:eastAsia="Times New Roman"/>
                <w:b/>
                <w:bCs/>
                <w:szCs w:val="24"/>
                <w:lang w:eastAsia="cs-CZ"/>
              </w:rPr>
            </w:pPr>
            <w:r w:rsidRPr="00730B1E">
              <w:rPr>
                <w:rFonts w:eastAsia="Times New Roman"/>
                <w:b/>
                <w:bCs/>
                <w:szCs w:val="24"/>
                <w:lang w:eastAsia="cs-CZ"/>
              </w:rPr>
              <w:t>177</w:t>
            </w:r>
          </w:p>
        </w:tc>
        <w:tc>
          <w:tcPr>
            <w:tcW w:w="1927" w:type="dxa"/>
            <w:tcBorders>
              <w:top w:val="nil"/>
              <w:left w:val="nil"/>
              <w:bottom w:val="double" w:sz="6" w:space="0" w:color="auto"/>
              <w:right w:val="nil"/>
            </w:tcBorders>
            <w:shd w:val="clear" w:color="auto" w:fill="auto"/>
            <w:noWrap/>
            <w:vAlign w:val="center"/>
            <w:hideMark/>
          </w:tcPr>
          <w:p w14:paraId="2D2C9995" w14:textId="77777777" w:rsidR="006E4F72" w:rsidRPr="00730B1E" w:rsidRDefault="006E4F72" w:rsidP="006E4F72">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-9 %  </w:t>
            </w:r>
          </w:p>
        </w:tc>
      </w:tr>
      <w:tr w:rsidR="00B64E96" w:rsidRPr="00730B1E" w14:paraId="06AFC44E" w14:textId="77777777" w:rsidTr="006E4F72">
        <w:trPr>
          <w:trHeight w:val="330"/>
        </w:trPr>
        <w:tc>
          <w:tcPr>
            <w:tcW w:w="2780" w:type="dxa"/>
            <w:tcBorders>
              <w:top w:val="nil"/>
              <w:left w:val="nil"/>
              <w:bottom w:val="nil"/>
              <w:right w:val="nil"/>
            </w:tcBorders>
            <w:shd w:val="clear" w:color="auto" w:fill="auto"/>
            <w:noWrap/>
            <w:vAlign w:val="bottom"/>
            <w:hideMark/>
          </w:tcPr>
          <w:p w14:paraId="390B5383" w14:textId="77777777" w:rsidR="006E4F72" w:rsidRPr="00730B1E" w:rsidRDefault="006E4F72" w:rsidP="006E4F72">
            <w:pPr>
              <w:spacing w:line="240" w:lineRule="auto"/>
              <w:jc w:val="center"/>
              <w:rPr>
                <w:rFonts w:eastAsia="Times New Roman"/>
                <w:b/>
                <w:bCs/>
                <w:sz w:val="20"/>
                <w:szCs w:val="20"/>
                <w:lang w:eastAsia="cs-CZ"/>
              </w:rPr>
            </w:pPr>
          </w:p>
        </w:tc>
        <w:tc>
          <w:tcPr>
            <w:tcW w:w="1253" w:type="dxa"/>
            <w:tcBorders>
              <w:top w:val="nil"/>
              <w:left w:val="nil"/>
              <w:bottom w:val="nil"/>
              <w:right w:val="nil"/>
            </w:tcBorders>
            <w:shd w:val="clear" w:color="auto" w:fill="auto"/>
            <w:noWrap/>
            <w:vAlign w:val="bottom"/>
            <w:hideMark/>
          </w:tcPr>
          <w:p w14:paraId="028F96BE" w14:textId="77777777" w:rsidR="006E4F72" w:rsidRPr="00DF07F3" w:rsidRDefault="006E4F72" w:rsidP="006E4F72">
            <w:pPr>
              <w:spacing w:line="240" w:lineRule="auto"/>
              <w:jc w:val="left"/>
              <w:rPr>
                <w:sz w:val="20"/>
              </w:rPr>
            </w:pPr>
          </w:p>
        </w:tc>
        <w:tc>
          <w:tcPr>
            <w:tcW w:w="1927" w:type="dxa"/>
            <w:tcBorders>
              <w:top w:val="nil"/>
              <w:left w:val="nil"/>
              <w:bottom w:val="nil"/>
              <w:right w:val="nil"/>
            </w:tcBorders>
            <w:shd w:val="clear" w:color="auto" w:fill="auto"/>
            <w:noWrap/>
            <w:vAlign w:val="bottom"/>
            <w:hideMark/>
          </w:tcPr>
          <w:p w14:paraId="5996BBCE" w14:textId="77777777" w:rsidR="006E4F72" w:rsidRPr="00DF07F3" w:rsidRDefault="006E4F72" w:rsidP="006E4F72">
            <w:pPr>
              <w:spacing w:line="240" w:lineRule="auto"/>
              <w:jc w:val="left"/>
              <w:rPr>
                <w:sz w:val="20"/>
              </w:rPr>
            </w:pPr>
          </w:p>
        </w:tc>
      </w:tr>
    </w:tbl>
    <w:p w14:paraId="4EAB0EF4" w14:textId="7F724632" w:rsidR="00AD2A05" w:rsidRPr="00730B1E" w:rsidRDefault="00AD2A05" w:rsidP="00AD2A05">
      <w:pPr>
        <w:pStyle w:val="OdstavecASR"/>
      </w:pPr>
      <w:r w:rsidRPr="00730B1E">
        <w:t>DT klesl u všech soudů s</w:t>
      </w:r>
      <w:r w:rsidR="00C96676" w:rsidRPr="00730B1E">
        <w:t> </w:t>
      </w:r>
      <w:r w:rsidRPr="00730B1E">
        <w:t>výjimkou KS Ostrava, kde významně narostl (v roce 2022 tam ale značně klesl).</w:t>
      </w:r>
    </w:p>
    <w:p w14:paraId="543BA048" w14:textId="200E383F" w:rsidR="00AD2A05" w:rsidRPr="00730B1E" w:rsidRDefault="00AD2A05" w:rsidP="00AD2A05">
      <w:pPr>
        <w:pStyle w:val="OdstavecASR"/>
      </w:pPr>
      <w:r w:rsidRPr="00730B1E">
        <w:t>Závěry ze srovnání krajských soudů na základě délek řízení, přepočtu na soudce a DT se v</w:t>
      </w:r>
      <w:r w:rsidR="00C96676" w:rsidRPr="00730B1E">
        <w:t> </w:t>
      </w:r>
      <w:r w:rsidRPr="00730B1E">
        <w:t>tomto případě liší, což vyplývá (jak už bylo zmíněno) z</w:t>
      </w:r>
      <w:r w:rsidR="00C96676" w:rsidRPr="00730B1E">
        <w:t> </w:t>
      </w:r>
      <w:r w:rsidRPr="00730B1E">
        <w:t>jiné metodiky, jiného zdroje dat a malého počtu pozorování.</w:t>
      </w:r>
    </w:p>
    <w:p w14:paraId="0E80D156" w14:textId="764FE4EF" w:rsidR="00AD2A05" w:rsidRPr="00730B1E" w:rsidRDefault="00C96676" w:rsidP="00AD2A05">
      <w:pPr>
        <w:pStyle w:val="OdstavecASR"/>
      </w:pPr>
      <w:r w:rsidRPr="00730B1E">
        <w:t xml:space="preserve">Ukazuje se tak, že u </w:t>
      </w:r>
      <w:r w:rsidR="00AD2A05" w:rsidRPr="00730B1E">
        <w:t xml:space="preserve">KS je </w:t>
      </w:r>
      <w:r w:rsidRPr="00730B1E">
        <w:t xml:space="preserve">v této agendě </w:t>
      </w:r>
      <w:r w:rsidR="00AD2A05" w:rsidRPr="00730B1E">
        <w:t xml:space="preserve">těžké </w:t>
      </w:r>
      <w:r w:rsidRPr="00730B1E">
        <w:t>činit kategorické závěry</w:t>
      </w:r>
      <w:r w:rsidR="00AD2A05" w:rsidRPr="00730B1E">
        <w:t xml:space="preserve"> – situace není stabilní především kvůli malému počtu vyřizovaných věcí a vysoké náročnosti agendy. Nicméně v posledních letech klesají </w:t>
      </w:r>
      <w:r w:rsidR="00A373C4" w:rsidRPr="00730B1E">
        <w:t xml:space="preserve">počty </w:t>
      </w:r>
      <w:r w:rsidR="00AD2A05" w:rsidRPr="00730B1E">
        <w:t>nevyřízených věcí, DT i délky řízení</w:t>
      </w:r>
      <w:r w:rsidRPr="00730B1E">
        <w:t xml:space="preserve">, což by mělo </w:t>
      </w:r>
      <w:r w:rsidR="00AD2A05" w:rsidRPr="00730B1E">
        <w:t>naznačovat zlepšování situace.</w:t>
      </w:r>
    </w:p>
    <w:p w14:paraId="1D2BE867" w14:textId="10FB15B1" w:rsidR="008430BD" w:rsidRPr="00730B1E" w:rsidRDefault="008430BD" w:rsidP="008430BD">
      <w:pPr>
        <w:pStyle w:val="Nadpis3"/>
        <w:numPr>
          <w:ilvl w:val="2"/>
          <w:numId w:val="1"/>
        </w:numPr>
        <w:rPr>
          <w:color w:val="auto"/>
        </w:rPr>
      </w:pPr>
      <w:bookmarkStart w:id="985" w:name="_Toc515871261"/>
      <w:bookmarkStart w:id="986" w:name="_Toc106092768"/>
      <w:bookmarkStart w:id="987" w:name="_Toc169250844"/>
      <w:bookmarkStart w:id="988" w:name="_Toc174080880"/>
      <w:r w:rsidRPr="00730B1E">
        <w:rPr>
          <w:color w:val="auto"/>
        </w:rPr>
        <w:lastRenderedPageBreak/>
        <w:t>Další statistiky</w:t>
      </w:r>
      <w:bookmarkEnd w:id="985"/>
      <w:bookmarkEnd w:id="986"/>
      <w:bookmarkEnd w:id="987"/>
      <w:bookmarkEnd w:id="988"/>
    </w:p>
    <w:p w14:paraId="42B53E41" w14:textId="7D5DB98B" w:rsidR="00AD2A05" w:rsidRPr="00730B1E" w:rsidRDefault="00AD2A05" w:rsidP="00AD2A05">
      <w:pPr>
        <w:pStyle w:val="OdstavecASR"/>
      </w:pPr>
      <w:r w:rsidRPr="00730B1E">
        <w:t>Jako další statistiky v této podkapitole uvádíme míru odvolání, míru změny rozsudku, míru odsouzení, a nakonec se díváme na to, za jaké trestné činy jsou nejvíce ukládány tresty nepodmíněného odnětí svobody. Jde tedy o podobné statistiky jako u okresních soudů. Opět je třeba zdůraznit, že u KS je malý počet pozorování.</w:t>
      </w:r>
    </w:p>
    <w:p w14:paraId="04A11D17" w14:textId="77777777" w:rsidR="003F3502" w:rsidRPr="00730B1E" w:rsidRDefault="003F3502" w:rsidP="003F3502">
      <w:pPr>
        <w:pStyle w:val="OdstavecASR"/>
        <w:keepNext/>
        <w:outlineLvl w:val="3"/>
        <w:rPr>
          <w:b/>
        </w:rPr>
      </w:pPr>
      <w:r w:rsidRPr="00730B1E">
        <w:rPr>
          <w:b/>
        </w:rPr>
        <w:t>Míra odvolání</w:t>
      </w:r>
    </w:p>
    <w:p w14:paraId="0FC407E7" w14:textId="2F26F9AC" w:rsidR="00AD2A05" w:rsidRPr="00730B1E" w:rsidRDefault="00AD2A05" w:rsidP="00AD2A05">
      <w:pPr>
        <w:pStyle w:val="Podnadpis"/>
        <w:rPr>
          <w:color w:val="auto"/>
        </w:rPr>
      </w:pPr>
      <w:bookmarkStart w:id="989" w:name="_Toc515871482"/>
      <w:bookmarkStart w:id="990" w:name="_Toc11133250"/>
      <w:bookmarkStart w:id="991" w:name="_Toc43931229"/>
      <w:bookmarkStart w:id="992" w:name="_Toc75952362"/>
      <w:bookmarkStart w:id="993" w:name="_Toc106106818"/>
      <w:bookmarkStart w:id="994" w:name="_Toc109802141"/>
      <w:bookmarkStart w:id="995" w:name="_Toc144104299"/>
      <w:bookmarkStart w:id="996" w:name="_Toc169251113"/>
      <w:bookmarkStart w:id="997" w:name="_Toc174080799"/>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56</w:t>
      </w:r>
      <w:r w:rsidRPr="00730B1E">
        <w:rPr>
          <w:noProof/>
          <w:color w:val="auto"/>
        </w:rPr>
        <w:fldChar w:fldCharType="end"/>
      </w:r>
      <w:r w:rsidRPr="00730B1E">
        <w:rPr>
          <w:color w:val="auto"/>
        </w:rPr>
        <w:t>: KS – míra odvolání dle soudů v trestním řízení</w:t>
      </w:r>
      <w:bookmarkEnd w:id="989"/>
      <w:bookmarkEnd w:id="990"/>
      <w:bookmarkEnd w:id="991"/>
      <w:bookmarkEnd w:id="992"/>
      <w:bookmarkEnd w:id="993"/>
      <w:bookmarkEnd w:id="994"/>
      <w:bookmarkEnd w:id="995"/>
      <w:r w:rsidR="00554BBA" w:rsidRPr="00730B1E">
        <w:rPr>
          <w:color w:val="auto"/>
        </w:rPr>
        <w:t>, 2023</w:t>
      </w:r>
      <w:bookmarkEnd w:id="996"/>
      <w:bookmarkEnd w:id="997"/>
    </w:p>
    <w:tbl>
      <w:tblPr>
        <w:tblW w:w="6300" w:type="dxa"/>
        <w:tblCellMar>
          <w:left w:w="70" w:type="dxa"/>
          <w:right w:w="70" w:type="dxa"/>
        </w:tblCellMar>
        <w:tblLook w:val="04A0" w:firstRow="1" w:lastRow="0" w:firstColumn="1" w:lastColumn="0" w:noHBand="0" w:noVBand="1"/>
      </w:tblPr>
      <w:tblGrid>
        <w:gridCol w:w="2780"/>
        <w:gridCol w:w="1731"/>
        <w:gridCol w:w="1789"/>
      </w:tblGrid>
      <w:tr w:rsidR="00B64E96" w:rsidRPr="00730B1E" w14:paraId="00EC75DA" w14:textId="77777777" w:rsidTr="00AD2A05">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6409B2B" w14:textId="77777777" w:rsidR="00AD2A05" w:rsidRPr="00730B1E" w:rsidRDefault="00AD2A05" w:rsidP="00AD2A05">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278DAB2C" w14:textId="215AB74E" w:rsidR="00AD2A05" w:rsidRPr="00730B1E" w:rsidRDefault="00AD2A05" w:rsidP="00AD2A05">
            <w:pPr>
              <w:spacing w:line="240" w:lineRule="auto"/>
              <w:jc w:val="center"/>
              <w:rPr>
                <w:rFonts w:eastAsia="Times New Roman"/>
                <w:b/>
                <w:bCs/>
                <w:szCs w:val="24"/>
                <w:lang w:eastAsia="cs-CZ"/>
              </w:rPr>
            </w:pPr>
            <w:r w:rsidRPr="00730B1E">
              <w:rPr>
                <w:rFonts w:eastAsia="Times New Roman"/>
                <w:b/>
                <w:bCs/>
                <w:szCs w:val="24"/>
                <w:lang w:eastAsia="cs-CZ"/>
              </w:rPr>
              <w:t>Míra odvolání</w:t>
            </w:r>
          </w:p>
        </w:tc>
      </w:tr>
      <w:tr w:rsidR="00B64E96" w:rsidRPr="00730B1E" w14:paraId="0B25CF3C" w14:textId="77777777" w:rsidTr="00AD2A05">
        <w:trPr>
          <w:trHeight w:val="330"/>
        </w:trPr>
        <w:tc>
          <w:tcPr>
            <w:tcW w:w="2780" w:type="dxa"/>
            <w:tcBorders>
              <w:top w:val="nil"/>
              <w:left w:val="nil"/>
              <w:bottom w:val="single" w:sz="4" w:space="0" w:color="auto"/>
              <w:right w:val="nil"/>
            </w:tcBorders>
            <w:shd w:val="clear" w:color="auto" w:fill="auto"/>
            <w:noWrap/>
            <w:vAlign w:val="bottom"/>
            <w:hideMark/>
          </w:tcPr>
          <w:p w14:paraId="0A71EEE3" w14:textId="77777777" w:rsidR="00AD2A05" w:rsidRPr="00730B1E" w:rsidRDefault="00AD2A05" w:rsidP="00AD2A05">
            <w:pPr>
              <w:spacing w:line="240" w:lineRule="auto"/>
              <w:jc w:val="left"/>
              <w:rPr>
                <w:rFonts w:eastAsia="Times New Roman"/>
                <w:szCs w:val="24"/>
                <w:lang w:eastAsia="cs-CZ"/>
              </w:rPr>
            </w:pPr>
            <w:r w:rsidRPr="00730B1E">
              <w:rPr>
                <w:rFonts w:eastAsia="Times New Roman"/>
                <w:szCs w:val="24"/>
                <w:lang w:eastAsia="cs-CZ"/>
              </w:rPr>
              <w:t>MS Praha</w:t>
            </w:r>
          </w:p>
        </w:tc>
        <w:tc>
          <w:tcPr>
            <w:tcW w:w="1731" w:type="dxa"/>
            <w:tcBorders>
              <w:top w:val="nil"/>
              <w:left w:val="nil"/>
              <w:bottom w:val="single" w:sz="4" w:space="0" w:color="auto"/>
              <w:right w:val="nil"/>
            </w:tcBorders>
            <w:shd w:val="clear" w:color="auto" w:fill="auto"/>
            <w:noWrap/>
            <w:vAlign w:val="bottom"/>
            <w:hideMark/>
          </w:tcPr>
          <w:p w14:paraId="4FE620E7" w14:textId="463EC31D" w:rsidR="00AD2A05" w:rsidRPr="00730B1E" w:rsidRDefault="00AD2A05" w:rsidP="00AD2A05">
            <w:pPr>
              <w:spacing w:line="240" w:lineRule="auto"/>
              <w:jc w:val="center"/>
              <w:rPr>
                <w:rFonts w:eastAsia="Times New Roman"/>
                <w:szCs w:val="24"/>
                <w:lang w:eastAsia="cs-CZ"/>
              </w:rPr>
            </w:pPr>
            <w:r w:rsidRPr="00730B1E">
              <w:rPr>
                <w:rFonts w:eastAsia="Times New Roman"/>
                <w:szCs w:val="24"/>
                <w:lang w:eastAsia="cs-CZ"/>
              </w:rPr>
              <w:t>64,75 %</w:t>
            </w:r>
          </w:p>
        </w:tc>
        <w:tc>
          <w:tcPr>
            <w:tcW w:w="1789" w:type="dxa"/>
            <w:tcBorders>
              <w:top w:val="nil"/>
              <w:left w:val="nil"/>
              <w:bottom w:val="single" w:sz="4" w:space="0" w:color="auto"/>
              <w:right w:val="nil"/>
            </w:tcBorders>
            <w:shd w:val="clear" w:color="auto" w:fill="auto"/>
            <w:noWrap/>
            <w:vAlign w:val="center"/>
            <w:hideMark/>
          </w:tcPr>
          <w:p w14:paraId="4A892A3A" w14:textId="6013327A" w:rsidR="00AD2A05" w:rsidRPr="00730B1E" w:rsidRDefault="00AD2A05" w:rsidP="00AD2A05">
            <w:pPr>
              <w:spacing w:line="240" w:lineRule="auto"/>
              <w:jc w:val="center"/>
              <w:rPr>
                <w:rFonts w:eastAsia="Times New Roman"/>
                <w:sz w:val="20"/>
                <w:szCs w:val="20"/>
                <w:lang w:eastAsia="cs-CZ"/>
              </w:rPr>
            </w:pPr>
            <w:r w:rsidRPr="00730B1E">
              <w:rPr>
                <w:rFonts w:eastAsia="Times New Roman"/>
                <w:sz w:val="20"/>
                <w:szCs w:val="20"/>
                <w:lang w:eastAsia="cs-CZ"/>
              </w:rPr>
              <w:t>+3,2 p.b.</w:t>
            </w:r>
          </w:p>
        </w:tc>
      </w:tr>
      <w:tr w:rsidR="00B64E96" w:rsidRPr="00730B1E" w14:paraId="26BC6C5C" w14:textId="77777777" w:rsidTr="00AD2A05">
        <w:trPr>
          <w:trHeight w:val="315"/>
        </w:trPr>
        <w:tc>
          <w:tcPr>
            <w:tcW w:w="2780" w:type="dxa"/>
            <w:tcBorders>
              <w:top w:val="nil"/>
              <w:left w:val="nil"/>
              <w:bottom w:val="single" w:sz="4" w:space="0" w:color="auto"/>
              <w:right w:val="nil"/>
            </w:tcBorders>
            <w:shd w:val="clear" w:color="auto" w:fill="auto"/>
            <w:noWrap/>
            <w:vAlign w:val="bottom"/>
            <w:hideMark/>
          </w:tcPr>
          <w:p w14:paraId="448BF44F" w14:textId="77777777" w:rsidR="00AD2A05" w:rsidRPr="00730B1E" w:rsidRDefault="00AD2A05" w:rsidP="00AD2A05">
            <w:pPr>
              <w:spacing w:line="240" w:lineRule="auto"/>
              <w:jc w:val="left"/>
              <w:rPr>
                <w:rFonts w:eastAsia="Times New Roman"/>
                <w:szCs w:val="24"/>
                <w:lang w:eastAsia="cs-CZ"/>
              </w:rPr>
            </w:pPr>
            <w:r w:rsidRPr="00730B1E">
              <w:rPr>
                <w:rFonts w:eastAsia="Times New Roman"/>
                <w:szCs w:val="24"/>
                <w:lang w:eastAsia="cs-CZ"/>
              </w:rPr>
              <w:t>KS Praha</w:t>
            </w:r>
          </w:p>
        </w:tc>
        <w:tc>
          <w:tcPr>
            <w:tcW w:w="1731" w:type="dxa"/>
            <w:tcBorders>
              <w:top w:val="nil"/>
              <w:left w:val="nil"/>
              <w:bottom w:val="single" w:sz="4" w:space="0" w:color="auto"/>
              <w:right w:val="nil"/>
            </w:tcBorders>
            <w:shd w:val="clear" w:color="auto" w:fill="auto"/>
            <w:noWrap/>
            <w:vAlign w:val="bottom"/>
            <w:hideMark/>
          </w:tcPr>
          <w:p w14:paraId="4828476D" w14:textId="789FB28F" w:rsidR="00AD2A05" w:rsidRPr="00730B1E" w:rsidRDefault="00AD2A05" w:rsidP="00AD2A05">
            <w:pPr>
              <w:spacing w:line="240" w:lineRule="auto"/>
              <w:jc w:val="center"/>
              <w:rPr>
                <w:rFonts w:eastAsia="Times New Roman"/>
                <w:szCs w:val="24"/>
                <w:lang w:eastAsia="cs-CZ"/>
              </w:rPr>
            </w:pPr>
            <w:r w:rsidRPr="00730B1E">
              <w:rPr>
                <w:rFonts w:eastAsia="Times New Roman"/>
                <w:szCs w:val="24"/>
                <w:lang w:eastAsia="cs-CZ"/>
              </w:rPr>
              <w:t>66,32 %</w:t>
            </w:r>
          </w:p>
        </w:tc>
        <w:tc>
          <w:tcPr>
            <w:tcW w:w="1789" w:type="dxa"/>
            <w:tcBorders>
              <w:top w:val="nil"/>
              <w:left w:val="nil"/>
              <w:bottom w:val="single" w:sz="4" w:space="0" w:color="auto"/>
              <w:right w:val="nil"/>
            </w:tcBorders>
            <w:shd w:val="clear" w:color="auto" w:fill="auto"/>
            <w:noWrap/>
            <w:vAlign w:val="center"/>
            <w:hideMark/>
          </w:tcPr>
          <w:p w14:paraId="4C48FA70" w14:textId="013BE69A" w:rsidR="00AD2A05" w:rsidRPr="00730B1E" w:rsidRDefault="00AD2A05" w:rsidP="00AD2A05">
            <w:pPr>
              <w:spacing w:line="240" w:lineRule="auto"/>
              <w:jc w:val="center"/>
              <w:rPr>
                <w:rFonts w:eastAsia="Times New Roman"/>
                <w:sz w:val="20"/>
                <w:szCs w:val="20"/>
                <w:lang w:eastAsia="cs-CZ"/>
              </w:rPr>
            </w:pPr>
            <w:r w:rsidRPr="00730B1E">
              <w:rPr>
                <w:rFonts w:eastAsia="Times New Roman"/>
                <w:sz w:val="20"/>
                <w:szCs w:val="20"/>
                <w:lang w:eastAsia="cs-CZ"/>
              </w:rPr>
              <w:t>-16,9 p.b.</w:t>
            </w:r>
          </w:p>
        </w:tc>
      </w:tr>
      <w:tr w:rsidR="00B64E96" w:rsidRPr="00730B1E" w14:paraId="3CF60EB2" w14:textId="77777777" w:rsidTr="00AD2A05">
        <w:trPr>
          <w:trHeight w:val="315"/>
        </w:trPr>
        <w:tc>
          <w:tcPr>
            <w:tcW w:w="2780" w:type="dxa"/>
            <w:tcBorders>
              <w:top w:val="nil"/>
              <w:left w:val="nil"/>
              <w:bottom w:val="single" w:sz="4" w:space="0" w:color="auto"/>
              <w:right w:val="nil"/>
            </w:tcBorders>
            <w:shd w:val="clear" w:color="auto" w:fill="auto"/>
            <w:noWrap/>
            <w:vAlign w:val="bottom"/>
            <w:hideMark/>
          </w:tcPr>
          <w:p w14:paraId="2595DED0" w14:textId="77777777" w:rsidR="00AD2A05" w:rsidRPr="00730B1E" w:rsidRDefault="00AD2A05" w:rsidP="00AD2A05">
            <w:pPr>
              <w:spacing w:line="240" w:lineRule="auto"/>
              <w:jc w:val="left"/>
              <w:rPr>
                <w:rFonts w:eastAsia="Times New Roman"/>
                <w:szCs w:val="24"/>
                <w:lang w:eastAsia="cs-CZ"/>
              </w:rPr>
            </w:pPr>
            <w:r w:rsidRPr="00730B1E">
              <w:rPr>
                <w:rFonts w:eastAsia="Times New Roman"/>
                <w:szCs w:val="24"/>
                <w:lang w:eastAsia="cs-CZ"/>
              </w:rPr>
              <w:t>KS Č. Budějovice</w:t>
            </w:r>
          </w:p>
        </w:tc>
        <w:tc>
          <w:tcPr>
            <w:tcW w:w="1731" w:type="dxa"/>
            <w:tcBorders>
              <w:top w:val="nil"/>
              <w:left w:val="nil"/>
              <w:bottom w:val="single" w:sz="4" w:space="0" w:color="auto"/>
              <w:right w:val="nil"/>
            </w:tcBorders>
            <w:shd w:val="clear" w:color="auto" w:fill="auto"/>
            <w:noWrap/>
            <w:vAlign w:val="bottom"/>
            <w:hideMark/>
          </w:tcPr>
          <w:p w14:paraId="01919FCB" w14:textId="7DC9557F" w:rsidR="00AD2A05" w:rsidRPr="00730B1E" w:rsidRDefault="00AD2A05" w:rsidP="00AD2A05">
            <w:pPr>
              <w:spacing w:line="240" w:lineRule="auto"/>
              <w:jc w:val="center"/>
              <w:rPr>
                <w:rFonts w:eastAsia="Times New Roman"/>
                <w:szCs w:val="24"/>
                <w:lang w:eastAsia="cs-CZ"/>
              </w:rPr>
            </w:pPr>
            <w:r w:rsidRPr="00730B1E">
              <w:rPr>
                <w:rFonts w:eastAsia="Times New Roman"/>
                <w:szCs w:val="24"/>
                <w:lang w:eastAsia="cs-CZ"/>
              </w:rPr>
              <w:t>70,77 %</w:t>
            </w:r>
          </w:p>
        </w:tc>
        <w:tc>
          <w:tcPr>
            <w:tcW w:w="1789" w:type="dxa"/>
            <w:tcBorders>
              <w:top w:val="nil"/>
              <w:left w:val="nil"/>
              <w:bottom w:val="single" w:sz="4" w:space="0" w:color="auto"/>
              <w:right w:val="nil"/>
            </w:tcBorders>
            <w:shd w:val="clear" w:color="auto" w:fill="auto"/>
            <w:noWrap/>
            <w:vAlign w:val="center"/>
            <w:hideMark/>
          </w:tcPr>
          <w:p w14:paraId="4AABD423" w14:textId="152E1B3D" w:rsidR="00AD2A05" w:rsidRPr="00730B1E" w:rsidRDefault="00AD2A05" w:rsidP="00AD2A05">
            <w:pPr>
              <w:spacing w:line="240" w:lineRule="auto"/>
              <w:jc w:val="center"/>
              <w:rPr>
                <w:rFonts w:eastAsia="Times New Roman"/>
                <w:sz w:val="20"/>
                <w:szCs w:val="20"/>
                <w:lang w:eastAsia="cs-CZ"/>
              </w:rPr>
            </w:pPr>
            <w:r w:rsidRPr="00730B1E">
              <w:rPr>
                <w:rFonts w:eastAsia="Times New Roman"/>
                <w:sz w:val="20"/>
                <w:szCs w:val="20"/>
                <w:lang w:eastAsia="cs-CZ"/>
              </w:rPr>
              <w:t>+13,2 p.b.</w:t>
            </w:r>
          </w:p>
        </w:tc>
      </w:tr>
      <w:tr w:rsidR="00B64E96" w:rsidRPr="00730B1E" w14:paraId="41DF0C63" w14:textId="77777777" w:rsidTr="00AD2A05">
        <w:trPr>
          <w:trHeight w:val="315"/>
        </w:trPr>
        <w:tc>
          <w:tcPr>
            <w:tcW w:w="2780" w:type="dxa"/>
            <w:tcBorders>
              <w:top w:val="nil"/>
              <w:left w:val="nil"/>
              <w:bottom w:val="single" w:sz="4" w:space="0" w:color="auto"/>
              <w:right w:val="nil"/>
            </w:tcBorders>
            <w:shd w:val="clear" w:color="auto" w:fill="auto"/>
            <w:noWrap/>
            <w:vAlign w:val="bottom"/>
            <w:hideMark/>
          </w:tcPr>
          <w:p w14:paraId="469E88A6" w14:textId="77777777" w:rsidR="00AD2A05" w:rsidRPr="00730B1E" w:rsidRDefault="00AD2A05" w:rsidP="00AD2A05">
            <w:pPr>
              <w:spacing w:line="240" w:lineRule="auto"/>
              <w:jc w:val="left"/>
              <w:rPr>
                <w:rFonts w:eastAsia="Times New Roman"/>
                <w:szCs w:val="24"/>
                <w:lang w:eastAsia="cs-CZ"/>
              </w:rPr>
            </w:pPr>
            <w:r w:rsidRPr="00730B1E">
              <w:rPr>
                <w:rFonts w:eastAsia="Times New Roman"/>
                <w:szCs w:val="24"/>
                <w:lang w:eastAsia="cs-CZ"/>
              </w:rPr>
              <w:t>KS Plzeň</w:t>
            </w:r>
          </w:p>
        </w:tc>
        <w:tc>
          <w:tcPr>
            <w:tcW w:w="1731" w:type="dxa"/>
            <w:tcBorders>
              <w:top w:val="nil"/>
              <w:left w:val="nil"/>
              <w:bottom w:val="single" w:sz="4" w:space="0" w:color="auto"/>
              <w:right w:val="nil"/>
            </w:tcBorders>
            <w:shd w:val="clear" w:color="auto" w:fill="auto"/>
            <w:noWrap/>
            <w:vAlign w:val="bottom"/>
            <w:hideMark/>
          </w:tcPr>
          <w:p w14:paraId="4AED14CE" w14:textId="07EFA9DF" w:rsidR="00AD2A05" w:rsidRPr="00730B1E" w:rsidRDefault="00AD2A05" w:rsidP="00AD2A05">
            <w:pPr>
              <w:spacing w:line="240" w:lineRule="auto"/>
              <w:jc w:val="center"/>
              <w:rPr>
                <w:rFonts w:eastAsia="Times New Roman"/>
                <w:szCs w:val="24"/>
                <w:lang w:eastAsia="cs-CZ"/>
              </w:rPr>
            </w:pPr>
            <w:r w:rsidRPr="00730B1E">
              <w:rPr>
                <w:rFonts w:eastAsia="Times New Roman"/>
                <w:szCs w:val="24"/>
                <w:lang w:eastAsia="cs-CZ"/>
              </w:rPr>
              <w:t>63,49 %</w:t>
            </w:r>
          </w:p>
        </w:tc>
        <w:tc>
          <w:tcPr>
            <w:tcW w:w="1789" w:type="dxa"/>
            <w:tcBorders>
              <w:top w:val="nil"/>
              <w:left w:val="nil"/>
              <w:bottom w:val="single" w:sz="4" w:space="0" w:color="auto"/>
              <w:right w:val="nil"/>
            </w:tcBorders>
            <w:shd w:val="clear" w:color="auto" w:fill="auto"/>
            <w:noWrap/>
            <w:vAlign w:val="center"/>
            <w:hideMark/>
          </w:tcPr>
          <w:p w14:paraId="04440E23" w14:textId="0184FCDB" w:rsidR="00AD2A05" w:rsidRPr="00730B1E" w:rsidRDefault="00AD2A05" w:rsidP="00AD2A05">
            <w:pPr>
              <w:spacing w:line="240" w:lineRule="auto"/>
              <w:jc w:val="center"/>
              <w:rPr>
                <w:rFonts w:eastAsia="Times New Roman"/>
                <w:sz w:val="20"/>
                <w:szCs w:val="20"/>
                <w:lang w:eastAsia="cs-CZ"/>
              </w:rPr>
            </w:pPr>
            <w:r w:rsidRPr="00730B1E">
              <w:rPr>
                <w:rFonts w:eastAsia="Times New Roman"/>
                <w:sz w:val="20"/>
                <w:szCs w:val="20"/>
                <w:lang w:eastAsia="cs-CZ"/>
              </w:rPr>
              <w:t>-3,7 p.b.</w:t>
            </w:r>
          </w:p>
        </w:tc>
      </w:tr>
      <w:tr w:rsidR="00B64E96" w:rsidRPr="00730B1E" w14:paraId="4D84D25D" w14:textId="77777777" w:rsidTr="00AD2A05">
        <w:trPr>
          <w:trHeight w:val="315"/>
        </w:trPr>
        <w:tc>
          <w:tcPr>
            <w:tcW w:w="2780" w:type="dxa"/>
            <w:tcBorders>
              <w:top w:val="nil"/>
              <w:left w:val="nil"/>
              <w:bottom w:val="single" w:sz="4" w:space="0" w:color="auto"/>
              <w:right w:val="nil"/>
            </w:tcBorders>
            <w:shd w:val="clear" w:color="auto" w:fill="auto"/>
            <w:noWrap/>
            <w:vAlign w:val="bottom"/>
            <w:hideMark/>
          </w:tcPr>
          <w:p w14:paraId="24EB0A3B" w14:textId="77777777" w:rsidR="00AD2A05" w:rsidRPr="00730B1E" w:rsidRDefault="00AD2A05" w:rsidP="00AD2A05">
            <w:pPr>
              <w:spacing w:line="240" w:lineRule="auto"/>
              <w:jc w:val="left"/>
              <w:rPr>
                <w:rFonts w:eastAsia="Times New Roman"/>
                <w:szCs w:val="24"/>
                <w:lang w:eastAsia="cs-CZ"/>
              </w:rPr>
            </w:pPr>
            <w:r w:rsidRPr="00730B1E">
              <w:rPr>
                <w:rFonts w:eastAsia="Times New Roman"/>
                <w:szCs w:val="24"/>
                <w:lang w:eastAsia="cs-CZ"/>
              </w:rPr>
              <w:t>KS Ústí n. Labem</w:t>
            </w:r>
          </w:p>
        </w:tc>
        <w:tc>
          <w:tcPr>
            <w:tcW w:w="1731" w:type="dxa"/>
            <w:tcBorders>
              <w:top w:val="nil"/>
              <w:left w:val="nil"/>
              <w:bottom w:val="single" w:sz="4" w:space="0" w:color="auto"/>
              <w:right w:val="nil"/>
            </w:tcBorders>
            <w:shd w:val="clear" w:color="auto" w:fill="auto"/>
            <w:noWrap/>
            <w:vAlign w:val="bottom"/>
            <w:hideMark/>
          </w:tcPr>
          <w:p w14:paraId="67F45239" w14:textId="1661B748" w:rsidR="00AD2A05" w:rsidRPr="00730B1E" w:rsidRDefault="00AD2A05" w:rsidP="00AD2A05">
            <w:pPr>
              <w:spacing w:line="240" w:lineRule="auto"/>
              <w:jc w:val="center"/>
              <w:rPr>
                <w:rFonts w:eastAsia="Times New Roman"/>
                <w:szCs w:val="24"/>
                <w:lang w:eastAsia="cs-CZ"/>
              </w:rPr>
            </w:pPr>
            <w:r w:rsidRPr="00730B1E">
              <w:rPr>
                <w:rFonts w:eastAsia="Times New Roman"/>
                <w:szCs w:val="24"/>
                <w:lang w:eastAsia="cs-CZ"/>
              </w:rPr>
              <w:t>59,14 %</w:t>
            </w:r>
          </w:p>
        </w:tc>
        <w:tc>
          <w:tcPr>
            <w:tcW w:w="1789" w:type="dxa"/>
            <w:tcBorders>
              <w:top w:val="nil"/>
              <w:left w:val="nil"/>
              <w:bottom w:val="single" w:sz="4" w:space="0" w:color="auto"/>
              <w:right w:val="nil"/>
            </w:tcBorders>
            <w:shd w:val="clear" w:color="auto" w:fill="auto"/>
            <w:noWrap/>
            <w:vAlign w:val="center"/>
            <w:hideMark/>
          </w:tcPr>
          <w:p w14:paraId="230337EA" w14:textId="1DE2ADEE" w:rsidR="00AD2A05" w:rsidRPr="00730B1E" w:rsidRDefault="00AD2A05" w:rsidP="00AD2A05">
            <w:pPr>
              <w:spacing w:line="240" w:lineRule="auto"/>
              <w:jc w:val="center"/>
              <w:rPr>
                <w:rFonts w:eastAsia="Times New Roman"/>
                <w:sz w:val="20"/>
                <w:szCs w:val="20"/>
                <w:lang w:eastAsia="cs-CZ"/>
              </w:rPr>
            </w:pPr>
            <w:r w:rsidRPr="00730B1E">
              <w:rPr>
                <w:rFonts w:eastAsia="Times New Roman"/>
                <w:sz w:val="20"/>
                <w:szCs w:val="20"/>
                <w:lang w:eastAsia="cs-CZ"/>
              </w:rPr>
              <w:t>+9,4 p.b.</w:t>
            </w:r>
          </w:p>
        </w:tc>
      </w:tr>
      <w:tr w:rsidR="00B64E96" w:rsidRPr="00730B1E" w14:paraId="269667CB" w14:textId="77777777" w:rsidTr="00AD2A05">
        <w:trPr>
          <w:trHeight w:val="315"/>
        </w:trPr>
        <w:tc>
          <w:tcPr>
            <w:tcW w:w="2780" w:type="dxa"/>
            <w:tcBorders>
              <w:top w:val="nil"/>
              <w:left w:val="nil"/>
              <w:bottom w:val="single" w:sz="4" w:space="0" w:color="auto"/>
              <w:right w:val="nil"/>
            </w:tcBorders>
            <w:shd w:val="clear" w:color="auto" w:fill="auto"/>
            <w:noWrap/>
            <w:vAlign w:val="bottom"/>
            <w:hideMark/>
          </w:tcPr>
          <w:p w14:paraId="7B872920" w14:textId="77777777" w:rsidR="00AD2A05" w:rsidRPr="00730B1E" w:rsidRDefault="00AD2A05" w:rsidP="00AD2A05">
            <w:pPr>
              <w:spacing w:line="240" w:lineRule="auto"/>
              <w:jc w:val="left"/>
              <w:rPr>
                <w:rFonts w:eastAsia="Times New Roman"/>
                <w:szCs w:val="24"/>
                <w:lang w:eastAsia="cs-CZ"/>
              </w:rPr>
            </w:pPr>
            <w:r w:rsidRPr="00730B1E">
              <w:rPr>
                <w:rFonts w:eastAsia="Times New Roman"/>
                <w:szCs w:val="24"/>
                <w:lang w:eastAsia="cs-CZ"/>
              </w:rPr>
              <w:t>KS Hr. Králové</w:t>
            </w:r>
          </w:p>
        </w:tc>
        <w:tc>
          <w:tcPr>
            <w:tcW w:w="1731" w:type="dxa"/>
            <w:tcBorders>
              <w:top w:val="nil"/>
              <w:left w:val="nil"/>
              <w:bottom w:val="single" w:sz="4" w:space="0" w:color="auto"/>
              <w:right w:val="nil"/>
            </w:tcBorders>
            <w:shd w:val="clear" w:color="auto" w:fill="auto"/>
            <w:noWrap/>
            <w:vAlign w:val="bottom"/>
            <w:hideMark/>
          </w:tcPr>
          <w:p w14:paraId="0B41ADAF" w14:textId="3117791E" w:rsidR="00AD2A05" w:rsidRPr="00730B1E" w:rsidRDefault="00AD2A05" w:rsidP="00AD2A05">
            <w:pPr>
              <w:spacing w:line="240" w:lineRule="auto"/>
              <w:jc w:val="center"/>
              <w:rPr>
                <w:rFonts w:eastAsia="Times New Roman"/>
                <w:szCs w:val="24"/>
                <w:lang w:eastAsia="cs-CZ"/>
              </w:rPr>
            </w:pPr>
            <w:r w:rsidRPr="00730B1E">
              <w:rPr>
                <w:rFonts w:eastAsia="Times New Roman"/>
                <w:szCs w:val="24"/>
                <w:lang w:eastAsia="cs-CZ"/>
              </w:rPr>
              <w:t>63,78 %</w:t>
            </w:r>
          </w:p>
        </w:tc>
        <w:tc>
          <w:tcPr>
            <w:tcW w:w="1789" w:type="dxa"/>
            <w:tcBorders>
              <w:top w:val="nil"/>
              <w:left w:val="nil"/>
              <w:bottom w:val="single" w:sz="4" w:space="0" w:color="auto"/>
              <w:right w:val="nil"/>
            </w:tcBorders>
            <w:shd w:val="clear" w:color="auto" w:fill="auto"/>
            <w:noWrap/>
            <w:vAlign w:val="center"/>
            <w:hideMark/>
          </w:tcPr>
          <w:p w14:paraId="71B0CC31" w14:textId="106B2286" w:rsidR="00AD2A05" w:rsidRPr="00730B1E" w:rsidRDefault="00AD2A05" w:rsidP="00AD2A05">
            <w:pPr>
              <w:spacing w:line="240" w:lineRule="auto"/>
              <w:jc w:val="center"/>
              <w:rPr>
                <w:rFonts w:eastAsia="Times New Roman"/>
                <w:sz w:val="20"/>
                <w:szCs w:val="20"/>
                <w:lang w:eastAsia="cs-CZ"/>
              </w:rPr>
            </w:pPr>
            <w:r w:rsidRPr="00730B1E">
              <w:rPr>
                <w:rFonts w:eastAsia="Times New Roman"/>
                <w:sz w:val="20"/>
                <w:szCs w:val="20"/>
                <w:lang w:eastAsia="cs-CZ"/>
              </w:rPr>
              <w:t>+3,3 p.b.</w:t>
            </w:r>
          </w:p>
        </w:tc>
      </w:tr>
      <w:tr w:rsidR="00B64E96" w:rsidRPr="00730B1E" w14:paraId="0A12091D" w14:textId="77777777" w:rsidTr="00AD2A05">
        <w:trPr>
          <w:trHeight w:val="315"/>
        </w:trPr>
        <w:tc>
          <w:tcPr>
            <w:tcW w:w="2780" w:type="dxa"/>
            <w:tcBorders>
              <w:top w:val="nil"/>
              <w:left w:val="nil"/>
              <w:bottom w:val="single" w:sz="4" w:space="0" w:color="auto"/>
              <w:right w:val="nil"/>
            </w:tcBorders>
            <w:shd w:val="clear" w:color="auto" w:fill="auto"/>
            <w:noWrap/>
            <w:vAlign w:val="bottom"/>
            <w:hideMark/>
          </w:tcPr>
          <w:p w14:paraId="7318911D" w14:textId="77777777" w:rsidR="00AD2A05" w:rsidRPr="00730B1E" w:rsidRDefault="00AD2A05" w:rsidP="00AD2A05">
            <w:pPr>
              <w:spacing w:line="240" w:lineRule="auto"/>
              <w:jc w:val="left"/>
              <w:rPr>
                <w:rFonts w:eastAsia="Times New Roman"/>
                <w:szCs w:val="24"/>
                <w:lang w:eastAsia="cs-CZ"/>
              </w:rPr>
            </w:pPr>
            <w:r w:rsidRPr="00730B1E">
              <w:rPr>
                <w:rFonts w:eastAsia="Times New Roman"/>
                <w:szCs w:val="24"/>
                <w:lang w:eastAsia="cs-CZ"/>
              </w:rPr>
              <w:t>KS Brno</w:t>
            </w:r>
          </w:p>
        </w:tc>
        <w:tc>
          <w:tcPr>
            <w:tcW w:w="1731" w:type="dxa"/>
            <w:tcBorders>
              <w:top w:val="nil"/>
              <w:left w:val="nil"/>
              <w:bottom w:val="single" w:sz="4" w:space="0" w:color="auto"/>
              <w:right w:val="nil"/>
            </w:tcBorders>
            <w:shd w:val="clear" w:color="auto" w:fill="auto"/>
            <w:noWrap/>
            <w:vAlign w:val="bottom"/>
            <w:hideMark/>
          </w:tcPr>
          <w:p w14:paraId="1083F27C" w14:textId="27AB5B77" w:rsidR="00AD2A05" w:rsidRPr="00730B1E" w:rsidRDefault="00AD2A05" w:rsidP="00AD2A05">
            <w:pPr>
              <w:spacing w:line="240" w:lineRule="auto"/>
              <w:jc w:val="center"/>
              <w:rPr>
                <w:rFonts w:eastAsia="Times New Roman"/>
                <w:szCs w:val="24"/>
                <w:lang w:eastAsia="cs-CZ"/>
              </w:rPr>
            </w:pPr>
            <w:r w:rsidRPr="00730B1E">
              <w:rPr>
                <w:rFonts w:eastAsia="Times New Roman"/>
                <w:szCs w:val="24"/>
                <w:lang w:eastAsia="cs-CZ"/>
              </w:rPr>
              <w:t>52,16 %</w:t>
            </w:r>
          </w:p>
        </w:tc>
        <w:tc>
          <w:tcPr>
            <w:tcW w:w="1789" w:type="dxa"/>
            <w:tcBorders>
              <w:top w:val="nil"/>
              <w:left w:val="nil"/>
              <w:bottom w:val="single" w:sz="4" w:space="0" w:color="auto"/>
              <w:right w:val="nil"/>
            </w:tcBorders>
            <w:shd w:val="clear" w:color="auto" w:fill="auto"/>
            <w:noWrap/>
            <w:vAlign w:val="center"/>
            <w:hideMark/>
          </w:tcPr>
          <w:p w14:paraId="30FA36B8" w14:textId="2CC0D744" w:rsidR="00AD2A05" w:rsidRPr="00730B1E" w:rsidRDefault="00AD2A05" w:rsidP="00AD2A05">
            <w:pPr>
              <w:spacing w:line="240" w:lineRule="auto"/>
              <w:jc w:val="center"/>
              <w:rPr>
                <w:rFonts w:eastAsia="Times New Roman"/>
                <w:sz w:val="20"/>
                <w:szCs w:val="20"/>
                <w:lang w:eastAsia="cs-CZ"/>
              </w:rPr>
            </w:pPr>
            <w:r w:rsidRPr="00730B1E">
              <w:rPr>
                <w:rFonts w:eastAsia="Times New Roman"/>
                <w:sz w:val="20"/>
                <w:szCs w:val="20"/>
                <w:lang w:eastAsia="cs-CZ"/>
              </w:rPr>
              <w:t>-4,7 p.b.</w:t>
            </w:r>
          </w:p>
        </w:tc>
      </w:tr>
      <w:tr w:rsidR="00B64E96" w:rsidRPr="00730B1E" w14:paraId="2589C5D2" w14:textId="77777777" w:rsidTr="00AD2A05">
        <w:trPr>
          <w:trHeight w:val="330"/>
        </w:trPr>
        <w:tc>
          <w:tcPr>
            <w:tcW w:w="2780" w:type="dxa"/>
            <w:tcBorders>
              <w:top w:val="nil"/>
              <w:left w:val="nil"/>
              <w:bottom w:val="double" w:sz="6" w:space="0" w:color="auto"/>
              <w:right w:val="nil"/>
            </w:tcBorders>
            <w:shd w:val="clear" w:color="auto" w:fill="auto"/>
            <w:noWrap/>
            <w:vAlign w:val="bottom"/>
            <w:hideMark/>
          </w:tcPr>
          <w:p w14:paraId="70F44FF6" w14:textId="77777777" w:rsidR="00AD2A05" w:rsidRPr="00730B1E" w:rsidRDefault="00AD2A05" w:rsidP="00AD2A05">
            <w:pPr>
              <w:spacing w:line="240" w:lineRule="auto"/>
              <w:jc w:val="left"/>
              <w:rPr>
                <w:rFonts w:eastAsia="Times New Roman"/>
                <w:szCs w:val="24"/>
                <w:lang w:eastAsia="cs-CZ"/>
              </w:rPr>
            </w:pPr>
            <w:r w:rsidRPr="00730B1E">
              <w:rPr>
                <w:rFonts w:eastAsia="Times New Roman"/>
                <w:szCs w:val="24"/>
                <w:lang w:eastAsia="cs-CZ"/>
              </w:rPr>
              <w:t>KS Ostrava</w:t>
            </w:r>
          </w:p>
        </w:tc>
        <w:tc>
          <w:tcPr>
            <w:tcW w:w="1731" w:type="dxa"/>
            <w:tcBorders>
              <w:top w:val="nil"/>
              <w:left w:val="nil"/>
              <w:bottom w:val="double" w:sz="6" w:space="0" w:color="auto"/>
              <w:right w:val="nil"/>
            </w:tcBorders>
            <w:shd w:val="clear" w:color="auto" w:fill="auto"/>
            <w:noWrap/>
            <w:vAlign w:val="bottom"/>
            <w:hideMark/>
          </w:tcPr>
          <w:p w14:paraId="67AC7392" w14:textId="100548EC" w:rsidR="00AD2A05" w:rsidRPr="00730B1E" w:rsidRDefault="00AD2A05" w:rsidP="00AD2A05">
            <w:pPr>
              <w:spacing w:line="240" w:lineRule="auto"/>
              <w:jc w:val="center"/>
              <w:rPr>
                <w:rFonts w:eastAsia="Times New Roman"/>
                <w:szCs w:val="24"/>
                <w:lang w:eastAsia="cs-CZ"/>
              </w:rPr>
            </w:pPr>
            <w:r w:rsidRPr="00730B1E">
              <w:rPr>
                <w:rFonts w:eastAsia="Times New Roman"/>
                <w:szCs w:val="24"/>
                <w:lang w:eastAsia="cs-CZ"/>
              </w:rPr>
              <w:t>55,11 %</w:t>
            </w:r>
          </w:p>
        </w:tc>
        <w:tc>
          <w:tcPr>
            <w:tcW w:w="1789" w:type="dxa"/>
            <w:tcBorders>
              <w:top w:val="nil"/>
              <w:left w:val="nil"/>
              <w:bottom w:val="nil"/>
              <w:right w:val="nil"/>
            </w:tcBorders>
            <w:shd w:val="clear" w:color="auto" w:fill="auto"/>
            <w:noWrap/>
            <w:vAlign w:val="center"/>
            <w:hideMark/>
          </w:tcPr>
          <w:p w14:paraId="5DDA94C2" w14:textId="03ECDEB1" w:rsidR="00AD2A05" w:rsidRPr="00730B1E" w:rsidRDefault="00AD2A05" w:rsidP="00AD2A05">
            <w:pPr>
              <w:spacing w:line="240" w:lineRule="auto"/>
              <w:jc w:val="center"/>
              <w:rPr>
                <w:rFonts w:eastAsia="Times New Roman"/>
                <w:sz w:val="20"/>
                <w:szCs w:val="20"/>
                <w:lang w:eastAsia="cs-CZ"/>
              </w:rPr>
            </w:pPr>
            <w:r w:rsidRPr="00730B1E">
              <w:rPr>
                <w:rFonts w:eastAsia="Times New Roman"/>
                <w:sz w:val="20"/>
                <w:szCs w:val="20"/>
                <w:lang w:eastAsia="cs-CZ"/>
              </w:rPr>
              <w:t>+7,4 p.b.</w:t>
            </w:r>
          </w:p>
        </w:tc>
      </w:tr>
      <w:tr w:rsidR="00B64E96" w:rsidRPr="00730B1E" w14:paraId="649F4ABA" w14:textId="77777777" w:rsidTr="00AD2A05">
        <w:trPr>
          <w:trHeight w:val="345"/>
        </w:trPr>
        <w:tc>
          <w:tcPr>
            <w:tcW w:w="2780" w:type="dxa"/>
            <w:tcBorders>
              <w:top w:val="nil"/>
              <w:left w:val="nil"/>
              <w:bottom w:val="double" w:sz="6" w:space="0" w:color="auto"/>
              <w:right w:val="nil"/>
            </w:tcBorders>
            <w:shd w:val="clear" w:color="auto" w:fill="auto"/>
            <w:noWrap/>
            <w:vAlign w:val="bottom"/>
            <w:hideMark/>
          </w:tcPr>
          <w:p w14:paraId="3176DFFB" w14:textId="77777777" w:rsidR="00AD2A05" w:rsidRPr="00730B1E" w:rsidRDefault="00AD2A05" w:rsidP="00AD2A05">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31" w:type="dxa"/>
            <w:tcBorders>
              <w:top w:val="nil"/>
              <w:left w:val="nil"/>
              <w:bottom w:val="double" w:sz="6" w:space="0" w:color="auto"/>
              <w:right w:val="nil"/>
            </w:tcBorders>
            <w:shd w:val="clear" w:color="auto" w:fill="auto"/>
            <w:noWrap/>
            <w:vAlign w:val="bottom"/>
            <w:hideMark/>
          </w:tcPr>
          <w:p w14:paraId="387B8018" w14:textId="4FE023FB" w:rsidR="00AD2A05" w:rsidRPr="00730B1E" w:rsidRDefault="00AD2A05" w:rsidP="00AD2A05">
            <w:pPr>
              <w:spacing w:line="240" w:lineRule="auto"/>
              <w:jc w:val="center"/>
              <w:rPr>
                <w:rFonts w:eastAsia="Times New Roman"/>
                <w:b/>
                <w:bCs/>
                <w:szCs w:val="24"/>
                <w:lang w:eastAsia="cs-CZ"/>
              </w:rPr>
            </w:pPr>
            <w:r w:rsidRPr="00730B1E">
              <w:rPr>
                <w:rFonts w:eastAsia="Times New Roman"/>
                <w:b/>
                <w:bCs/>
                <w:szCs w:val="24"/>
                <w:lang w:eastAsia="cs-CZ"/>
              </w:rPr>
              <w:t>60,38 %</w:t>
            </w:r>
          </w:p>
        </w:tc>
        <w:tc>
          <w:tcPr>
            <w:tcW w:w="1789" w:type="dxa"/>
            <w:tcBorders>
              <w:top w:val="double" w:sz="6" w:space="0" w:color="auto"/>
              <w:left w:val="nil"/>
              <w:bottom w:val="double" w:sz="6" w:space="0" w:color="auto"/>
              <w:right w:val="nil"/>
            </w:tcBorders>
            <w:shd w:val="clear" w:color="auto" w:fill="auto"/>
            <w:noWrap/>
            <w:vAlign w:val="center"/>
            <w:hideMark/>
          </w:tcPr>
          <w:p w14:paraId="74EDDF60" w14:textId="62AC5C5C" w:rsidR="00AD2A05" w:rsidRPr="00730B1E" w:rsidRDefault="00AD2A05" w:rsidP="00AD2A05">
            <w:pPr>
              <w:spacing w:line="240" w:lineRule="auto"/>
              <w:jc w:val="center"/>
              <w:rPr>
                <w:rFonts w:eastAsia="Times New Roman"/>
                <w:b/>
                <w:bCs/>
                <w:sz w:val="20"/>
                <w:szCs w:val="20"/>
                <w:lang w:eastAsia="cs-CZ"/>
              </w:rPr>
            </w:pPr>
            <w:r w:rsidRPr="00730B1E">
              <w:rPr>
                <w:rFonts w:eastAsia="Times New Roman"/>
                <w:b/>
                <w:bCs/>
                <w:sz w:val="20"/>
                <w:szCs w:val="20"/>
                <w:lang w:eastAsia="cs-CZ"/>
              </w:rPr>
              <w:t>+1,6 p.b.</w:t>
            </w:r>
          </w:p>
        </w:tc>
      </w:tr>
      <w:tr w:rsidR="00B64E96" w:rsidRPr="00730B1E" w14:paraId="284E3FC0" w14:textId="77777777" w:rsidTr="00AD2A05">
        <w:trPr>
          <w:trHeight w:val="330"/>
        </w:trPr>
        <w:tc>
          <w:tcPr>
            <w:tcW w:w="2780" w:type="dxa"/>
            <w:tcBorders>
              <w:top w:val="nil"/>
              <w:left w:val="nil"/>
              <w:bottom w:val="nil"/>
              <w:right w:val="nil"/>
            </w:tcBorders>
            <w:shd w:val="clear" w:color="auto" w:fill="auto"/>
            <w:noWrap/>
            <w:vAlign w:val="bottom"/>
            <w:hideMark/>
          </w:tcPr>
          <w:p w14:paraId="4E02AE4A" w14:textId="77777777" w:rsidR="00AD2A05" w:rsidRPr="00730B1E" w:rsidRDefault="00AD2A05" w:rsidP="00AD2A05">
            <w:pPr>
              <w:spacing w:line="240" w:lineRule="auto"/>
              <w:jc w:val="right"/>
              <w:rPr>
                <w:rFonts w:eastAsia="Times New Roman"/>
                <w:b/>
                <w:bCs/>
                <w:sz w:val="20"/>
                <w:szCs w:val="20"/>
                <w:lang w:eastAsia="cs-CZ"/>
              </w:rPr>
            </w:pPr>
          </w:p>
        </w:tc>
        <w:tc>
          <w:tcPr>
            <w:tcW w:w="1731" w:type="dxa"/>
            <w:tcBorders>
              <w:top w:val="nil"/>
              <w:left w:val="nil"/>
              <w:bottom w:val="nil"/>
              <w:right w:val="nil"/>
            </w:tcBorders>
            <w:shd w:val="clear" w:color="auto" w:fill="auto"/>
            <w:noWrap/>
            <w:vAlign w:val="bottom"/>
            <w:hideMark/>
          </w:tcPr>
          <w:p w14:paraId="57E53C3A" w14:textId="77777777" w:rsidR="00AD2A05" w:rsidRPr="00DF07F3" w:rsidRDefault="00AD2A05" w:rsidP="00AD2A05">
            <w:pPr>
              <w:spacing w:line="240" w:lineRule="auto"/>
              <w:jc w:val="left"/>
              <w:rPr>
                <w:sz w:val="20"/>
              </w:rPr>
            </w:pPr>
          </w:p>
        </w:tc>
        <w:tc>
          <w:tcPr>
            <w:tcW w:w="1789" w:type="dxa"/>
            <w:tcBorders>
              <w:top w:val="nil"/>
              <w:left w:val="nil"/>
              <w:bottom w:val="nil"/>
              <w:right w:val="nil"/>
            </w:tcBorders>
            <w:shd w:val="clear" w:color="auto" w:fill="auto"/>
            <w:noWrap/>
            <w:vAlign w:val="bottom"/>
            <w:hideMark/>
          </w:tcPr>
          <w:p w14:paraId="104453C4" w14:textId="77777777" w:rsidR="00AD2A05" w:rsidRPr="00DF07F3" w:rsidRDefault="00AD2A05" w:rsidP="00AD2A05">
            <w:pPr>
              <w:spacing w:line="240" w:lineRule="auto"/>
              <w:jc w:val="left"/>
              <w:rPr>
                <w:sz w:val="20"/>
              </w:rPr>
            </w:pPr>
          </w:p>
        </w:tc>
      </w:tr>
    </w:tbl>
    <w:p w14:paraId="778D7B32" w14:textId="6AD120A9" w:rsidR="00AD2A05" w:rsidRPr="00730B1E" w:rsidRDefault="00AD2A05" w:rsidP="005F682A">
      <w:pPr>
        <w:pStyle w:val="OdstavecASR"/>
      </w:pPr>
      <w:r w:rsidRPr="00730B1E">
        <w:t xml:space="preserve">Míra odvolání </w:t>
      </w:r>
      <w:r w:rsidR="005F682A" w:rsidRPr="00730B1E">
        <w:t>mírně narostla</w:t>
      </w:r>
      <w:r w:rsidRPr="00730B1E">
        <w:t xml:space="preserve"> a </w:t>
      </w:r>
      <w:r w:rsidR="00C96676" w:rsidRPr="00730B1E">
        <w:t xml:space="preserve">činí </w:t>
      </w:r>
      <w:r w:rsidR="005F682A" w:rsidRPr="00730B1E">
        <w:t>60</w:t>
      </w:r>
      <w:r w:rsidRPr="00730B1E">
        <w:t>,</w:t>
      </w:r>
      <w:r w:rsidR="005F682A" w:rsidRPr="00730B1E">
        <w:t>38</w:t>
      </w:r>
      <w:r w:rsidRPr="00730B1E">
        <w:t> %</w:t>
      </w:r>
      <w:r w:rsidR="00CE5F7B" w:rsidRPr="00730B1E">
        <w:t xml:space="preserve">. </w:t>
      </w:r>
      <w:r w:rsidRPr="00730B1E">
        <w:t xml:space="preserve">To znamená, že v asi 6 z 10 vyřízených věcí je podáno odvolání proti konečnému rozhodnutí krajského soudu, což ale není překvapivé. Vzhledem k typu projednávaných věcí je pravidlem uložení delších nepodmíněných trestů odnětí svobody, což je spolu se zákazem </w:t>
      </w:r>
      <w:r w:rsidRPr="00730B1E">
        <w:rPr>
          <w:i/>
        </w:rPr>
        <w:t>reformationis in peius</w:t>
      </w:r>
      <w:r w:rsidRPr="00730B1E">
        <w:t xml:space="preserve"> (změny rozhodnutí k horšímu) více než dostatečná motivace k odvolání se pachatele bez ohledu na výsledek. Míra odvolání je v porovnání s jakoukoliv </w:t>
      </w:r>
      <w:r w:rsidR="00C96676" w:rsidRPr="00730B1E">
        <w:t xml:space="preserve">jinou </w:t>
      </w:r>
      <w:r w:rsidRPr="00730B1E">
        <w:t xml:space="preserve">agendou stále velmi vysoká, a to i přes to, že od roku 2019 klesla o více než </w:t>
      </w:r>
      <w:r w:rsidR="00D55247" w:rsidRPr="00730B1E">
        <w:t>20 </w:t>
      </w:r>
      <w:r w:rsidRPr="00730B1E">
        <w:t>procentních bodů.</w:t>
      </w:r>
    </w:p>
    <w:p w14:paraId="3192D2E7" w14:textId="082BD0E3" w:rsidR="005F682A" w:rsidRPr="00730B1E" w:rsidRDefault="00C96676" w:rsidP="005F682A">
      <w:pPr>
        <w:pStyle w:val="OdstavecASR"/>
        <w:tabs>
          <w:tab w:val="left" w:pos="7655"/>
        </w:tabs>
      </w:pPr>
      <w:r w:rsidRPr="00730B1E">
        <w:t>Na úrovni</w:t>
      </w:r>
      <w:r w:rsidR="005F682A" w:rsidRPr="00730B1E">
        <w:t xml:space="preserve"> jednotlivých krajských soudů dochází každý rok k velkým kladným i záporným odchylkám, takže hodnocení konkrétního roku není příliš vypovídající.</w:t>
      </w:r>
      <w:r w:rsidR="00CE5F7B" w:rsidRPr="00730B1E">
        <w:t xml:space="preserve"> Při pohledu na delší časovou osu </w:t>
      </w:r>
      <w:r w:rsidRPr="00730B1E">
        <w:t>nicméně</w:t>
      </w:r>
      <w:r w:rsidR="00CE5F7B" w:rsidRPr="00730B1E">
        <w:t xml:space="preserve"> zaujme, že v letech 2016 až 2020 se míra odvolání pohybovala nad 70</w:t>
      </w:r>
      <w:r w:rsidR="00271682" w:rsidRPr="00730B1E">
        <w:t xml:space="preserve"> </w:t>
      </w:r>
      <w:r w:rsidR="00CE5F7B" w:rsidRPr="00730B1E">
        <w:t xml:space="preserve">%, </w:t>
      </w:r>
      <w:r w:rsidR="00192333" w:rsidRPr="00730B1E">
        <w:t>v dalších letech</w:t>
      </w:r>
      <w:r w:rsidR="00CE5F7B" w:rsidRPr="00730B1E">
        <w:t xml:space="preserve"> </w:t>
      </w:r>
      <w:r w:rsidR="007E296A" w:rsidRPr="00730B1E">
        <w:t xml:space="preserve">se skokově snížila a </w:t>
      </w:r>
      <w:r w:rsidR="00E75022" w:rsidRPr="00730B1E">
        <w:t xml:space="preserve">nyní </w:t>
      </w:r>
      <w:r w:rsidR="00CE5F7B" w:rsidRPr="00730B1E">
        <w:t xml:space="preserve">je </w:t>
      </w:r>
      <w:r w:rsidR="00192333" w:rsidRPr="00730B1E">
        <w:t xml:space="preserve">přibližně </w:t>
      </w:r>
      <w:r w:rsidR="00CE5F7B" w:rsidRPr="00730B1E">
        <w:t xml:space="preserve">o 10 </w:t>
      </w:r>
      <w:r w:rsidR="007E296A" w:rsidRPr="00730B1E">
        <w:t>až 15</w:t>
      </w:r>
      <w:r w:rsidR="00D55247" w:rsidRPr="00730B1E">
        <w:t> </w:t>
      </w:r>
      <w:r w:rsidR="00CE5F7B" w:rsidRPr="00730B1E">
        <w:t>procentních bodů nižší.</w:t>
      </w:r>
      <w:r w:rsidR="005F682A" w:rsidRPr="00730B1E">
        <w:t xml:space="preserve"> Nejvyšší míru odvolání </w:t>
      </w:r>
      <w:r w:rsidR="00CE5F7B" w:rsidRPr="00730B1E">
        <w:t xml:space="preserve">v roce 2023 </w:t>
      </w:r>
      <w:r w:rsidRPr="00730B1E">
        <w:t xml:space="preserve">vykazuje </w:t>
      </w:r>
      <w:r w:rsidR="005F682A" w:rsidRPr="00730B1E">
        <w:t>KS České Budějovice (70,77</w:t>
      </w:r>
      <w:r w:rsidR="00342226" w:rsidRPr="00730B1E">
        <w:t> </w:t>
      </w:r>
      <w:r w:rsidR="005F682A" w:rsidRPr="00730B1E">
        <w:t>%), nejnižší KS Brno (52,16 %).</w:t>
      </w:r>
    </w:p>
    <w:p w14:paraId="2F82E6B7" w14:textId="4BD9D5D1" w:rsidR="00730B1E" w:rsidRPr="00730B1E" w:rsidRDefault="00730B1E">
      <w:pPr>
        <w:spacing w:after="160" w:line="259" w:lineRule="auto"/>
        <w:jc w:val="left"/>
      </w:pPr>
      <w:r w:rsidRPr="00730B1E">
        <w:br w:type="page"/>
      </w:r>
    </w:p>
    <w:p w14:paraId="4ECDCE4E" w14:textId="2A95D770" w:rsidR="002822C4" w:rsidRPr="00730B1E" w:rsidRDefault="00516DF2" w:rsidP="00516DF2">
      <w:pPr>
        <w:pStyle w:val="OdstavecASR"/>
        <w:keepNext/>
        <w:tabs>
          <w:tab w:val="left" w:pos="7655"/>
        </w:tabs>
        <w:outlineLvl w:val="3"/>
        <w:rPr>
          <w:b/>
        </w:rPr>
      </w:pPr>
      <w:r w:rsidRPr="00730B1E">
        <w:rPr>
          <w:b/>
        </w:rPr>
        <w:lastRenderedPageBreak/>
        <w:t>Míra změny rozsudku</w:t>
      </w:r>
    </w:p>
    <w:p w14:paraId="5B624858" w14:textId="5CD72EC6" w:rsidR="005F682A" w:rsidRPr="00730B1E" w:rsidRDefault="005F682A" w:rsidP="005F682A">
      <w:pPr>
        <w:pStyle w:val="Podnadpis"/>
        <w:rPr>
          <w:color w:val="auto"/>
        </w:rPr>
      </w:pPr>
      <w:bookmarkStart w:id="998" w:name="_Toc43931230"/>
      <w:bookmarkStart w:id="999" w:name="_Toc75952363"/>
      <w:bookmarkStart w:id="1000" w:name="_Toc106106819"/>
      <w:bookmarkStart w:id="1001" w:name="_Toc109802142"/>
      <w:bookmarkStart w:id="1002" w:name="_Toc144104300"/>
      <w:bookmarkStart w:id="1003" w:name="_Toc169251114"/>
      <w:bookmarkStart w:id="1004" w:name="_Toc174080800"/>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57</w:t>
      </w:r>
      <w:r w:rsidRPr="00730B1E">
        <w:rPr>
          <w:noProof/>
          <w:color w:val="auto"/>
        </w:rPr>
        <w:fldChar w:fldCharType="end"/>
      </w:r>
      <w:r w:rsidRPr="00730B1E">
        <w:rPr>
          <w:color w:val="auto"/>
        </w:rPr>
        <w:t>: KS – míra změny rozsudku dle soudů v trestním řízení</w:t>
      </w:r>
      <w:bookmarkEnd w:id="998"/>
      <w:bookmarkEnd w:id="999"/>
      <w:bookmarkEnd w:id="1000"/>
      <w:bookmarkEnd w:id="1001"/>
      <w:bookmarkEnd w:id="1002"/>
      <w:r w:rsidR="00554BBA" w:rsidRPr="00730B1E">
        <w:rPr>
          <w:color w:val="auto"/>
        </w:rPr>
        <w:t>, 2023</w:t>
      </w:r>
      <w:bookmarkEnd w:id="1003"/>
      <w:bookmarkEnd w:id="1004"/>
    </w:p>
    <w:tbl>
      <w:tblPr>
        <w:tblW w:w="6980" w:type="dxa"/>
        <w:tblCellMar>
          <w:left w:w="70" w:type="dxa"/>
          <w:right w:w="70" w:type="dxa"/>
        </w:tblCellMar>
        <w:tblLook w:val="04A0" w:firstRow="1" w:lastRow="0" w:firstColumn="1" w:lastColumn="0" w:noHBand="0" w:noVBand="1"/>
      </w:tblPr>
      <w:tblGrid>
        <w:gridCol w:w="2780"/>
        <w:gridCol w:w="2065"/>
        <w:gridCol w:w="2135"/>
      </w:tblGrid>
      <w:tr w:rsidR="00B64E96" w:rsidRPr="00730B1E" w14:paraId="252796CB" w14:textId="77777777" w:rsidTr="00BA734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440A57AB" w14:textId="77777777" w:rsidR="00BA7342" w:rsidRPr="00730B1E" w:rsidRDefault="00BA7342" w:rsidP="00BA7342">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5BD212C9" w14:textId="631833CD" w:rsidR="00BA7342" w:rsidRPr="00730B1E" w:rsidRDefault="00BA7342" w:rsidP="00BA7342">
            <w:pPr>
              <w:spacing w:line="240" w:lineRule="auto"/>
              <w:jc w:val="center"/>
              <w:rPr>
                <w:rFonts w:eastAsia="Times New Roman"/>
                <w:b/>
                <w:bCs/>
                <w:szCs w:val="24"/>
                <w:lang w:eastAsia="cs-CZ"/>
              </w:rPr>
            </w:pPr>
            <w:r w:rsidRPr="00730B1E">
              <w:rPr>
                <w:rFonts w:eastAsia="Times New Roman"/>
                <w:b/>
                <w:bCs/>
                <w:szCs w:val="24"/>
                <w:lang w:eastAsia="cs-CZ"/>
              </w:rPr>
              <w:t xml:space="preserve">Míra změny rozsudku </w:t>
            </w:r>
          </w:p>
        </w:tc>
      </w:tr>
      <w:tr w:rsidR="00B64E96" w:rsidRPr="00730B1E" w14:paraId="27DF5055" w14:textId="77777777" w:rsidTr="00BA7342">
        <w:trPr>
          <w:trHeight w:val="330"/>
        </w:trPr>
        <w:tc>
          <w:tcPr>
            <w:tcW w:w="2780" w:type="dxa"/>
            <w:tcBorders>
              <w:top w:val="nil"/>
              <w:left w:val="nil"/>
              <w:bottom w:val="single" w:sz="4" w:space="0" w:color="auto"/>
              <w:right w:val="nil"/>
            </w:tcBorders>
            <w:shd w:val="clear" w:color="auto" w:fill="auto"/>
            <w:noWrap/>
            <w:vAlign w:val="bottom"/>
            <w:hideMark/>
          </w:tcPr>
          <w:p w14:paraId="7AD0A131" w14:textId="77777777" w:rsidR="00BA7342" w:rsidRPr="00730B1E" w:rsidRDefault="00BA7342" w:rsidP="00BA7342">
            <w:pPr>
              <w:spacing w:line="240" w:lineRule="auto"/>
              <w:jc w:val="left"/>
              <w:rPr>
                <w:rFonts w:eastAsia="Times New Roman"/>
                <w:szCs w:val="24"/>
                <w:lang w:eastAsia="cs-CZ"/>
              </w:rPr>
            </w:pPr>
            <w:r w:rsidRPr="00730B1E">
              <w:rPr>
                <w:rFonts w:eastAsia="Times New Roman"/>
                <w:szCs w:val="24"/>
                <w:lang w:eastAsia="cs-CZ"/>
              </w:rPr>
              <w:t>MS Praha</w:t>
            </w:r>
          </w:p>
        </w:tc>
        <w:tc>
          <w:tcPr>
            <w:tcW w:w="2065" w:type="dxa"/>
            <w:tcBorders>
              <w:top w:val="nil"/>
              <w:left w:val="nil"/>
              <w:bottom w:val="single" w:sz="4" w:space="0" w:color="auto"/>
              <w:right w:val="nil"/>
            </w:tcBorders>
            <w:shd w:val="clear" w:color="auto" w:fill="auto"/>
            <w:noWrap/>
            <w:vAlign w:val="bottom"/>
            <w:hideMark/>
          </w:tcPr>
          <w:p w14:paraId="30C4BE87" w14:textId="2D703F02" w:rsidR="00BA7342" w:rsidRPr="00730B1E" w:rsidRDefault="00BA7342" w:rsidP="00BA7342">
            <w:pPr>
              <w:spacing w:line="240" w:lineRule="auto"/>
              <w:jc w:val="center"/>
              <w:rPr>
                <w:rFonts w:eastAsia="Times New Roman"/>
                <w:szCs w:val="24"/>
                <w:lang w:eastAsia="cs-CZ"/>
              </w:rPr>
            </w:pPr>
            <w:r w:rsidRPr="00730B1E">
              <w:rPr>
                <w:rFonts w:eastAsia="Times New Roman"/>
                <w:szCs w:val="24"/>
                <w:lang w:eastAsia="cs-CZ"/>
              </w:rPr>
              <w:t>51,23 %</w:t>
            </w:r>
          </w:p>
        </w:tc>
        <w:tc>
          <w:tcPr>
            <w:tcW w:w="2135" w:type="dxa"/>
            <w:tcBorders>
              <w:top w:val="nil"/>
              <w:left w:val="nil"/>
              <w:bottom w:val="single" w:sz="4" w:space="0" w:color="auto"/>
              <w:right w:val="nil"/>
            </w:tcBorders>
            <w:shd w:val="clear" w:color="auto" w:fill="auto"/>
            <w:noWrap/>
            <w:vAlign w:val="center"/>
            <w:hideMark/>
          </w:tcPr>
          <w:p w14:paraId="06CDFFE9" w14:textId="0A0717E6" w:rsidR="00BA7342" w:rsidRPr="00730B1E" w:rsidRDefault="00BA7342" w:rsidP="00BA7342">
            <w:pPr>
              <w:spacing w:line="240" w:lineRule="auto"/>
              <w:jc w:val="center"/>
              <w:rPr>
                <w:rFonts w:eastAsia="Times New Roman"/>
                <w:sz w:val="20"/>
                <w:szCs w:val="20"/>
                <w:lang w:eastAsia="cs-CZ"/>
              </w:rPr>
            </w:pPr>
            <w:r w:rsidRPr="00730B1E">
              <w:rPr>
                <w:rFonts w:eastAsia="Times New Roman"/>
                <w:sz w:val="20"/>
                <w:szCs w:val="20"/>
                <w:lang w:eastAsia="cs-CZ"/>
              </w:rPr>
              <w:t>-1</w:t>
            </w:r>
            <w:r w:rsidR="009B49AA" w:rsidRPr="00730B1E">
              <w:rPr>
                <w:rFonts w:eastAsia="Times New Roman"/>
                <w:sz w:val="20"/>
                <w:szCs w:val="20"/>
                <w:lang w:eastAsia="cs-CZ"/>
              </w:rPr>
              <w:t>,</w:t>
            </w:r>
            <w:r w:rsidRPr="00730B1E">
              <w:rPr>
                <w:rFonts w:eastAsia="Times New Roman"/>
                <w:sz w:val="20"/>
                <w:szCs w:val="20"/>
                <w:lang w:eastAsia="cs-CZ"/>
              </w:rPr>
              <w:t>1 p.b.</w:t>
            </w:r>
          </w:p>
        </w:tc>
      </w:tr>
      <w:tr w:rsidR="00B64E96" w:rsidRPr="00730B1E" w14:paraId="5DB6B9E9" w14:textId="77777777" w:rsidTr="00BA7342">
        <w:trPr>
          <w:trHeight w:val="315"/>
        </w:trPr>
        <w:tc>
          <w:tcPr>
            <w:tcW w:w="2780" w:type="dxa"/>
            <w:tcBorders>
              <w:top w:val="nil"/>
              <w:left w:val="nil"/>
              <w:bottom w:val="single" w:sz="4" w:space="0" w:color="auto"/>
              <w:right w:val="nil"/>
            </w:tcBorders>
            <w:shd w:val="clear" w:color="auto" w:fill="auto"/>
            <w:noWrap/>
            <w:vAlign w:val="bottom"/>
            <w:hideMark/>
          </w:tcPr>
          <w:p w14:paraId="3D1999AE" w14:textId="77777777" w:rsidR="00BA7342" w:rsidRPr="00730B1E" w:rsidRDefault="00BA7342" w:rsidP="00BA7342">
            <w:pPr>
              <w:spacing w:line="240" w:lineRule="auto"/>
              <w:jc w:val="left"/>
              <w:rPr>
                <w:rFonts w:eastAsia="Times New Roman"/>
                <w:szCs w:val="24"/>
                <w:lang w:eastAsia="cs-CZ"/>
              </w:rPr>
            </w:pPr>
            <w:r w:rsidRPr="00730B1E">
              <w:rPr>
                <w:rFonts w:eastAsia="Times New Roman"/>
                <w:szCs w:val="24"/>
                <w:lang w:eastAsia="cs-CZ"/>
              </w:rPr>
              <w:t>KS Praha</w:t>
            </w:r>
          </w:p>
        </w:tc>
        <w:tc>
          <w:tcPr>
            <w:tcW w:w="2065" w:type="dxa"/>
            <w:tcBorders>
              <w:top w:val="nil"/>
              <w:left w:val="nil"/>
              <w:bottom w:val="single" w:sz="4" w:space="0" w:color="auto"/>
              <w:right w:val="nil"/>
            </w:tcBorders>
            <w:shd w:val="clear" w:color="auto" w:fill="auto"/>
            <w:noWrap/>
            <w:vAlign w:val="bottom"/>
            <w:hideMark/>
          </w:tcPr>
          <w:p w14:paraId="1A298905" w14:textId="6C3533BF" w:rsidR="00BA7342" w:rsidRPr="00730B1E" w:rsidRDefault="00BA7342" w:rsidP="00BA7342">
            <w:pPr>
              <w:spacing w:line="240" w:lineRule="auto"/>
              <w:jc w:val="center"/>
              <w:rPr>
                <w:rFonts w:eastAsia="Times New Roman"/>
                <w:szCs w:val="24"/>
                <w:lang w:eastAsia="cs-CZ"/>
              </w:rPr>
            </w:pPr>
            <w:r w:rsidRPr="00730B1E">
              <w:rPr>
                <w:rFonts w:eastAsia="Times New Roman"/>
                <w:szCs w:val="24"/>
                <w:lang w:eastAsia="cs-CZ"/>
              </w:rPr>
              <w:t>57,45 %</w:t>
            </w:r>
          </w:p>
        </w:tc>
        <w:tc>
          <w:tcPr>
            <w:tcW w:w="2135" w:type="dxa"/>
            <w:tcBorders>
              <w:top w:val="nil"/>
              <w:left w:val="nil"/>
              <w:bottom w:val="single" w:sz="4" w:space="0" w:color="auto"/>
              <w:right w:val="nil"/>
            </w:tcBorders>
            <w:shd w:val="clear" w:color="auto" w:fill="auto"/>
            <w:noWrap/>
            <w:vAlign w:val="center"/>
            <w:hideMark/>
          </w:tcPr>
          <w:p w14:paraId="467A525E" w14:textId="27D56974" w:rsidR="00BA7342" w:rsidRPr="00730B1E" w:rsidRDefault="00BA7342" w:rsidP="00BA7342">
            <w:pPr>
              <w:spacing w:line="240" w:lineRule="auto"/>
              <w:jc w:val="center"/>
              <w:rPr>
                <w:rFonts w:eastAsia="Times New Roman"/>
                <w:sz w:val="20"/>
                <w:szCs w:val="20"/>
                <w:lang w:eastAsia="cs-CZ"/>
              </w:rPr>
            </w:pPr>
            <w:r w:rsidRPr="00730B1E">
              <w:rPr>
                <w:rFonts w:eastAsia="Times New Roman"/>
                <w:sz w:val="20"/>
                <w:szCs w:val="20"/>
                <w:lang w:eastAsia="cs-CZ"/>
              </w:rPr>
              <w:t>-11</w:t>
            </w:r>
            <w:r w:rsidR="009B49AA" w:rsidRPr="00730B1E">
              <w:rPr>
                <w:rFonts w:eastAsia="Times New Roman"/>
                <w:sz w:val="20"/>
                <w:szCs w:val="20"/>
                <w:lang w:eastAsia="cs-CZ"/>
              </w:rPr>
              <w:t>,</w:t>
            </w:r>
            <w:r w:rsidRPr="00730B1E">
              <w:rPr>
                <w:rFonts w:eastAsia="Times New Roman"/>
                <w:sz w:val="20"/>
                <w:szCs w:val="20"/>
                <w:lang w:eastAsia="cs-CZ"/>
              </w:rPr>
              <w:t>6 p.b.</w:t>
            </w:r>
          </w:p>
        </w:tc>
      </w:tr>
      <w:tr w:rsidR="00B64E96" w:rsidRPr="00730B1E" w14:paraId="16D619E2" w14:textId="77777777" w:rsidTr="00BA7342">
        <w:trPr>
          <w:trHeight w:val="315"/>
        </w:trPr>
        <w:tc>
          <w:tcPr>
            <w:tcW w:w="2780" w:type="dxa"/>
            <w:tcBorders>
              <w:top w:val="nil"/>
              <w:left w:val="nil"/>
              <w:bottom w:val="single" w:sz="4" w:space="0" w:color="auto"/>
              <w:right w:val="nil"/>
            </w:tcBorders>
            <w:shd w:val="clear" w:color="auto" w:fill="auto"/>
            <w:noWrap/>
            <w:vAlign w:val="bottom"/>
            <w:hideMark/>
          </w:tcPr>
          <w:p w14:paraId="460710B6" w14:textId="77777777" w:rsidR="00BA7342" w:rsidRPr="00730B1E" w:rsidRDefault="00BA7342" w:rsidP="00BA7342">
            <w:pPr>
              <w:spacing w:line="240" w:lineRule="auto"/>
              <w:jc w:val="left"/>
              <w:rPr>
                <w:rFonts w:eastAsia="Times New Roman"/>
                <w:szCs w:val="24"/>
                <w:lang w:eastAsia="cs-CZ"/>
              </w:rPr>
            </w:pPr>
            <w:r w:rsidRPr="00730B1E">
              <w:rPr>
                <w:rFonts w:eastAsia="Times New Roman"/>
                <w:szCs w:val="24"/>
                <w:lang w:eastAsia="cs-CZ"/>
              </w:rPr>
              <w:t>KS Č. Budějovice</w:t>
            </w:r>
          </w:p>
        </w:tc>
        <w:tc>
          <w:tcPr>
            <w:tcW w:w="2065" w:type="dxa"/>
            <w:tcBorders>
              <w:top w:val="nil"/>
              <w:left w:val="nil"/>
              <w:bottom w:val="single" w:sz="4" w:space="0" w:color="auto"/>
              <w:right w:val="nil"/>
            </w:tcBorders>
            <w:shd w:val="clear" w:color="auto" w:fill="auto"/>
            <w:noWrap/>
            <w:vAlign w:val="bottom"/>
            <w:hideMark/>
          </w:tcPr>
          <w:p w14:paraId="1818F3A1" w14:textId="6DC45D92" w:rsidR="00BA7342" w:rsidRPr="00730B1E" w:rsidRDefault="00BA7342" w:rsidP="00BA7342">
            <w:pPr>
              <w:spacing w:line="240" w:lineRule="auto"/>
              <w:jc w:val="center"/>
              <w:rPr>
                <w:rFonts w:eastAsia="Times New Roman"/>
                <w:szCs w:val="24"/>
                <w:lang w:eastAsia="cs-CZ"/>
              </w:rPr>
            </w:pPr>
            <w:r w:rsidRPr="00730B1E">
              <w:rPr>
                <w:rFonts w:eastAsia="Times New Roman"/>
                <w:szCs w:val="24"/>
                <w:lang w:eastAsia="cs-CZ"/>
              </w:rPr>
              <w:t>30,30 %</w:t>
            </w:r>
          </w:p>
        </w:tc>
        <w:tc>
          <w:tcPr>
            <w:tcW w:w="2135" w:type="dxa"/>
            <w:tcBorders>
              <w:top w:val="nil"/>
              <w:left w:val="nil"/>
              <w:bottom w:val="single" w:sz="4" w:space="0" w:color="auto"/>
              <w:right w:val="nil"/>
            </w:tcBorders>
            <w:shd w:val="clear" w:color="auto" w:fill="auto"/>
            <w:noWrap/>
            <w:vAlign w:val="center"/>
            <w:hideMark/>
          </w:tcPr>
          <w:p w14:paraId="10473558" w14:textId="6C8CF56E" w:rsidR="00BA7342" w:rsidRPr="00730B1E" w:rsidRDefault="00BA7342" w:rsidP="00BA7342">
            <w:pPr>
              <w:spacing w:line="240" w:lineRule="auto"/>
              <w:jc w:val="center"/>
              <w:rPr>
                <w:rFonts w:eastAsia="Times New Roman"/>
                <w:sz w:val="20"/>
                <w:szCs w:val="20"/>
                <w:lang w:eastAsia="cs-CZ"/>
              </w:rPr>
            </w:pPr>
            <w:r w:rsidRPr="00730B1E">
              <w:rPr>
                <w:rFonts w:eastAsia="Times New Roman"/>
                <w:sz w:val="20"/>
                <w:szCs w:val="20"/>
                <w:lang w:eastAsia="cs-CZ"/>
              </w:rPr>
              <w:t>-13</w:t>
            </w:r>
            <w:r w:rsidR="009B49AA" w:rsidRPr="00730B1E">
              <w:rPr>
                <w:rFonts w:eastAsia="Times New Roman"/>
                <w:sz w:val="20"/>
                <w:szCs w:val="20"/>
                <w:lang w:eastAsia="cs-CZ"/>
              </w:rPr>
              <w:t>,</w:t>
            </w:r>
            <w:r w:rsidRPr="00730B1E">
              <w:rPr>
                <w:rFonts w:eastAsia="Times New Roman"/>
                <w:sz w:val="20"/>
                <w:szCs w:val="20"/>
                <w:lang w:eastAsia="cs-CZ"/>
              </w:rPr>
              <w:t>0 p.b.</w:t>
            </w:r>
          </w:p>
        </w:tc>
      </w:tr>
      <w:tr w:rsidR="00B64E96" w:rsidRPr="00730B1E" w14:paraId="3E7B4EBD" w14:textId="77777777" w:rsidTr="00BA7342">
        <w:trPr>
          <w:trHeight w:val="315"/>
        </w:trPr>
        <w:tc>
          <w:tcPr>
            <w:tcW w:w="2780" w:type="dxa"/>
            <w:tcBorders>
              <w:top w:val="nil"/>
              <w:left w:val="nil"/>
              <w:bottom w:val="single" w:sz="4" w:space="0" w:color="auto"/>
              <w:right w:val="nil"/>
            </w:tcBorders>
            <w:shd w:val="clear" w:color="auto" w:fill="auto"/>
            <w:noWrap/>
            <w:vAlign w:val="bottom"/>
            <w:hideMark/>
          </w:tcPr>
          <w:p w14:paraId="2EABAD52" w14:textId="77777777" w:rsidR="00BA7342" w:rsidRPr="00730B1E" w:rsidRDefault="00BA7342" w:rsidP="00BA7342">
            <w:pPr>
              <w:spacing w:line="240" w:lineRule="auto"/>
              <w:jc w:val="left"/>
              <w:rPr>
                <w:rFonts w:eastAsia="Times New Roman"/>
                <w:szCs w:val="24"/>
                <w:lang w:eastAsia="cs-CZ"/>
              </w:rPr>
            </w:pPr>
            <w:r w:rsidRPr="00730B1E">
              <w:rPr>
                <w:rFonts w:eastAsia="Times New Roman"/>
                <w:szCs w:val="24"/>
                <w:lang w:eastAsia="cs-CZ"/>
              </w:rPr>
              <w:t>KS Plzeň</w:t>
            </w:r>
          </w:p>
        </w:tc>
        <w:tc>
          <w:tcPr>
            <w:tcW w:w="2065" w:type="dxa"/>
            <w:tcBorders>
              <w:top w:val="nil"/>
              <w:left w:val="nil"/>
              <w:bottom w:val="single" w:sz="4" w:space="0" w:color="auto"/>
              <w:right w:val="nil"/>
            </w:tcBorders>
            <w:shd w:val="clear" w:color="auto" w:fill="auto"/>
            <w:noWrap/>
            <w:vAlign w:val="bottom"/>
            <w:hideMark/>
          </w:tcPr>
          <w:p w14:paraId="0B2501CD" w14:textId="2A94312C" w:rsidR="00BA7342" w:rsidRPr="00730B1E" w:rsidRDefault="00BA7342" w:rsidP="00BA7342">
            <w:pPr>
              <w:spacing w:line="240" w:lineRule="auto"/>
              <w:jc w:val="center"/>
              <w:rPr>
                <w:rFonts w:eastAsia="Times New Roman"/>
                <w:szCs w:val="24"/>
                <w:lang w:eastAsia="cs-CZ"/>
              </w:rPr>
            </w:pPr>
            <w:r w:rsidRPr="00730B1E">
              <w:rPr>
                <w:rFonts w:eastAsia="Times New Roman"/>
                <w:szCs w:val="24"/>
                <w:lang w:eastAsia="cs-CZ"/>
              </w:rPr>
              <w:t>25,81 %</w:t>
            </w:r>
          </w:p>
        </w:tc>
        <w:tc>
          <w:tcPr>
            <w:tcW w:w="2135" w:type="dxa"/>
            <w:tcBorders>
              <w:top w:val="nil"/>
              <w:left w:val="nil"/>
              <w:bottom w:val="single" w:sz="4" w:space="0" w:color="auto"/>
              <w:right w:val="nil"/>
            </w:tcBorders>
            <w:shd w:val="clear" w:color="auto" w:fill="auto"/>
            <w:noWrap/>
            <w:vAlign w:val="center"/>
            <w:hideMark/>
          </w:tcPr>
          <w:p w14:paraId="25C2D53D" w14:textId="1FBE1C73" w:rsidR="00BA7342" w:rsidRPr="00730B1E" w:rsidRDefault="00BA7342" w:rsidP="00BA7342">
            <w:pPr>
              <w:spacing w:line="240" w:lineRule="auto"/>
              <w:jc w:val="center"/>
              <w:rPr>
                <w:rFonts w:eastAsia="Times New Roman"/>
                <w:sz w:val="20"/>
                <w:szCs w:val="20"/>
                <w:lang w:eastAsia="cs-CZ"/>
              </w:rPr>
            </w:pPr>
            <w:r w:rsidRPr="00730B1E">
              <w:rPr>
                <w:rFonts w:eastAsia="Times New Roman"/>
                <w:sz w:val="20"/>
                <w:szCs w:val="20"/>
                <w:lang w:eastAsia="cs-CZ"/>
              </w:rPr>
              <w:t>-17</w:t>
            </w:r>
            <w:r w:rsidR="009B49AA" w:rsidRPr="00730B1E">
              <w:rPr>
                <w:rFonts w:eastAsia="Times New Roman"/>
                <w:sz w:val="20"/>
                <w:szCs w:val="20"/>
                <w:lang w:eastAsia="cs-CZ"/>
              </w:rPr>
              <w:t>,</w:t>
            </w:r>
            <w:r w:rsidRPr="00730B1E">
              <w:rPr>
                <w:rFonts w:eastAsia="Times New Roman"/>
                <w:sz w:val="20"/>
                <w:szCs w:val="20"/>
                <w:lang w:eastAsia="cs-CZ"/>
              </w:rPr>
              <w:t>2 p.b.</w:t>
            </w:r>
          </w:p>
        </w:tc>
      </w:tr>
      <w:tr w:rsidR="00B64E96" w:rsidRPr="00730B1E" w14:paraId="07EF4EA1" w14:textId="77777777" w:rsidTr="00BA7342">
        <w:trPr>
          <w:trHeight w:val="315"/>
        </w:trPr>
        <w:tc>
          <w:tcPr>
            <w:tcW w:w="2780" w:type="dxa"/>
            <w:tcBorders>
              <w:top w:val="nil"/>
              <w:left w:val="nil"/>
              <w:bottom w:val="single" w:sz="4" w:space="0" w:color="auto"/>
              <w:right w:val="nil"/>
            </w:tcBorders>
            <w:shd w:val="clear" w:color="auto" w:fill="auto"/>
            <w:noWrap/>
            <w:vAlign w:val="bottom"/>
            <w:hideMark/>
          </w:tcPr>
          <w:p w14:paraId="1B8890BD" w14:textId="77777777" w:rsidR="00BA7342" w:rsidRPr="00730B1E" w:rsidRDefault="00BA7342" w:rsidP="00BA7342">
            <w:pPr>
              <w:spacing w:line="240" w:lineRule="auto"/>
              <w:jc w:val="left"/>
              <w:rPr>
                <w:rFonts w:eastAsia="Times New Roman"/>
                <w:szCs w:val="24"/>
                <w:lang w:eastAsia="cs-CZ"/>
              </w:rPr>
            </w:pPr>
            <w:r w:rsidRPr="00730B1E">
              <w:rPr>
                <w:rFonts w:eastAsia="Times New Roman"/>
                <w:szCs w:val="24"/>
                <w:lang w:eastAsia="cs-CZ"/>
              </w:rPr>
              <w:t>KS Ústí n. Labem</w:t>
            </w:r>
          </w:p>
        </w:tc>
        <w:tc>
          <w:tcPr>
            <w:tcW w:w="2065" w:type="dxa"/>
            <w:tcBorders>
              <w:top w:val="nil"/>
              <w:left w:val="nil"/>
              <w:bottom w:val="single" w:sz="4" w:space="0" w:color="auto"/>
              <w:right w:val="nil"/>
            </w:tcBorders>
            <w:shd w:val="clear" w:color="auto" w:fill="auto"/>
            <w:noWrap/>
            <w:vAlign w:val="bottom"/>
            <w:hideMark/>
          </w:tcPr>
          <w:p w14:paraId="61256199" w14:textId="370EB2E8" w:rsidR="00BA7342" w:rsidRPr="00730B1E" w:rsidRDefault="00BA7342" w:rsidP="00BA7342">
            <w:pPr>
              <w:spacing w:line="240" w:lineRule="auto"/>
              <w:jc w:val="center"/>
              <w:rPr>
                <w:rFonts w:eastAsia="Times New Roman"/>
                <w:szCs w:val="24"/>
                <w:lang w:eastAsia="cs-CZ"/>
              </w:rPr>
            </w:pPr>
            <w:r w:rsidRPr="00730B1E">
              <w:rPr>
                <w:rFonts w:eastAsia="Times New Roman"/>
                <w:szCs w:val="24"/>
                <w:lang w:eastAsia="cs-CZ"/>
              </w:rPr>
              <w:t>60,71 %</w:t>
            </w:r>
          </w:p>
        </w:tc>
        <w:tc>
          <w:tcPr>
            <w:tcW w:w="2135" w:type="dxa"/>
            <w:tcBorders>
              <w:top w:val="nil"/>
              <w:left w:val="nil"/>
              <w:bottom w:val="single" w:sz="4" w:space="0" w:color="auto"/>
              <w:right w:val="nil"/>
            </w:tcBorders>
            <w:shd w:val="clear" w:color="auto" w:fill="auto"/>
            <w:noWrap/>
            <w:vAlign w:val="center"/>
            <w:hideMark/>
          </w:tcPr>
          <w:p w14:paraId="721E1A99" w14:textId="72140416" w:rsidR="00BA7342" w:rsidRPr="00730B1E" w:rsidRDefault="00BA7342" w:rsidP="00BA7342">
            <w:pPr>
              <w:spacing w:line="240" w:lineRule="auto"/>
              <w:jc w:val="center"/>
              <w:rPr>
                <w:rFonts w:eastAsia="Times New Roman"/>
                <w:sz w:val="20"/>
                <w:szCs w:val="20"/>
                <w:lang w:eastAsia="cs-CZ"/>
              </w:rPr>
            </w:pPr>
            <w:r w:rsidRPr="00730B1E">
              <w:rPr>
                <w:rFonts w:eastAsia="Times New Roman"/>
                <w:sz w:val="20"/>
                <w:szCs w:val="20"/>
                <w:lang w:eastAsia="cs-CZ"/>
              </w:rPr>
              <w:t>-5</w:t>
            </w:r>
            <w:r w:rsidR="009B49AA" w:rsidRPr="00730B1E">
              <w:rPr>
                <w:rFonts w:eastAsia="Times New Roman"/>
                <w:sz w:val="20"/>
                <w:szCs w:val="20"/>
                <w:lang w:eastAsia="cs-CZ"/>
              </w:rPr>
              <w:t>,</w:t>
            </w:r>
            <w:r w:rsidRPr="00730B1E">
              <w:rPr>
                <w:rFonts w:eastAsia="Times New Roman"/>
                <w:sz w:val="20"/>
                <w:szCs w:val="20"/>
                <w:lang w:eastAsia="cs-CZ"/>
              </w:rPr>
              <w:t>1 p.b.</w:t>
            </w:r>
          </w:p>
        </w:tc>
      </w:tr>
      <w:tr w:rsidR="00B64E96" w:rsidRPr="00730B1E" w14:paraId="38A370B2" w14:textId="77777777" w:rsidTr="00BA7342">
        <w:trPr>
          <w:trHeight w:val="315"/>
        </w:trPr>
        <w:tc>
          <w:tcPr>
            <w:tcW w:w="2780" w:type="dxa"/>
            <w:tcBorders>
              <w:top w:val="nil"/>
              <w:left w:val="nil"/>
              <w:bottom w:val="single" w:sz="4" w:space="0" w:color="auto"/>
              <w:right w:val="nil"/>
            </w:tcBorders>
            <w:shd w:val="clear" w:color="auto" w:fill="auto"/>
            <w:noWrap/>
            <w:vAlign w:val="bottom"/>
            <w:hideMark/>
          </w:tcPr>
          <w:p w14:paraId="02A83176" w14:textId="77777777" w:rsidR="00BA7342" w:rsidRPr="00730B1E" w:rsidRDefault="00BA7342" w:rsidP="00BA7342">
            <w:pPr>
              <w:spacing w:line="240" w:lineRule="auto"/>
              <w:jc w:val="left"/>
              <w:rPr>
                <w:rFonts w:eastAsia="Times New Roman"/>
                <w:szCs w:val="24"/>
                <w:lang w:eastAsia="cs-CZ"/>
              </w:rPr>
            </w:pPr>
            <w:r w:rsidRPr="00730B1E">
              <w:rPr>
                <w:rFonts w:eastAsia="Times New Roman"/>
                <w:szCs w:val="24"/>
                <w:lang w:eastAsia="cs-CZ"/>
              </w:rPr>
              <w:t>KS Hr. Králové</w:t>
            </w:r>
          </w:p>
        </w:tc>
        <w:tc>
          <w:tcPr>
            <w:tcW w:w="2065" w:type="dxa"/>
            <w:tcBorders>
              <w:top w:val="nil"/>
              <w:left w:val="nil"/>
              <w:bottom w:val="single" w:sz="4" w:space="0" w:color="auto"/>
              <w:right w:val="nil"/>
            </w:tcBorders>
            <w:shd w:val="clear" w:color="auto" w:fill="auto"/>
            <w:noWrap/>
            <w:vAlign w:val="bottom"/>
            <w:hideMark/>
          </w:tcPr>
          <w:p w14:paraId="097E2D79" w14:textId="6D3610E8" w:rsidR="00BA7342" w:rsidRPr="00730B1E" w:rsidRDefault="00BA7342" w:rsidP="00BA7342">
            <w:pPr>
              <w:spacing w:line="240" w:lineRule="auto"/>
              <w:jc w:val="center"/>
              <w:rPr>
                <w:rFonts w:eastAsia="Times New Roman"/>
                <w:szCs w:val="24"/>
                <w:lang w:eastAsia="cs-CZ"/>
              </w:rPr>
            </w:pPr>
            <w:r w:rsidRPr="00730B1E">
              <w:rPr>
                <w:rFonts w:eastAsia="Times New Roman"/>
                <w:szCs w:val="24"/>
                <w:lang w:eastAsia="cs-CZ"/>
              </w:rPr>
              <w:t>61,19 %</w:t>
            </w:r>
          </w:p>
        </w:tc>
        <w:tc>
          <w:tcPr>
            <w:tcW w:w="2135" w:type="dxa"/>
            <w:tcBorders>
              <w:top w:val="nil"/>
              <w:left w:val="nil"/>
              <w:bottom w:val="single" w:sz="4" w:space="0" w:color="auto"/>
              <w:right w:val="nil"/>
            </w:tcBorders>
            <w:shd w:val="clear" w:color="auto" w:fill="auto"/>
            <w:noWrap/>
            <w:vAlign w:val="center"/>
            <w:hideMark/>
          </w:tcPr>
          <w:p w14:paraId="48A337E0" w14:textId="53BA428B" w:rsidR="00BA7342" w:rsidRPr="00730B1E" w:rsidRDefault="00BA7342" w:rsidP="00BA7342">
            <w:pPr>
              <w:spacing w:line="240" w:lineRule="auto"/>
              <w:jc w:val="center"/>
              <w:rPr>
                <w:rFonts w:eastAsia="Times New Roman"/>
                <w:sz w:val="20"/>
                <w:szCs w:val="20"/>
                <w:lang w:eastAsia="cs-CZ"/>
              </w:rPr>
            </w:pPr>
            <w:r w:rsidRPr="00730B1E">
              <w:rPr>
                <w:rFonts w:eastAsia="Times New Roman"/>
                <w:sz w:val="20"/>
                <w:szCs w:val="20"/>
                <w:lang w:eastAsia="cs-CZ"/>
              </w:rPr>
              <w:t>+21</w:t>
            </w:r>
            <w:r w:rsidR="009B49AA" w:rsidRPr="00730B1E">
              <w:rPr>
                <w:rFonts w:eastAsia="Times New Roman"/>
                <w:sz w:val="20"/>
                <w:szCs w:val="20"/>
                <w:lang w:eastAsia="cs-CZ"/>
              </w:rPr>
              <w:t>,</w:t>
            </w:r>
            <w:r w:rsidRPr="00730B1E">
              <w:rPr>
                <w:rFonts w:eastAsia="Times New Roman"/>
                <w:sz w:val="20"/>
                <w:szCs w:val="20"/>
                <w:lang w:eastAsia="cs-CZ"/>
              </w:rPr>
              <w:t>2 p.b.</w:t>
            </w:r>
          </w:p>
        </w:tc>
      </w:tr>
      <w:tr w:rsidR="00B64E96" w:rsidRPr="00730B1E" w14:paraId="7422D121" w14:textId="77777777" w:rsidTr="00BA7342">
        <w:trPr>
          <w:trHeight w:val="315"/>
        </w:trPr>
        <w:tc>
          <w:tcPr>
            <w:tcW w:w="2780" w:type="dxa"/>
            <w:tcBorders>
              <w:top w:val="nil"/>
              <w:left w:val="nil"/>
              <w:bottom w:val="single" w:sz="4" w:space="0" w:color="auto"/>
              <w:right w:val="nil"/>
            </w:tcBorders>
            <w:shd w:val="clear" w:color="auto" w:fill="auto"/>
            <w:noWrap/>
            <w:vAlign w:val="bottom"/>
            <w:hideMark/>
          </w:tcPr>
          <w:p w14:paraId="71272F88" w14:textId="77777777" w:rsidR="00BA7342" w:rsidRPr="00730B1E" w:rsidRDefault="00BA7342" w:rsidP="00BA7342">
            <w:pPr>
              <w:spacing w:line="240" w:lineRule="auto"/>
              <w:jc w:val="left"/>
              <w:rPr>
                <w:rFonts w:eastAsia="Times New Roman"/>
                <w:szCs w:val="24"/>
                <w:lang w:eastAsia="cs-CZ"/>
              </w:rPr>
            </w:pPr>
            <w:r w:rsidRPr="00730B1E">
              <w:rPr>
                <w:rFonts w:eastAsia="Times New Roman"/>
                <w:szCs w:val="24"/>
                <w:lang w:eastAsia="cs-CZ"/>
              </w:rPr>
              <w:t>KS Brno</w:t>
            </w:r>
          </w:p>
        </w:tc>
        <w:tc>
          <w:tcPr>
            <w:tcW w:w="2065" w:type="dxa"/>
            <w:tcBorders>
              <w:top w:val="nil"/>
              <w:left w:val="nil"/>
              <w:bottom w:val="single" w:sz="4" w:space="0" w:color="auto"/>
              <w:right w:val="nil"/>
            </w:tcBorders>
            <w:shd w:val="clear" w:color="auto" w:fill="auto"/>
            <w:noWrap/>
            <w:vAlign w:val="bottom"/>
            <w:hideMark/>
          </w:tcPr>
          <w:p w14:paraId="07577091" w14:textId="2B5E502C" w:rsidR="00BA7342" w:rsidRPr="00730B1E" w:rsidRDefault="00BA7342" w:rsidP="00BA7342">
            <w:pPr>
              <w:spacing w:line="240" w:lineRule="auto"/>
              <w:jc w:val="center"/>
              <w:rPr>
                <w:rFonts w:eastAsia="Times New Roman"/>
                <w:szCs w:val="24"/>
                <w:lang w:eastAsia="cs-CZ"/>
              </w:rPr>
            </w:pPr>
            <w:r w:rsidRPr="00730B1E">
              <w:rPr>
                <w:rFonts w:eastAsia="Times New Roman"/>
                <w:szCs w:val="24"/>
                <w:lang w:eastAsia="cs-CZ"/>
              </w:rPr>
              <w:t>55,07 %</w:t>
            </w:r>
          </w:p>
        </w:tc>
        <w:tc>
          <w:tcPr>
            <w:tcW w:w="2135" w:type="dxa"/>
            <w:tcBorders>
              <w:top w:val="nil"/>
              <w:left w:val="nil"/>
              <w:bottom w:val="single" w:sz="4" w:space="0" w:color="auto"/>
              <w:right w:val="nil"/>
            </w:tcBorders>
            <w:shd w:val="clear" w:color="auto" w:fill="auto"/>
            <w:noWrap/>
            <w:vAlign w:val="center"/>
            <w:hideMark/>
          </w:tcPr>
          <w:p w14:paraId="40861D67" w14:textId="71B15465" w:rsidR="00BA7342" w:rsidRPr="00730B1E" w:rsidRDefault="00BA7342" w:rsidP="00BA7342">
            <w:pPr>
              <w:spacing w:line="240" w:lineRule="auto"/>
              <w:jc w:val="center"/>
              <w:rPr>
                <w:rFonts w:eastAsia="Times New Roman"/>
                <w:sz w:val="20"/>
                <w:szCs w:val="20"/>
                <w:lang w:eastAsia="cs-CZ"/>
              </w:rPr>
            </w:pPr>
            <w:r w:rsidRPr="00730B1E">
              <w:rPr>
                <w:rFonts w:eastAsia="Times New Roman"/>
                <w:sz w:val="20"/>
                <w:szCs w:val="20"/>
                <w:lang w:eastAsia="cs-CZ"/>
              </w:rPr>
              <w:t>+0</w:t>
            </w:r>
            <w:r w:rsidR="009B49AA" w:rsidRPr="00730B1E">
              <w:rPr>
                <w:rFonts w:eastAsia="Times New Roman"/>
                <w:sz w:val="20"/>
                <w:szCs w:val="20"/>
                <w:lang w:eastAsia="cs-CZ"/>
              </w:rPr>
              <w:t>,</w:t>
            </w:r>
            <w:r w:rsidRPr="00730B1E">
              <w:rPr>
                <w:rFonts w:eastAsia="Times New Roman"/>
                <w:sz w:val="20"/>
                <w:szCs w:val="20"/>
                <w:lang w:eastAsia="cs-CZ"/>
              </w:rPr>
              <w:t>2 p.b.</w:t>
            </w:r>
          </w:p>
        </w:tc>
      </w:tr>
      <w:tr w:rsidR="00B64E96" w:rsidRPr="00730B1E" w14:paraId="17772FE2" w14:textId="77777777" w:rsidTr="00BA7342">
        <w:trPr>
          <w:trHeight w:val="330"/>
        </w:trPr>
        <w:tc>
          <w:tcPr>
            <w:tcW w:w="2780" w:type="dxa"/>
            <w:tcBorders>
              <w:top w:val="nil"/>
              <w:left w:val="nil"/>
              <w:bottom w:val="double" w:sz="6" w:space="0" w:color="auto"/>
              <w:right w:val="nil"/>
            </w:tcBorders>
            <w:shd w:val="clear" w:color="auto" w:fill="auto"/>
            <w:noWrap/>
            <w:vAlign w:val="bottom"/>
            <w:hideMark/>
          </w:tcPr>
          <w:p w14:paraId="76BDE196" w14:textId="77777777" w:rsidR="00BA7342" w:rsidRPr="00730B1E" w:rsidRDefault="00BA7342" w:rsidP="00BA7342">
            <w:pPr>
              <w:spacing w:line="240" w:lineRule="auto"/>
              <w:jc w:val="left"/>
              <w:rPr>
                <w:rFonts w:eastAsia="Times New Roman"/>
                <w:szCs w:val="24"/>
                <w:lang w:eastAsia="cs-CZ"/>
              </w:rPr>
            </w:pPr>
            <w:r w:rsidRPr="00730B1E">
              <w:rPr>
                <w:rFonts w:eastAsia="Times New Roman"/>
                <w:szCs w:val="24"/>
                <w:lang w:eastAsia="cs-CZ"/>
              </w:rPr>
              <w:t>KS Ostrava</w:t>
            </w:r>
          </w:p>
        </w:tc>
        <w:tc>
          <w:tcPr>
            <w:tcW w:w="2065" w:type="dxa"/>
            <w:tcBorders>
              <w:top w:val="nil"/>
              <w:left w:val="nil"/>
              <w:bottom w:val="double" w:sz="6" w:space="0" w:color="auto"/>
              <w:right w:val="nil"/>
            </w:tcBorders>
            <w:shd w:val="clear" w:color="auto" w:fill="auto"/>
            <w:noWrap/>
            <w:vAlign w:val="bottom"/>
            <w:hideMark/>
          </w:tcPr>
          <w:p w14:paraId="6D842868" w14:textId="30B7FD7E" w:rsidR="00BA7342" w:rsidRPr="00730B1E" w:rsidRDefault="00BA7342" w:rsidP="00BA7342">
            <w:pPr>
              <w:spacing w:line="240" w:lineRule="auto"/>
              <w:jc w:val="center"/>
              <w:rPr>
                <w:rFonts w:eastAsia="Times New Roman"/>
                <w:szCs w:val="24"/>
                <w:lang w:eastAsia="cs-CZ"/>
              </w:rPr>
            </w:pPr>
            <w:r w:rsidRPr="00730B1E">
              <w:rPr>
                <w:rFonts w:eastAsia="Times New Roman"/>
                <w:szCs w:val="24"/>
                <w:lang w:eastAsia="cs-CZ"/>
              </w:rPr>
              <w:t>48,23 %</w:t>
            </w:r>
          </w:p>
        </w:tc>
        <w:tc>
          <w:tcPr>
            <w:tcW w:w="2135" w:type="dxa"/>
            <w:tcBorders>
              <w:top w:val="nil"/>
              <w:left w:val="nil"/>
              <w:bottom w:val="nil"/>
              <w:right w:val="nil"/>
            </w:tcBorders>
            <w:shd w:val="clear" w:color="auto" w:fill="auto"/>
            <w:noWrap/>
            <w:vAlign w:val="center"/>
            <w:hideMark/>
          </w:tcPr>
          <w:p w14:paraId="020F13CC" w14:textId="6B403365" w:rsidR="00BA7342" w:rsidRPr="00730B1E" w:rsidRDefault="00BA7342" w:rsidP="00BA7342">
            <w:pPr>
              <w:spacing w:line="240" w:lineRule="auto"/>
              <w:jc w:val="center"/>
              <w:rPr>
                <w:rFonts w:eastAsia="Times New Roman"/>
                <w:sz w:val="20"/>
                <w:szCs w:val="20"/>
                <w:lang w:eastAsia="cs-CZ"/>
              </w:rPr>
            </w:pPr>
            <w:r w:rsidRPr="00730B1E">
              <w:rPr>
                <w:rFonts w:eastAsia="Times New Roman"/>
                <w:sz w:val="20"/>
                <w:szCs w:val="20"/>
                <w:lang w:eastAsia="cs-CZ"/>
              </w:rPr>
              <w:t>+4</w:t>
            </w:r>
            <w:r w:rsidR="009B49AA" w:rsidRPr="00730B1E">
              <w:rPr>
                <w:rFonts w:eastAsia="Times New Roman"/>
                <w:sz w:val="20"/>
                <w:szCs w:val="20"/>
                <w:lang w:eastAsia="cs-CZ"/>
              </w:rPr>
              <w:t>,</w:t>
            </w:r>
            <w:r w:rsidRPr="00730B1E">
              <w:rPr>
                <w:rFonts w:eastAsia="Times New Roman"/>
                <w:sz w:val="20"/>
                <w:szCs w:val="20"/>
                <w:lang w:eastAsia="cs-CZ"/>
              </w:rPr>
              <w:t>9 p.b.</w:t>
            </w:r>
          </w:p>
        </w:tc>
      </w:tr>
      <w:tr w:rsidR="00B64E96" w:rsidRPr="00730B1E" w14:paraId="0B660FD5" w14:textId="77777777" w:rsidTr="00BA7342">
        <w:trPr>
          <w:trHeight w:val="345"/>
        </w:trPr>
        <w:tc>
          <w:tcPr>
            <w:tcW w:w="2780" w:type="dxa"/>
            <w:tcBorders>
              <w:top w:val="nil"/>
              <w:left w:val="nil"/>
              <w:bottom w:val="double" w:sz="6" w:space="0" w:color="auto"/>
              <w:right w:val="nil"/>
            </w:tcBorders>
            <w:shd w:val="clear" w:color="auto" w:fill="auto"/>
            <w:noWrap/>
            <w:vAlign w:val="bottom"/>
            <w:hideMark/>
          </w:tcPr>
          <w:p w14:paraId="5274C27A" w14:textId="77777777" w:rsidR="00BA7342" w:rsidRPr="00730B1E" w:rsidRDefault="00BA7342" w:rsidP="00BA7342">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2065" w:type="dxa"/>
            <w:tcBorders>
              <w:top w:val="nil"/>
              <w:left w:val="nil"/>
              <w:bottom w:val="double" w:sz="6" w:space="0" w:color="auto"/>
              <w:right w:val="nil"/>
            </w:tcBorders>
            <w:shd w:val="clear" w:color="auto" w:fill="auto"/>
            <w:noWrap/>
            <w:vAlign w:val="bottom"/>
            <w:hideMark/>
          </w:tcPr>
          <w:p w14:paraId="645596D6" w14:textId="01507361" w:rsidR="00BA7342" w:rsidRPr="00730B1E" w:rsidRDefault="00BA7342" w:rsidP="00BA7342">
            <w:pPr>
              <w:spacing w:line="240" w:lineRule="auto"/>
              <w:jc w:val="center"/>
              <w:rPr>
                <w:rFonts w:eastAsia="Times New Roman"/>
                <w:b/>
                <w:bCs/>
                <w:szCs w:val="24"/>
                <w:lang w:eastAsia="cs-CZ"/>
              </w:rPr>
            </w:pPr>
            <w:r w:rsidRPr="00730B1E">
              <w:rPr>
                <w:rFonts w:eastAsia="Times New Roman"/>
                <w:b/>
                <w:bCs/>
                <w:szCs w:val="24"/>
                <w:lang w:eastAsia="cs-CZ"/>
              </w:rPr>
              <w:t>50,74 %</w:t>
            </w:r>
          </w:p>
        </w:tc>
        <w:tc>
          <w:tcPr>
            <w:tcW w:w="2135" w:type="dxa"/>
            <w:tcBorders>
              <w:top w:val="double" w:sz="6" w:space="0" w:color="auto"/>
              <w:left w:val="nil"/>
              <w:bottom w:val="double" w:sz="6" w:space="0" w:color="auto"/>
              <w:right w:val="nil"/>
            </w:tcBorders>
            <w:shd w:val="clear" w:color="auto" w:fill="auto"/>
            <w:noWrap/>
            <w:vAlign w:val="center"/>
            <w:hideMark/>
          </w:tcPr>
          <w:p w14:paraId="42888BC0" w14:textId="7A77A8E8" w:rsidR="00BA7342" w:rsidRPr="00730B1E" w:rsidRDefault="00BA7342" w:rsidP="00BA7342">
            <w:pPr>
              <w:spacing w:line="240" w:lineRule="auto"/>
              <w:jc w:val="center"/>
              <w:rPr>
                <w:rFonts w:eastAsia="Times New Roman"/>
                <w:b/>
                <w:bCs/>
                <w:sz w:val="20"/>
                <w:szCs w:val="20"/>
                <w:lang w:eastAsia="cs-CZ"/>
              </w:rPr>
            </w:pPr>
            <w:r w:rsidRPr="00730B1E">
              <w:rPr>
                <w:rFonts w:eastAsia="Times New Roman"/>
                <w:b/>
                <w:bCs/>
                <w:sz w:val="20"/>
                <w:szCs w:val="20"/>
                <w:lang w:eastAsia="cs-CZ"/>
              </w:rPr>
              <w:t>-2</w:t>
            </w:r>
            <w:r w:rsidR="009B49AA" w:rsidRPr="00730B1E">
              <w:rPr>
                <w:rFonts w:eastAsia="Times New Roman"/>
                <w:b/>
                <w:bCs/>
                <w:sz w:val="20"/>
                <w:szCs w:val="20"/>
                <w:lang w:eastAsia="cs-CZ"/>
              </w:rPr>
              <w:t>,</w:t>
            </w:r>
            <w:r w:rsidRPr="00730B1E">
              <w:rPr>
                <w:rFonts w:eastAsia="Times New Roman"/>
                <w:b/>
                <w:bCs/>
                <w:sz w:val="20"/>
                <w:szCs w:val="20"/>
                <w:lang w:eastAsia="cs-CZ"/>
              </w:rPr>
              <w:t>0 p.b.</w:t>
            </w:r>
          </w:p>
        </w:tc>
      </w:tr>
      <w:tr w:rsidR="00B64E96" w:rsidRPr="00730B1E" w14:paraId="319C4D49" w14:textId="77777777" w:rsidTr="00BA7342">
        <w:trPr>
          <w:trHeight w:val="330"/>
        </w:trPr>
        <w:tc>
          <w:tcPr>
            <w:tcW w:w="2780" w:type="dxa"/>
            <w:tcBorders>
              <w:top w:val="nil"/>
              <w:left w:val="nil"/>
              <w:bottom w:val="nil"/>
              <w:right w:val="nil"/>
            </w:tcBorders>
            <w:shd w:val="clear" w:color="auto" w:fill="auto"/>
            <w:noWrap/>
            <w:vAlign w:val="bottom"/>
            <w:hideMark/>
          </w:tcPr>
          <w:p w14:paraId="657A1201" w14:textId="77777777" w:rsidR="00BA7342" w:rsidRPr="00730B1E" w:rsidRDefault="00BA7342" w:rsidP="00BA7342">
            <w:pPr>
              <w:spacing w:line="240" w:lineRule="auto"/>
              <w:jc w:val="right"/>
              <w:rPr>
                <w:rFonts w:eastAsia="Times New Roman"/>
                <w:b/>
                <w:bCs/>
                <w:sz w:val="20"/>
                <w:szCs w:val="20"/>
                <w:lang w:eastAsia="cs-CZ"/>
              </w:rPr>
            </w:pPr>
          </w:p>
        </w:tc>
        <w:tc>
          <w:tcPr>
            <w:tcW w:w="2065" w:type="dxa"/>
            <w:tcBorders>
              <w:top w:val="nil"/>
              <w:left w:val="nil"/>
              <w:bottom w:val="nil"/>
              <w:right w:val="nil"/>
            </w:tcBorders>
            <w:shd w:val="clear" w:color="auto" w:fill="auto"/>
            <w:noWrap/>
            <w:vAlign w:val="bottom"/>
            <w:hideMark/>
          </w:tcPr>
          <w:p w14:paraId="17118FF9" w14:textId="77777777" w:rsidR="00BA7342" w:rsidRPr="00DF07F3" w:rsidRDefault="00BA7342" w:rsidP="00BA7342">
            <w:pPr>
              <w:spacing w:line="240" w:lineRule="auto"/>
              <w:jc w:val="left"/>
              <w:rPr>
                <w:sz w:val="20"/>
              </w:rPr>
            </w:pPr>
          </w:p>
        </w:tc>
        <w:tc>
          <w:tcPr>
            <w:tcW w:w="2135" w:type="dxa"/>
            <w:tcBorders>
              <w:top w:val="nil"/>
              <w:left w:val="nil"/>
              <w:bottom w:val="nil"/>
              <w:right w:val="nil"/>
            </w:tcBorders>
            <w:shd w:val="clear" w:color="auto" w:fill="auto"/>
            <w:noWrap/>
            <w:vAlign w:val="bottom"/>
            <w:hideMark/>
          </w:tcPr>
          <w:p w14:paraId="17CD149B" w14:textId="77777777" w:rsidR="00BA7342" w:rsidRPr="00DF07F3" w:rsidRDefault="00BA7342" w:rsidP="00BA7342">
            <w:pPr>
              <w:spacing w:line="240" w:lineRule="auto"/>
              <w:jc w:val="left"/>
              <w:rPr>
                <w:sz w:val="20"/>
              </w:rPr>
            </w:pPr>
          </w:p>
        </w:tc>
      </w:tr>
    </w:tbl>
    <w:p w14:paraId="65D541FF" w14:textId="3EFD0BAF" w:rsidR="005F682A" w:rsidRPr="00730B1E" w:rsidRDefault="005F682A" w:rsidP="005F682A">
      <w:pPr>
        <w:pStyle w:val="OdstavecASR"/>
      </w:pPr>
      <w:r w:rsidRPr="00730B1E">
        <w:t>Míra změny rozsudku je také vyšší než u okresních soudů – přibližně o 16 procentních bodů v roce 2017, cca o 8 procentních bodů v roce 2018, asi o 10 procentních bodů v roce 2019, pouze o necelých 6 procentních bodů v roce 2020, o 14 procentních bodů v roce 2021, o 8 procentních bodů v roce 2022</w:t>
      </w:r>
      <w:r w:rsidR="00BA7342" w:rsidRPr="00730B1E">
        <w:t xml:space="preserve"> a o 10 procentních bodů v roce 2023</w:t>
      </w:r>
      <w:r w:rsidRPr="00730B1E">
        <w:t>. Míra změny rozsudku za ČR se zdá na první pohled vysoká. Je ale třeba vzít v úvahu závažnost a složitost projednávaných věcí (jedná se o velmi vysoké tresty odnětí svobody a komplikovanou trestnou činnost). Vrchní soudy také často pouze změní výši uloženého trestu nebo věc vrátí krajským soudům k novému projednání.</w:t>
      </w:r>
    </w:p>
    <w:p w14:paraId="45F8E0A2" w14:textId="13B93B8C" w:rsidR="007E296A" w:rsidRPr="00730B1E" w:rsidRDefault="00BA7342" w:rsidP="00BA7342">
      <w:pPr>
        <w:pStyle w:val="OdstavecASR"/>
      </w:pPr>
      <w:r w:rsidRPr="00730B1E">
        <w:t>Míra celkové změny rozsudku počítaná jako [(míra odvolání × míra změny rozsudku) / 100] se za celou ČR v posledních pěti letech pohybovala následovně:</w:t>
      </w:r>
    </w:p>
    <w:p w14:paraId="6973D564" w14:textId="77777777" w:rsidR="00512762" w:rsidRPr="00730B1E" w:rsidRDefault="00512762" w:rsidP="00BA7342">
      <w:pPr>
        <w:pStyle w:val="OdstavecASR"/>
        <w:rPr>
          <w:sz w:val="22"/>
          <w:szCs w:val="20"/>
        </w:rPr>
        <w:sectPr w:rsidR="00512762" w:rsidRPr="00730B1E" w:rsidSect="005D7674">
          <w:type w:val="continuous"/>
          <w:pgSz w:w="11906" w:h="16838" w:code="9"/>
          <w:pgMar w:top="1418" w:right="1416" w:bottom="1418" w:left="1418" w:header="709" w:footer="709" w:gutter="0"/>
          <w:cols w:space="708"/>
          <w:titlePg/>
          <w:docGrid w:linePitch="360"/>
        </w:sectPr>
      </w:pPr>
    </w:p>
    <w:p w14:paraId="352F5EA5" w14:textId="77777777" w:rsidR="00BA7342" w:rsidRPr="00730B1E" w:rsidRDefault="00BA7342" w:rsidP="00BA7342">
      <w:pPr>
        <w:pStyle w:val="OdstavecASR"/>
        <w:rPr>
          <w:sz w:val="22"/>
          <w:szCs w:val="20"/>
        </w:rPr>
      </w:pPr>
      <w:r w:rsidRPr="00730B1E">
        <w:rPr>
          <w:sz w:val="22"/>
          <w:szCs w:val="20"/>
        </w:rPr>
        <w:t>2016: 74,10 % × 54,96 % </w:t>
      </w:r>
      <w:r w:rsidRPr="00730B1E">
        <w:rPr>
          <w:rFonts w:ascii="Cambria Math" w:hAnsi="Cambria Math" w:cs="Cambria Math"/>
          <w:sz w:val="22"/>
          <w:szCs w:val="20"/>
        </w:rPr>
        <w:t>≐</w:t>
      </w:r>
      <w:r w:rsidRPr="00730B1E">
        <w:rPr>
          <w:sz w:val="22"/>
          <w:szCs w:val="20"/>
        </w:rPr>
        <w:t xml:space="preserve"> 40,73 %</w:t>
      </w:r>
    </w:p>
    <w:p w14:paraId="754EA8C5" w14:textId="77777777" w:rsidR="00BA7342" w:rsidRPr="00730B1E" w:rsidRDefault="00BA7342" w:rsidP="00BA7342">
      <w:pPr>
        <w:pStyle w:val="OdstavecASR"/>
        <w:rPr>
          <w:sz w:val="22"/>
          <w:szCs w:val="20"/>
        </w:rPr>
      </w:pPr>
      <w:r w:rsidRPr="00730B1E">
        <w:rPr>
          <w:sz w:val="22"/>
          <w:szCs w:val="20"/>
        </w:rPr>
        <w:t>2017: 77,85 % × 58,44 % </w:t>
      </w:r>
      <w:r w:rsidRPr="00730B1E">
        <w:rPr>
          <w:rFonts w:ascii="Cambria Math" w:hAnsi="Cambria Math" w:cs="Cambria Math"/>
          <w:sz w:val="22"/>
          <w:szCs w:val="20"/>
        </w:rPr>
        <w:t>≐</w:t>
      </w:r>
      <w:r w:rsidRPr="00730B1E">
        <w:rPr>
          <w:sz w:val="22"/>
          <w:szCs w:val="20"/>
        </w:rPr>
        <w:t xml:space="preserve"> 45,50 %</w:t>
      </w:r>
    </w:p>
    <w:p w14:paraId="65AD7CAF" w14:textId="77777777" w:rsidR="00BA7342" w:rsidRPr="00730B1E" w:rsidRDefault="00BA7342" w:rsidP="00BA7342">
      <w:pPr>
        <w:pStyle w:val="OdstavecASR"/>
        <w:rPr>
          <w:sz w:val="22"/>
          <w:szCs w:val="20"/>
        </w:rPr>
      </w:pPr>
      <w:r w:rsidRPr="00730B1E">
        <w:rPr>
          <w:sz w:val="22"/>
          <w:szCs w:val="20"/>
        </w:rPr>
        <w:t>2018: 72,81 % × 50,01 % </w:t>
      </w:r>
      <w:r w:rsidRPr="00730B1E">
        <w:rPr>
          <w:rFonts w:ascii="Cambria Math" w:hAnsi="Cambria Math" w:cs="Cambria Math"/>
          <w:sz w:val="22"/>
          <w:szCs w:val="20"/>
        </w:rPr>
        <w:t>≐</w:t>
      </w:r>
      <w:r w:rsidRPr="00730B1E">
        <w:rPr>
          <w:sz w:val="22"/>
          <w:szCs w:val="20"/>
        </w:rPr>
        <w:t xml:space="preserve"> 36,41 %</w:t>
      </w:r>
    </w:p>
    <w:p w14:paraId="4B952DCD" w14:textId="77777777" w:rsidR="00BA7342" w:rsidRPr="00730B1E" w:rsidRDefault="00BA7342" w:rsidP="00BA7342">
      <w:pPr>
        <w:pStyle w:val="OdstavecASR"/>
        <w:rPr>
          <w:sz w:val="22"/>
          <w:szCs w:val="20"/>
        </w:rPr>
      </w:pPr>
      <w:r w:rsidRPr="00730B1E">
        <w:rPr>
          <w:sz w:val="22"/>
          <w:szCs w:val="20"/>
        </w:rPr>
        <w:t>2019: 79,90 % × 50,52 % </w:t>
      </w:r>
      <w:r w:rsidRPr="00730B1E">
        <w:rPr>
          <w:rFonts w:ascii="Cambria Math" w:hAnsi="Cambria Math" w:cs="Cambria Math"/>
          <w:sz w:val="22"/>
          <w:szCs w:val="20"/>
        </w:rPr>
        <w:t>≐</w:t>
      </w:r>
      <w:r w:rsidRPr="00730B1E">
        <w:rPr>
          <w:sz w:val="22"/>
          <w:szCs w:val="20"/>
        </w:rPr>
        <w:t xml:space="preserve"> 40,37 %</w:t>
      </w:r>
    </w:p>
    <w:p w14:paraId="350ADE5A" w14:textId="77777777" w:rsidR="00BA7342" w:rsidRPr="00730B1E" w:rsidRDefault="00BA7342" w:rsidP="00BA7342">
      <w:pPr>
        <w:pStyle w:val="OdstavecASR"/>
        <w:rPr>
          <w:sz w:val="22"/>
          <w:szCs w:val="20"/>
        </w:rPr>
      </w:pPr>
      <w:r w:rsidRPr="00730B1E">
        <w:rPr>
          <w:sz w:val="22"/>
          <w:szCs w:val="20"/>
        </w:rPr>
        <w:t>2020: 71,29 % × 46,32 % </w:t>
      </w:r>
      <w:r w:rsidRPr="00730B1E">
        <w:rPr>
          <w:rFonts w:ascii="Cambria Math" w:hAnsi="Cambria Math" w:cs="Cambria Math"/>
          <w:sz w:val="22"/>
          <w:szCs w:val="20"/>
        </w:rPr>
        <w:t>≐</w:t>
      </w:r>
      <w:r w:rsidRPr="00730B1E">
        <w:rPr>
          <w:sz w:val="22"/>
          <w:szCs w:val="20"/>
        </w:rPr>
        <w:t xml:space="preserve"> 33,02 %</w:t>
      </w:r>
    </w:p>
    <w:p w14:paraId="7D00E41B" w14:textId="77777777" w:rsidR="00BA7342" w:rsidRPr="00730B1E" w:rsidRDefault="00BA7342" w:rsidP="00BA7342">
      <w:pPr>
        <w:pStyle w:val="OdstavecASR"/>
        <w:rPr>
          <w:sz w:val="22"/>
          <w:szCs w:val="20"/>
        </w:rPr>
      </w:pPr>
      <w:r w:rsidRPr="00730B1E">
        <w:rPr>
          <w:sz w:val="22"/>
          <w:szCs w:val="20"/>
        </w:rPr>
        <w:t>2021: 58,83 % × 58,02 % </w:t>
      </w:r>
      <w:r w:rsidRPr="00730B1E">
        <w:rPr>
          <w:rFonts w:ascii="Cambria Math" w:hAnsi="Cambria Math" w:cs="Cambria Math"/>
          <w:sz w:val="22"/>
          <w:szCs w:val="20"/>
        </w:rPr>
        <w:t>≐</w:t>
      </w:r>
      <w:r w:rsidRPr="00730B1E">
        <w:rPr>
          <w:sz w:val="22"/>
          <w:szCs w:val="20"/>
        </w:rPr>
        <w:t xml:space="preserve"> 34,13 %</w:t>
      </w:r>
    </w:p>
    <w:p w14:paraId="263BCF9A" w14:textId="77777777" w:rsidR="00BA7342" w:rsidRPr="00730B1E" w:rsidRDefault="00BA7342" w:rsidP="00BA7342">
      <w:pPr>
        <w:pStyle w:val="OdstavecASR"/>
        <w:rPr>
          <w:sz w:val="22"/>
          <w:szCs w:val="20"/>
        </w:rPr>
      </w:pPr>
      <w:r w:rsidRPr="00730B1E">
        <w:rPr>
          <w:sz w:val="22"/>
          <w:szCs w:val="20"/>
        </w:rPr>
        <w:t>2022: 58,82 % × 52,70 % </w:t>
      </w:r>
      <w:r w:rsidRPr="00730B1E">
        <w:rPr>
          <w:rFonts w:ascii="Cambria Math" w:hAnsi="Cambria Math" w:cs="Cambria Math"/>
          <w:sz w:val="22"/>
          <w:szCs w:val="20"/>
        </w:rPr>
        <w:t>≐</w:t>
      </w:r>
      <w:r w:rsidRPr="00730B1E">
        <w:rPr>
          <w:sz w:val="22"/>
          <w:szCs w:val="20"/>
        </w:rPr>
        <w:t xml:space="preserve"> 31,00 %</w:t>
      </w:r>
    </w:p>
    <w:p w14:paraId="61188053" w14:textId="10755CD4" w:rsidR="005F682A" w:rsidRPr="00730B1E" w:rsidRDefault="00BA7342" w:rsidP="00012C61">
      <w:pPr>
        <w:pStyle w:val="OdstavecASR"/>
      </w:pPr>
      <w:r w:rsidRPr="00730B1E">
        <w:rPr>
          <w:bCs/>
          <w:sz w:val="22"/>
          <w:szCs w:val="20"/>
        </w:rPr>
        <w:t xml:space="preserve">2023: </w:t>
      </w:r>
      <w:r w:rsidRPr="00730B1E">
        <w:rPr>
          <w:sz w:val="22"/>
          <w:szCs w:val="20"/>
        </w:rPr>
        <w:t>60,38 % × 50,74 % </w:t>
      </w:r>
      <w:r w:rsidRPr="00730B1E">
        <w:rPr>
          <w:rFonts w:ascii="Cambria Math" w:hAnsi="Cambria Math" w:cs="Cambria Math"/>
          <w:sz w:val="22"/>
          <w:szCs w:val="20"/>
        </w:rPr>
        <w:t>≐</w:t>
      </w:r>
      <w:r w:rsidRPr="00730B1E">
        <w:rPr>
          <w:sz w:val="22"/>
          <w:szCs w:val="20"/>
        </w:rPr>
        <w:t xml:space="preserve"> 30,64 %</w:t>
      </w:r>
    </w:p>
    <w:p w14:paraId="1BCE3A77" w14:textId="77777777" w:rsidR="00512762" w:rsidRPr="00730B1E" w:rsidRDefault="00512762" w:rsidP="002822C4">
      <w:pPr>
        <w:pStyle w:val="OdstavecASR"/>
        <w:keepNext/>
        <w:outlineLvl w:val="3"/>
        <w:rPr>
          <w:b/>
          <w:bCs/>
        </w:rPr>
        <w:sectPr w:rsidR="00512762" w:rsidRPr="00730B1E" w:rsidSect="00012C61">
          <w:type w:val="continuous"/>
          <w:pgSz w:w="11906" w:h="16838" w:code="9"/>
          <w:pgMar w:top="1418" w:right="1416" w:bottom="1418" w:left="1418" w:header="709" w:footer="709" w:gutter="0"/>
          <w:cols w:num="2" w:space="708"/>
          <w:titlePg/>
          <w:docGrid w:linePitch="360"/>
        </w:sectPr>
      </w:pPr>
    </w:p>
    <w:p w14:paraId="042B5448" w14:textId="77777777" w:rsidR="002822C4" w:rsidRPr="00730B1E" w:rsidRDefault="002822C4" w:rsidP="002822C4">
      <w:pPr>
        <w:pStyle w:val="OdstavecASR"/>
        <w:keepNext/>
        <w:outlineLvl w:val="3"/>
        <w:rPr>
          <w:b/>
          <w:bCs/>
        </w:rPr>
      </w:pPr>
      <w:r w:rsidRPr="00730B1E">
        <w:rPr>
          <w:b/>
          <w:bCs/>
        </w:rPr>
        <w:t>Míra odsouzení</w:t>
      </w:r>
    </w:p>
    <w:p w14:paraId="16EA40BD" w14:textId="74B7298C" w:rsidR="00BA7342" w:rsidRPr="00730B1E" w:rsidRDefault="00BA7342" w:rsidP="00012C61">
      <w:pPr>
        <w:pStyle w:val="OdstavecASR"/>
      </w:pPr>
      <w:r w:rsidRPr="00730B1E">
        <w:t xml:space="preserve">Stejně jako u okresních soudů </w:t>
      </w:r>
      <w:r w:rsidR="0007114D" w:rsidRPr="00730B1E">
        <w:t>uvádíme</w:t>
      </w:r>
      <w:r w:rsidRPr="00730B1E">
        <w:t xml:space="preserve"> mír</w:t>
      </w:r>
      <w:r w:rsidR="0007114D" w:rsidRPr="00730B1E">
        <w:t>u</w:t>
      </w:r>
      <w:r w:rsidRPr="00730B1E">
        <w:t xml:space="preserve"> odsouzení. Trend je zde stejný, tedy rostoucí</w:t>
      </w:r>
      <w:r w:rsidR="0007114D" w:rsidRPr="00730B1E">
        <w:t>;</w:t>
      </w:r>
      <w:r w:rsidRPr="00730B1E">
        <w:t xml:space="preserve"> </w:t>
      </w:r>
      <w:r w:rsidR="0007114D" w:rsidRPr="00730B1E">
        <w:t>o</w:t>
      </w:r>
      <w:r w:rsidRPr="00730B1E">
        <w:t xml:space="preserve">d roku 2014 narostla míra odsouzení asi o 4 procentní body. </w:t>
      </w:r>
      <w:r w:rsidR="0007114D" w:rsidRPr="00730B1E">
        <w:t>Zároveň je</w:t>
      </w:r>
      <w:r w:rsidR="00EE0A06" w:rsidRPr="00730B1E">
        <w:t xml:space="preserve"> míra odsouzení asi o 5 procentních bodů menší, než u OS. To zřejmě bude plynout z náročnosti a</w:t>
      </w:r>
      <w:r w:rsidR="00447E08" w:rsidRPr="00730B1E">
        <w:t> </w:t>
      </w:r>
      <w:r w:rsidR="00EE0A06" w:rsidRPr="00730B1E">
        <w:t>závažnosti vyřizované agendy.</w:t>
      </w:r>
    </w:p>
    <w:p w14:paraId="0D4D0F46" w14:textId="725B7A35" w:rsidR="002822C4" w:rsidRPr="00730B1E" w:rsidRDefault="002822C4" w:rsidP="002822C4">
      <w:pPr>
        <w:pStyle w:val="Podnadpis"/>
        <w:rPr>
          <w:color w:val="auto"/>
        </w:rPr>
      </w:pPr>
      <w:bookmarkStart w:id="1005" w:name="_Toc169250990"/>
      <w:bookmarkStart w:id="1006" w:name="_Toc174080676"/>
      <w:r w:rsidRPr="00730B1E">
        <w:rPr>
          <w:color w:val="auto"/>
        </w:rPr>
        <w:lastRenderedPageBreak/>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71</w:t>
      </w:r>
      <w:r w:rsidRPr="00730B1E">
        <w:rPr>
          <w:noProof/>
          <w:color w:val="auto"/>
        </w:rPr>
        <w:fldChar w:fldCharType="end"/>
      </w:r>
      <w:r w:rsidRPr="00730B1E">
        <w:rPr>
          <w:color w:val="auto"/>
        </w:rPr>
        <w:t xml:space="preserve">: </w:t>
      </w:r>
      <w:r w:rsidR="00A15D97" w:rsidRPr="00730B1E">
        <w:rPr>
          <w:color w:val="auto"/>
        </w:rPr>
        <w:t>K</w:t>
      </w:r>
      <w:r w:rsidRPr="00730B1E">
        <w:rPr>
          <w:color w:val="auto"/>
        </w:rPr>
        <w:t>S – míra odsouzení v letech 2014 až 2023</w:t>
      </w:r>
      <w:bookmarkEnd w:id="1005"/>
      <w:bookmarkEnd w:id="1006"/>
    </w:p>
    <w:p w14:paraId="2CE6C415" w14:textId="77777777" w:rsidR="00EE0A06" w:rsidRPr="00730B1E" w:rsidRDefault="009F208A">
      <w:pPr>
        <w:spacing w:after="160" w:line="259" w:lineRule="auto"/>
        <w:jc w:val="left"/>
        <w:rPr>
          <w:b/>
        </w:rPr>
      </w:pPr>
      <w:r w:rsidRPr="00730B1E">
        <w:rPr>
          <w:b/>
          <w:noProof/>
          <w:lang w:eastAsia="cs-CZ"/>
        </w:rPr>
        <w:drawing>
          <wp:inline distT="0" distB="0" distL="0" distR="0" wp14:anchorId="3E6E6987" wp14:editId="29956A82">
            <wp:extent cx="5029200" cy="365760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4D8A8D0" w14:textId="77777777" w:rsidR="00F67361" w:rsidRPr="00730B1E" w:rsidRDefault="00F67361">
      <w:pPr>
        <w:spacing w:after="160" w:line="259" w:lineRule="auto"/>
        <w:jc w:val="left"/>
        <w:rPr>
          <w:b/>
        </w:rPr>
      </w:pPr>
    </w:p>
    <w:p w14:paraId="2BFD1E1E" w14:textId="032C7700" w:rsidR="00EE0A06" w:rsidRPr="00730B1E" w:rsidRDefault="00EE0A06" w:rsidP="00EE0A06">
      <w:pPr>
        <w:pStyle w:val="Podnadpis"/>
        <w:rPr>
          <w:color w:val="auto"/>
        </w:rPr>
      </w:pPr>
      <w:bookmarkStart w:id="1007" w:name="_Toc169251115"/>
      <w:bookmarkStart w:id="1008" w:name="_Toc174080801"/>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58</w:t>
      </w:r>
      <w:r w:rsidRPr="00730B1E">
        <w:rPr>
          <w:color w:val="auto"/>
        </w:rPr>
        <w:fldChar w:fldCharType="end"/>
      </w:r>
      <w:r w:rsidRPr="00730B1E">
        <w:rPr>
          <w:color w:val="auto"/>
        </w:rPr>
        <w:t xml:space="preserve">: </w:t>
      </w:r>
      <w:r w:rsidR="00E740C6" w:rsidRPr="00730B1E">
        <w:rPr>
          <w:color w:val="auto"/>
        </w:rPr>
        <w:t>K</w:t>
      </w:r>
      <w:r w:rsidRPr="00730B1E">
        <w:rPr>
          <w:color w:val="auto"/>
        </w:rPr>
        <w:t>S – míra odsouzení dle krajů</w:t>
      </w:r>
      <w:r w:rsidR="00554BBA" w:rsidRPr="00730B1E">
        <w:rPr>
          <w:color w:val="auto"/>
        </w:rPr>
        <w:t>, 2023</w:t>
      </w:r>
      <w:bookmarkEnd w:id="1007"/>
      <w:bookmarkEnd w:id="1008"/>
    </w:p>
    <w:tbl>
      <w:tblPr>
        <w:tblW w:w="6240" w:type="dxa"/>
        <w:tblCellMar>
          <w:left w:w="70" w:type="dxa"/>
          <w:right w:w="70" w:type="dxa"/>
        </w:tblCellMar>
        <w:tblLook w:val="04A0" w:firstRow="1" w:lastRow="0" w:firstColumn="1" w:lastColumn="0" w:noHBand="0" w:noVBand="1"/>
      </w:tblPr>
      <w:tblGrid>
        <w:gridCol w:w="2780"/>
        <w:gridCol w:w="1757"/>
        <w:gridCol w:w="1703"/>
      </w:tblGrid>
      <w:tr w:rsidR="00B64E96" w:rsidRPr="00730B1E" w14:paraId="3C0918CD" w14:textId="77777777" w:rsidTr="0045597A">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6835B84" w14:textId="77777777" w:rsidR="0045597A" w:rsidRPr="00730B1E" w:rsidRDefault="0045597A" w:rsidP="0045597A">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460" w:type="dxa"/>
            <w:gridSpan w:val="2"/>
            <w:tcBorders>
              <w:top w:val="double" w:sz="6" w:space="0" w:color="auto"/>
              <w:left w:val="nil"/>
              <w:bottom w:val="double" w:sz="6" w:space="0" w:color="auto"/>
              <w:right w:val="nil"/>
            </w:tcBorders>
            <w:shd w:val="clear" w:color="auto" w:fill="auto"/>
            <w:noWrap/>
            <w:vAlign w:val="center"/>
            <w:hideMark/>
          </w:tcPr>
          <w:p w14:paraId="285ABCC8" w14:textId="77777777" w:rsidR="0045597A" w:rsidRPr="00730B1E" w:rsidRDefault="0045597A" w:rsidP="0045597A">
            <w:pPr>
              <w:spacing w:line="240" w:lineRule="auto"/>
              <w:jc w:val="center"/>
              <w:rPr>
                <w:rFonts w:eastAsia="Times New Roman"/>
                <w:b/>
                <w:bCs/>
                <w:szCs w:val="24"/>
                <w:lang w:eastAsia="cs-CZ"/>
              </w:rPr>
            </w:pPr>
            <w:r w:rsidRPr="00730B1E">
              <w:rPr>
                <w:rFonts w:eastAsia="Times New Roman"/>
                <w:b/>
                <w:bCs/>
                <w:szCs w:val="24"/>
                <w:lang w:eastAsia="cs-CZ"/>
              </w:rPr>
              <w:t>Míra odsouzení</w:t>
            </w:r>
          </w:p>
        </w:tc>
      </w:tr>
      <w:tr w:rsidR="00B64E96" w:rsidRPr="00730B1E" w14:paraId="4EAB5D56" w14:textId="77777777" w:rsidTr="0045597A">
        <w:trPr>
          <w:trHeight w:val="330"/>
        </w:trPr>
        <w:tc>
          <w:tcPr>
            <w:tcW w:w="2780" w:type="dxa"/>
            <w:tcBorders>
              <w:top w:val="nil"/>
              <w:left w:val="nil"/>
              <w:bottom w:val="single" w:sz="4" w:space="0" w:color="auto"/>
              <w:right w:val="nil"/>
            </w:tcBorders>
            <w:shd w:val="clear" w:color="auto" w:fill="auto"/>
            <w:noWrap/>
            <w:vAlign w:val="bottom"/>
            <w:hideMark/>
          </w:tcPr>
          <w:p w14:paraId="440949A3" w14:textId="77777777" w:rsidR="0045597A" w:rsidRPr="00730B1E" w:rsidRDefault="0045597A" w:rsidP="0045597A">
            <w:pPr>
              <w:spacing w:line="240" w:lineRule="auto"/>
              <w:jc w:val="left"/>
              <w:rPr>
                <w:rFonts w:eastAsia="Times New Roman"/>
                <w:szCs w:val="24"/>
                <w:lang w:eastAsia="cs-CZ"/>
              </w:rPr>
            </w:pPr>
            <w:r w:rsidRPr="00730B1E">
              <w:rPr>
                <w:rFonts w:eastAsia="Times New Roman"/>
                <w:szCs w:val="24"/>
                <w:lang w:eastAsia="cs-CZ"/>
              </w:rPr>
              <w:t>MS Praha</w:t>
            </w:r>
          </w:p>
        </w:tc>
        <w:tc>
          <w:tcPr>
            <w:tcW w:w="1757" w:type="dxa"/>
            <w:tcBorders>
              <w:top w:val="nil"/>
              <w:left w:val="nil"/>
              <w:bottom w:val="single" w:sz="4" w:space="0" w:color="auto"/>
              <w:right w:val="nil"/>
            </w:tcBorders>
            <w:shd w:val="clear" w:color="auto" w:fill="auto"/>
            <w:noWrap/>
            <w:vAlign w:val="bottom"/>
            <w:hideMark/>
          </w:tcPr>
          <w:p w14:paraId="335AD1E6" w14:textId="1AA61A2F" w:rsidR="0045597A" w:rsidRPr="00730B1E" w:rsidRDefault="0045597A" w:rsidP="0045597A">
            <w:pPr>
              <w:spacing w:line="240" w:lineRule="auto"/>
              <w:jc w:val="center"/>
              <w:rPr>
                <w:rFonts w:eastAsia="Times New Roman"/>
                <w:szCs w:val="24"/>
                <w:lang w:eastAsia="cs-CZ"/>
              </w:rPr>
            </w:pPr>
            <w:r w:rsidRPr="00730B1E">
              <w:rPr>
                <w:rFonts w:eastAsia="Times New Roman"/>
                <w:szCs w:val="24"/>
                <w:lang w:eastAsia="cs-CZ"/>
              </w:rPr>
              <w:t>90,32 %</w:t>
            </w:r>
          </w:p>
        </w:tc>
        <w:tc>
          <w:tcPr>
            <w:tcW w:w="1703" w:type="dxa"/>
            <w:tcBorders>
              <w:top w:val="nil"/>
              <w:left w:val="nil"/>
              <w:bottom w:val="single" w:sz="4" w:space="0" w:color="auto"/>
              <w:right w:val="nil"/>
            </w:tcBorders>
            <w:shd w:val="clear" w:color="auto" w:fill="auto"/>
            <w:noWrap/>
            <w:vAlign w:val="center"/>
            <w:hideMark/>
          </w:tcPr>
          <w:p w14:paraId="3E333CAC" w14:textId="5A6B1572" w:rsidR="0045597A" w:rsidRPr="00730B1E" w:rsidRDefault="0045597A" w:rsidP="0045597A">
            <w:pPr>
              <w:spacing w:line="240" w:lineRule="auto"/>
              <w:jc w:val="center"/>
              <w:rPr>
                <w:rFonts w:eastAsia="Times New Roman"/>
                <w:sz w:val="20"/>
                <w:szCs w:val="20"/>
                <w:lang w:eastAsia="cs-CZ"/>
              </w:rPr>
            </w:pPr>
            <w:r w:rsidRPr="00730B1E">
              <w:rPr>
                <w:rFonts w:eastAsia="Times New Roman"/>
                <w:sz w:val="20"/>
                <w:szCs w:val="20"/>
                <w:lang w:eastAsia="cs-CZ"/>
              </w:rPr>
              <w:t>+5,2 p.b.</w:t>
            </w:r>
          </w:p>
        </w:tc>
      </w:tr>
      <w:tr w:rsidR="00B64E96" w:rsidRPr="00730B1E" w14:paraId="2114E1AA" w14:textId="77777777" w:rsidTr="0045597A">
        <w:trPr>
          <w:trHeight w:val="315"/>
        </w:trPr>
        <w:tc>
          <w:tcPr>
            <w:tcW w:w="2780" w:type="dxa"/>
            <w:tcBorders>
              <w:top w:val="nil"/>
              <w:left w:val="nil"/>
              <w:bottom w:val="single" w:sz="4" w:space="0" w:color="auto"/>
              <w:right w:val="nil"/>
            </w:tcBorders>
            <w:shd w:val="clear" w:color="auto" w:fill="auto"/>
            <w:noWrap/>
            <w:vAlign w:val="bottom"/>
            <w:hideMark/>
          </w:tcPr>
          <w:p w14:paraId="1F2897B1" w14:textId="77777777" w:rsidR="0045597A" w:rsidRPr="00730B1E" w:rsidRDefault="0045597A" w:rsidP="0045597A">
            <w:pPr>
              <w:spacing w:line="240" w:lineRule="auto"/>
              <w:jc w:val="left"/>
              <w:rPr>
                <w:rFonts w:eastAsia="Times New Roman"/>
                <w:szCs w:val="24"/>
                <w:lang w:eastAsia="cs-CZ"/>
              </w:rPr>
            </w:pPr>
            <w:r w:rsidRPr="00730B1E">
              <w:rPr>
                <w:rFonts w:eastAsia="Times New Roman"/>
                <w:szCs w:val="24"/>
                <w:lang w:eastAsia="cs-CZ"/>
              </w:rPr>
              <w:t>KS Praha</w:t>
            </w:r>
          </w:p>
        </w:tc>
        <w:tc>
          <w:tcPr>
            <w:tcW w:w="1757" w:type="dxa"/>
            <w:tcBorders>
              <w:top w:val="nil"/>
              <w:left w:val="nil"/>
              <w:bottom w:val="single" w:sz="4" w:space="0" w:color="auto"/>
              <w:right w:val="nil"/>
            </w:tcBorders>
            <w:shd w:val="clear" w:color="auto" w:fill="auto"/>
            <w:noWrap/>
            <w:vAlign w:val="bottom"/>
            <w:hideMark/>
          </w:tcPr>
          <w:p w14:paraId="735026E8" w14:textId="548B7278" w:rsidR="0045597A" w:rsidRPr="00730B1E" w:rsidRDefault="0045597A" w:rsidP="0045597A">
            <w:pPr>
              <w:spacing w:line="240" w:lineRule="auto"/>
              <w:jc w:val="center"/>
              <w:rPr>
                <w:rFonts w:eastAsia="Times New Roman"/>
                <w:szCs w:val="24"/>
                <w:lang w:eastAsia="cs-CZ"/>
              </w:rPr>
            </w:pPr>
            <w:r w:rsidRPr="00730B1E">
              <w:rPr>
                <w:rFonts w:eastAsia="Times New Roman"/>
                <w:szCs w:val="24"/>
                <w:lang w:eastAsia="cs-CZ"/>
              </w:rPr>
              <w:t>86,17 %</w:t>
            </w:r>
          </w:p>
        </w:tc>
        <w:tc>
          <w:tcPr>
            <w:tcW w:w="1703" w:type="dxa"/>
            <w:tcBorders>
              <w:top w:val="nil"/>
              <w:left w:val="nil"/>
              <w:bottom w:val="single" w:sz="4" w:space="0" w:color="auto"/>
              <w:right w:val="nil"/>
            </w:tcBorders>
            <w:shd w:val="clear" w:color="auto" w:fill="auto"/>
            <w:noWrap/>
            <w:vAlign w:val="center"/>
            <w:hideMark/>
          </w:tcPr>
          <w:p w14:paraId="64F188AB" w14:textId="1F581007" w:rsidR="0045597A" w:rsidRPr="00730B1E" w:rsidRDefault="0045597A" w:rsidP="0045597A">
            <w:pPr>
              <w:spacing w:line="240" w:lineRule="auto"/>
              <w:jc w:val="center"/>
              <w:rPr>
                <w:rFonts w:eastAsia="Times New Roman"/>
                <w:sz w:val="20"/>
                <w:szCs w:val="20"/>
                <w:lang w:eastAsia="cs-CZ"/>
              </w:rPr>
            </w:pPr>
            <w:r w:rsidRPr="00730B1E">
              <w:rPr>
                <w:rFonts w:eastAsia="Times New Roman"/>
                <w:sz w:val="20"/>
                <w:szCs w:val="20"/>
                <w:lang w:eastAsia="cs-CZ"/>
              </w:rPr>
              <w:t>-6,5 p.b.</w:t>
            </w:r>
          </w:p>
        </w:tc>
      </w:tr>
      <w:tr w:rsidR="00B64E96" w:rsidRPr="00730B1E" w14:paraId="3887650F" w14:textId="77777777" w:rsidTr="0045597A">
        <w:trPr>
          <w:trHeight w:val="315"/>
        </w:trPr>
        <w:tc>
          <w:tcPr>
            <w:tcW w:w="2780" w:type="dxa"/>
            <w:tcBorders>
              <w:top w:val="nil"/>
              <w:left w:val="nil"/>
              <w:bottom w:val="single" w:sz="4" w:space="0" w:color="auto"/>
              <w:right w:val="nil"/>
            </w:tcBorders>
            <w:shd w:val="clear" w:color="auto" w:fill="auto"/>
            <w:noWrap/>
            <w:vAlign w:val="bottom"/>
            <w:hideMark/>
          </w:tcPr>
          <w:p w14:paraId="3921EC8F" w14:textId="77777777" w:rsidR="0045597A" w:rsidRPr="00730B1E" w:rsidRDefault="0045597A" w:rsidP="0045597A">
            <w:pPr>
              <w:spacing w:line="240" w:lineRule="auto"/>
              <w:jc w:val="left"/>
              <w:rPr>
                <w:rFonts w:eastAsia="Times New Roman"/>
                <w:szCs w:val="24"/>
                <w:lang w:eastAsia="cs-CZ"/>
              </w:rPr>
            </w:pPr>
            <w:r w:rsidRPr="00730B1E">
              <w:rPr>
                <w:rFonts w:eastAsia="Times New Roman"/>
                <w:szCs w:val="24"/>
                <w:lang w:eastAsia="cs-CZ"/>
              </w:rPr>
              <w:t>KS Č. Budějovice</w:t>
            </w:r>
          </w:p>
        </w:tc>
        <w:tc>
          <w:tcPr>
            <w:tcW w:w="1757" w:type="dxa"/>
            <w:tcBorders>
              <w:top w:val="nil"/>
              <w:left w:val="nil"/>
              <w:bottom w:val="single" w:sz="4" w:space="0" w:color="auto"/>
              <w:right w:val="nil"/>
            </w:tcBorders>
            <w:shd w:val="clear" w:color="auto" w:fill="auto"/>
            <w:noWrap/>
            <w:vAlign w:val="bottom"/>
            <w:hideMark/>
          </w:tcPr>
          <w:p w14:paraId="657CED75" w14:textId="6D94FFF9" w:rsidR="0045597A" w:rsidRPr="00730B1E" w:rsidRDefault="0045597A" w:rsidP="0045597A">
            <w:pPr>
              <w:spacing w:line="240" w:lineRule="auto"/>
              <w:jc w:val="center"/>
              <w:rPr>
                <w:rFonts w:eastAsia="Times New Roman"/>
                <w:szCs w:val="24"/>
                <w:lang w:eastAsia="cs-CZ"/>
              </w:rPr>
            </w:pPr>
            <w:r w:rsidRPr="00730B1E">
              <w:rPr>
                <w:rFonts w:eastAsia="Times New Roman"/>
                <w:szCs w:val="24"/>
                <w:lang w:eastAsia="cs-CZ"/>
              </w:rPr>
              <w:t>89,23 %</w:t>
            </w:r>
          </w:p>
        </w:tc>
        <w:tc>
          <w:tcPr>
            <w:tcW w:w="1703" w:type="dxa"/>
            <w:tcBorders>
              <w:top w:val="nil"/>
              <w:left w:val="nil"/>
              <w:bottom w:val="single" w:sz="4" w:space="0" w:color="auto"/>
              <w:right w:val="nil"/>
            </w:tcBorders>
            <w:shd w:val="clear" w:color="auto" w:fill="auto"/>
            <w:noWrap/>
            <w:vAlign w:val="center"/>
            <w:hideMark/>
          </w:tcPr>
          <w:p w14:paraId="04AE9499" w14:textId="0B4CCCCD" w:rsidR="0045597A" w:rsidRPr="00730B1E" w:rsidRDefault="0045597A" w:rsidP="0045597A">
            <w:pPr>
              <w:spacing w:line="240" w:lineRule="auto"/>
              <w:jc w:val="center"/>
              <w:rPr>
                <w:rFonts w:eastAsia="Times New Roman"/>
                <w:sz w:val="20"/>
                <w:szCs w:val="20"/>
                <w:lang w:eastAsia="cs-CZ"/>
              </w:rPr>
            </w:pPr>
            <w:r w:rsidRPr="00730B1E">
              <w:rPr>
                <w:rFonts w:eastAsia="Times New Roman"/>
                <w:sz w:val="20"/>
                <w:szCs w:val="20"/>
                <w:lang w:eastAsia="cs-CZ"/>
              </w:rPr>
              <w:t>-5,0 p.b.</w:t>
            </w:r>
          </w:p>
        </w:tc>
      </w:tr>
      <w:tr w:rsidR="00B64E96" w:rsidRPr="00730B1E" w14:paraId="51E6D8F1" w14:textId="77777777" w:rsidTr="0045597A">
        <w:trPr>
          <w:trHeight w:val="315"/>
        </w:trPr>
        <w:tc>
          <w:tcPr>
            <w:tcW w:w="2780" w:type="dxa"/>
            <w:tcBorders>
              <w:top w:val="nil"/>
              <w:left w:val="nil"/>
              <w:bottom w:val="single" w:sz="4" w:space="0" w:color="auto"/>
              <w:right w:val="nil"/>
            </w:tcBorders>
            <w:shd w:val="clear" w:color="auto" w:fill="auto"/>
            <w:noWrap/>
            <w:vAlign w:val="bottom"/>
            <w:hideMark/>
          </w:tcPr>
          <w:p w14:paraId="3D3CC21F" w14:textId="77777777" w:rsidR="0045597A" w:rsidRPr="00730B1E" w:rsidRDefault="0045597A" w:rsidP="0045597A">
            <w:pPr>
              <w:spacing w:line="240" w:lineRule="auto"/>
              <w:jc w:val="left"/>
              <w:rPr>
                <w:rFonts w:eastAsia="Times New Roman"/>
                <w:szCs w:val="24"/>
                <w:lang w:eastAsia="cs-CZ"/>
              </w:rPr>
            </w:pPr>
            <w:r w:rsidRPr="00730B1E">
              <w:rPr>
                <w:rFonts w:eastAsia="Times New Roman"/>
                <w:szCs w:val="24"/>
                <w:lang w:eastAsia="cs-CZ"/>
              </w:rPr>
              <w:t>KS Plzeň</w:t>
            </w:r>
          </w:p>
        </w:tc>
        <w:tc>
          <w:tcPr>
            <w:tcW w:w="1757" w:type="dxa"/>
            <w:tcBorders>
              <w:top w:val="nil"/>
              <w:left w:val="nil"/>
              <w:bottom w:val="single" w:sz="4" w:space="0" w:color="auto"/>
              <w:right w:val="nil"/>
            </w:tcBorders>
            <w:shd w:val="clear" w:color="auto" w:fill="auto"/>
            <w:noWrap/>
            <w:vAlign w:val="bottom"/>
            <w:hideMark/>
          </w:tcPr>
          <w:p w14:paraId="5EEFF8A6" w14:textId="3EC8F4F0" w:rsidR="0045597A" w:rsidRPr="00730B1E" w:rsidRDefault="0045597A" w:rsidP="0045597A">
            <w:pPr>
              <w:spacing w:line="240" w:lineRule="auto"/>
              <w:jc w:val="center"/>
              <w:rPr>
                <w:rFonts w:eastAsia="Times New Roman"/>
                <w:szCs w:val="24"/>
                <w:lang w:eastAsia="cs-CZ"/>
              </w:rPr>
            </w:pPr>
            <w:r w:rsidRPr="00730B1E">
              <w:rPr>
                <w:rFonts w:eastAsia="Times New Roman"/>
                <w:szCs w:val="24"/>
                <w:lang w:eastAsia="cs-CZ"/>
              </w:rPr>
              <w:t>88,10 %</w:t>
            </w:r>
          </w:p>
        </w:tc>
        <w:tc>
          <w:tcPr>
            <w:tcW w:w="1703" w:type="dxa"/>
            <w:tcBorders>
              <w:top w:val="nil"/>
              <w:left w:val="nil"/>
              <w:bottom w:val="single" w:sz="4" w:space="0" w:color="auto"/>
              <w:right w:val="nil"/>
            </w:tcBorders>
            <w:shd w:val="clear" w:color="auto" w:fill="auto"/>
            <w:noWrap/>
            <w:vAlign w:val="center"/>
            <w:hideMark/>
          </w:tcPr>
          <w:p w14:paraId="3722ECE5" w14:textId="309C1424" w:rsidR="0045597A" w:rsidRPr="00730B1E" w:rsidRDefault="0045597A" w:rsidP="0045597A">
            <w:pPr>
              <w:spacing w:line="240" w:lineRule="auto"/>
              <w:jc w:val="center"/>
              <w:rPr>
                <w:rFonts w:eastAsia="Times New Roman"/>
                <w:sz w:val="20"/>
                <w:szCs w:val="20"/>
                <w:lang w:eastAsia="cs-CZ"/>
              </w:rPr>
            </w:pPr>
            <w:r w:rsidRPr="00730B1E">
              <w:rPr>
                <w:rFonts w:eastAsia="Times New Roman"/>
                <w:sz w:val="20"/>
                <w:szCs w:val="20"/>
                <w:lang w:eastAsia="cs-CZ"/>
              </w:rPr>
              <w:t>+8,8 p.b.</w:t>
            </w:r>
          </w:p>
        </w:tc>
      </w:tr>
      <w:tr w:rsidR="00B64E96" w:rsidRPr="00730B1E" w14:paraId="2BACFADC" w14:textId="77777777" w:rsidTr="0045597A">
        <w:trPr>
          <w:trHeight w:val="315"/>
        </w:trPr>
        <w:tc>
          <w:tcPr>
            <w:tcW w:w="2780" w:type="dxa"/>
            <w:tcBorders>
              <w:top w:val="nil"/>
              <w:left w:val="nil"/>
              <w:bottom w:val="single" w:sz="4" w:space="0" w:color="auto"/>
              <w:right w:val="nil"/>
            </w:tcBorders>
            <w:shd w:val="clear" w:color="auto" w:fill="auto"/>
            <w:noWrap/>
            <w:vAlign w:val="bottom"/>
            <w:hideMark/>
          </w:tcPr>
          <w:p w14:paraId="201D87E5" w14:textId="77777777" w:rsidR="0045597A" w:rsidRPr="00730B1E" w:rsidRDefault="0045597A" w:rsidP="0045597A">
            <w:pPr>
              <w:spacing w:line="240" w:lineRule="auto"/>
              <w:jc w:val="left"/>
              <w:rPr>
                <w:rFonts w:eastAsia="Times New Roman"/>
                <w:szCs w:val="24"/>
                <w:lang w:eastAsia="cs-CZ"/>
              </w:rPr>
            </w:pPr>
            <w:r w:rsidRPr="00730B1E">
              <w:rPr>
                <w:rFonts w:eastAsia="Times New Roman"/>
                <w:szCs w:val="24"/>
                <w:lang w:eastAsia="cs-CZ"/>
              </w:rPr>
              <w:t>KS Ústí n. Labem</w:t>
            </w:r>
          </w:p>
        </w:tc>
        <w:tc>
          <w:tcPr>
            <w:tcW w:w="1757" w:type="dxa"/>
            <w:tcBorders>
              <w:top w:val="nil"/>
              <w:left w:val="nil"/>
              <w:bottom w:val="single" w:sz="4" w:space="0" w:color="auto"/>
              <w:right w:val="nil"/>
            </w:tcBorders>
            <w:shd w:val="clear" w:color="auto" w:fill="auto"/>
            <w:noWrap/>
            <w:vAlign w:val="bottom"/>
            <w:hideMark/>
          </w:tcPr>
          <w:p w14:paraId="27F316B6" w14:textId="6BB62200" w:rsidR="0045597A" w:rsidRPr="00730B1E" w:rsidRDefault="0045597A" w:rsidP="0045597A">
            <w:pPr>
              <w:spacing w:line="240" w:lineRule="auto"/>
              <w:jc w:val="center"/>
              <w:rPr>
                <w:rFonts w:eastAsia="Times New Roman"/>
                <w:szCs w:val="24"/>
                <w:lang w:eastAsia="cs-CZ"/>
              </w:rPr>
            </w:pPr>
            <w:r w:rsidRPr="00730B1E">
              <w:rPr>
                <w:rFonts w:eastAsia="Times New Roman"/>
                <w:szCs w:val="24"/>
                <w:lang w:eastAsia="cs-CZ"/>
              </w:rPr>
              <w:t>94,09 %</w:t>
            </w:r>
          </w:p>
        </w:tc>
        <w:tc>
          <w:tcPr>
            <w:tcW w:w="1703" w:type="dxa"/>
            <w:tcBorders>
              <w:top w:val="nil"/>
              <w:left w:val="nil"/>
              <w:bottom w:val="single" w:sz="4" w:space="0" w:color="auto"/>
              <w:right w:val="nil"/>
            </w:tcBorders>
            <w:shd w:val="clear" w:color="auto" w:fill="auto"/>
            <w:noWrap/>
            <w:vAlign w:val="center"/>
            <w:hideMark/>
          </w:tcPr>
          <w:p w14:paraId="33BB18A3" w14:textId="7703C6A9" w:rsidR="0045597A" w:rsidRPr="00730B1E" w:rsidRDefault="0045597A" w:rsidP="0045597A">
            <w:pPr>
              <w:spacing w:line="240" w:lineRule="auto"/>
              <w:jc w:val="center"/>
              <w:rPr>
                <w:rFonts w:eastAsia="Times New Roman"/>
                <w:sz w:val="20"/>
                <w:szCs w:val="20"/>
                <w:lang w:eastAsia="cs-CZ"/>
              </w:rPr>
            </w:pPr>
            <w:r w:rsidRPr="00730B1E">
              <w:rPr>
                <w:rFonts w:eastAsia="Times New Roman"/>
                <w:sz w:val="20"/>
                <w:szCs w:val="20"/>
                <w:lang w:eastAsia="cs-CZ"/>
              </w:rPr>
              <w:t>+2,6 p.b.</w:t>
            </w:r>
          </w:p>
        </w:tc>
      </w:tr>
      <w:tr w:rsidR="00B64E96" w:rsidRPr="00730B1E" w14:paraId="28C00E77" w14:textId="77777777" w:rsidTr="0045597A">
        <w:trPr>
          <w:trHeight w:val="315"/>
        </w:trPr>
        <w:tc>
          <w:tcPr>
            <w:tcW w:w="2780" w:type="dxa"/>
            <w:tcBorders>
              <w:top w:val="nil"/>
              <w:left w:val="nil"/>
              <w:bottom w:val="single" w:sz="4" w:space="0" w:color="auto"/>
              <w:right w:val="nil"/>
            </w:tcBorders>
            <w:shd w:val="clear" w:color="auto" w:fill="auto"/>
            <w:noWrap/>
            <w:vAlign w:val="bottom"/>
            <w:hideMark/>
          </w:tcPr>
          <w:p w14:paraId="26209500" w14:textId="77777777" w:rsidR="0045597A" w:rsidRPr="00730B1E" w:rsidRDefault="0045597A" w:rsidP="0045597A">
            <w:pPr>
              <w:spacing w:line="240" w:lineRule="auto"/>
              <w:jc w:val="left"/>
              <w:rPr>
                <w:rFonts w:eastAsia="Times New Roman"/>
                <w:szCs w:val="24"/>
                <w:lang w:eastAsia="cs-CZ"/>
              </w:rPr>
            </w:pPr>
            <w:r w:rsidRPr="00730B1E">
              <w:rPr>
                <w:rFonts w:eastAsia="Times New Roman"/>
                <w:szCs w:val="24"/>
                <w:lang w:eastAsia="cs-CZ"/>
              </w:rPr>
              <w:t>KS Hr. Králové</w:t>
            </w:r>
          </w:p>
        </w:tc>
        <w:tc>
          <w:tcPr>
            <w:tcW w:w="1757" w:type="dxa"/>
            <w:tcBorders>
              <w:top w:val="nil"/>
              <w:left w:val="nil"/>
              <w:bottom w:val="single" w:sz="4" w:space="0" w:color="auto"/>
              <w:right w:val="nil"/>
            </w:tcBorders>
            <w:shd w:val="clear" w:color="auto" w:fill="auto"/>
            <w:noWrap/>
            <w:vAlign w:val="bottom"/>
            <w:hideMark/>
          </w:tcPr>
          <w:p w14:paraId="4B00FAFD" w14:textId="433EB631" w:rsidR="0045597A" w:rsidRPr="00730B1E" w:rsidRDefault="0045597A" w:rsidP="0045597A">
            <w:pPr>
              <w:spacing w:line="240" w:lineRule="auto"/>
              <w:jc w:val="center"/>
              <w:rPr>
                <w:rFonts w:eastAsia="Times New Roman"/>
                <w:szCs w:val="24"/>
                <w:lang w:eastAsia="cs-CZ"/>
              </w:rPr>
            </w:pPr>
            <w:r w:rsidRPr="00730B1E">
              <w:rPr>
                <w:rFonts w:eastAsia="Times New Roman"/>
                <w:szCs w:val="24"/>
                <w:lang w:eastAsia="cs-CZ"/>
              </w:rPr>
              <w:t>81,89 %</w:t>
            </w:r>
          </w:p>
        </w:tc>
        <w:tc>
          <w:tcPr>
            <w:tcW w:w="1703" w:type="dxa"/>
            <w:tcBorders>
              <w:top w:val="nil"/>
              <w:left w:val="nil"/>
              <w:bottom w:val="single" w:sz="4" w:space="0" w:color="auto"/>
              <w:right w:val="nil"/>
            </w:tcBorders>
            <w:shd w:val="clear" w:color="auto" w:fill="auto"/>
            <w:noWrap/>
            <w:vAlign w:val="center"/>
            <w:hideMark/>
          </w:tcPr>
          <w:p w14:paraId="7FA99B84" w14:textId="1D865C55" w:rsidR="0045597A" w:rsidRPr="00730B1E" w:rsidRDefault="0045597A" w:rsidP="0045597A">
            <w:pPr>
              <w:spacing w:line="240" w:lineRule="auto"/>
              <w:jc w:val="center"/>
              <w:rPr>
                <w:rFonts w:eastAsia="Times New Roman"/>
                <w:sz w:val="20"/>
                <w:szCs w:val="20"/>
                <w:lang w:eastAsia="cs-CZ"/>
              </w:rPr>
            </w:pPr>
            <w:r w:rsidRPr="00730B1E">
              <w:rPr>
                <w:rFonts w:eastAsia="Times New Roman"/>
                <w:sz w:val="20"/>
                <w:szCs w:val="20"/>
                <w:lang w:eastAsia="cs-CZ"/>
              </w:rPr>
              <w:t>+0,5 p.b.</w:t>
            </w:r>
          </w:p>
        </w:tc>
      </w:tr>
      <w:tr w:rsidR="00B64E96" w:rsidRPr="00730B1E" w14:paraId="69E8C77E" w14:textId="77777777" w:rsidTr="0045597A">
        <w:trPr>
          <w:trHeight w:val="315"/>
        </w:trPr>
        <w:tc>
          <w:tcPr>
            <w:tcW w:w="2780" w:type="dxa"/>
            <w:tcBorders>
              <w:top w:val="nil"/>
              <w:left w:val="nil"/>
              <w:bottom w:val="single" w:sz="4" w:space="0" w:color="auto"/>
              <w:right w:val="nil"/>
            </w:tcBorders>
            <w:shd w:val="clear" w:color="auto" w:fill="auto"/>
            <w:noWrap/>
            <w:vAlign w:val="bottom"/>
            <w:hideMark/>
          </w:tcPr>
          <w:p w14:paraId="6AF7BA47" w14:textId="77777777" w:rsidR="0045597A" w:rsidRPr="00730B1E" w:rsidRDefault="0045597A" w:rsidP="0045597A">
            <w:pPr>
              <w:spacing w:line="240" w:lineRule="auto"/>
              <w:jc w:val="left"/>
              <w:rPr>
                <w:rFonts w:eastAsia="Times New Roman"/>
                <w:szCs w:val="24"/>
                <w:lang w:eastAsia="cs-CZ"/>
              </w:rPr>
            </w:pPr>
            <w:r w:rsidRPr="00730B1E">
              <w:rPr>
                <w:rFonts w:eastAsia="Times New Roman"/>
                <w:szCs w:val="24"/>
                <w:lang w:eastAsia="cs-CZ"/>
              </w:rPr>
              <w:t>KS Brno</w:t>
            </w:r>
          </w:p>
        </w:tc>
        <w:tc>
          <w:tcPr>
            <w:tcW w:w="1757" w:type="dxa"/>
            <w:tcBorders>
              <w:top w:val="nil"/>
              <w:left w:val="nil"/>
              <w:bottom w:val="single" w:sz="4" w:space="0" w:color="auto"/>
              <w:right w:val="nil"/>
            </w:tcBorders>
            <w:shd w:val="clear" w:color="auto" w:fill="auto"/>
            <w:noWrap/>
            <w:vAlign w:val="bottom"/>
            <w:hideMark/>
          </w:tcPr>
          <w:p w14:paraId="3CB227D6" w14:textId="553C22A7" w:rsidR="0045597A" w:rsidRPr="00730B1E" w:rsidRDefault="0045597A" w:rsidP="0045597A">
            <w:pPr>
              <w:spacing w:line="240" w:lineRule="auto"/>
              <w:jc w:val="center"/>
              <w:rPr>
                <w:rFonts w:eastAsia="Times New Roman"/>
                <w:szCs w:val="24"/>
                <w:lang w:eastAsia="cs-CZ"/>
              </w:rPr>
            </w:pPr>
            <w:r w:rsidRPr="00730B1E">
              <w:rPr>
                <w:rFonts w:eastAsia="Times New Roman"/>
                <w:szCs w:val="24"/>
                <w:lang w:eastAsia="cs-CZ"/>
              </w:rPr>
              <w:t>90,97 %</w:t>
            </w:r>
          </w:p>
        </w:tc>
        <w:tc>
          <w:tcPr>
            <w:tcW w:w="1703" w:type="dxa"/>
            <w:tcBorders>
              <w:top w:val="nil"/>
              <w:left w:val="nil"/>
              <w:bottom w:val="single" w:sz="4" w:space="0" w:color="auto"/>
              <w:right w:val="nil"/>
            </w:tcBorders>
            <w:shd w:val="clear" w:color="auto" w:fill="auto"/>
            <w:noWrap/>
            <w:vAlign w:val="center"/>
            <w:hideMark/>
          </w:tcPr>
          <w:p w14:paraId="19AF01E7" w14:textId="3F5C757B" w:rsidR="0045597A" w:rsidRPr="00730B1E" w:rsidRDefault="0045597A" w:rsidP="0045597A">
            <w:pPr>
              <w:spacing w:line="240" w:lineRule="auto"/>
              <w:jc w:val="center"/>
              <w:rPr>
                <w:rFonts w:eastAsia="Times New Roman"/>
                <w:sz w:val="20"/>
                <w:szCs w:val="20"/>
                <w:lang w:eastAsia="cs-CZ"/>
              </w:rPr>
            </w:pPr>
            <w:r w:rsidRPr="00730B1E">
              <w:rPr>
                <w:rFonts w:eastAsia="Times New Roman"/>
                <w:sz w:val="20"/>
                <w:szCs w:val="20"/>
                <w:lang w:eastAsia="cs-CZ"/>
              </w:rPr>
              <w:t>-1,4 p.b.</w:t>
            </w:r>
          </w:p>
        </w:tc>
      </w:tr>
      <w:tr w:rsidR="00B64E96" w:rsidRPr="00730B1E" w14:paraId="590F26C4" w14:textId="77777777" w:rsidTr="0045597A">
        <w:trPr>
          <w:trHeight w:val="330"/>
        </w:trPr>
        <w:tc>
          <w:tcPr>
            <w:tcW w:w="2780" w:type="dxa"/>
            <w:tcBorders>
              <w:top w:val="nil"/>
              <w:left w:val="nil"/>
              <w:bottom w:val="double" w:sz="6" w:space="0" w:color="auto"/>
              <w:right w:val="nil"/>
            </w:tcBorders>
            <w:shd w:val="clear" w:color="auto" w:fill="auto"/>
            <w:noWrap/>
            <w:vAlign w:val="bottom"/>
            <w:hideMark/>
          </w:tcPr>
          <w:p w14:paraId="223A1F0B" w14:textId="77777777" w:rsidR="0045597A" w:rsidRPr="00730B1E" w:rsidRDefault="0045597A" w:rsidP="0045597A">
            <w:pPr>
              <w:spacing w:line="240" w:lineRule="auto"/>
              <w:jc w:val="left"/>
              <w:rPr>
                <w:rFonts w:eastAsia="Times New Roman"/>
                <w:szCs w:val="24"/>
                <w:lang w:eastAsia="cs-CZ"/>
              </w:rPr>
            </w:pPr>
            <w:r w:rsidRPr="00730B1E">
              <w:rPr>
                <w:rFonts w:eastAsia="Times New Roman"/>
                <w:szCs w:val="24"/>
                <w:lang w:eastAsia="cs-CZ"/>
              </w:rPr>
              <w:t>KS Ostrava</w:t>
            </w:r>
          </w:p>
        </w:tc>
        <w:tc>
          <w:tcPr>
            <w:tcW w:w="1757" w:type="dxa"/>
            <w:tcBorders>
              <w:top w:val="nil"/>
              <w:left w:val="nil"/>
              <w:bottom w:val="double" w:sz="6" w:space="0" w:color="auto"/>
              <w:right w:val="nil"/>
            </w:tcBorders>
            <w:shd w:val="clear" w:color="auto" w:fill="auto"/>
            <w:noWrap/>
            <w:vAlign w:val="bottom"/>
            <w:hideMark/>
          </w:tcPr>
          <w:p w14:paraId="2AC59C8C" w14:textId="46BB3BAA" w:rsidR="0045597A" w:rsidRPr="00730B1E" w:rsidRDefault="0045597A" w:rsidP="0045597A">
            <w:pPr>
              <w:spacing w:line="240" w:lineRule="auto"/>
              <w:jc w:val="center"/>
              <w:rPr>
                <w:rFonts w:eastAsia="Times New Roman"/>
                <w:szCs w:val="24"/>
                <w:lang w:eastAsia="cs-CZ"/>
              </w:rPr>
            </w:pPr>
            <w:r w:rsidRPr="00730B1E">
              <w:rPr>
                <w:rFonts w:eastAsia="Times New Roman"/>
                <w:szCs w:val="24"/>
                <w:lang w:eastAsia="cs-CZ"/>
              </w:rPr>
              <w:t>87,55 %</w:t>
            </w:r>
          </w:p>
        </w:tc>
        <w:tc>
          <w:tcPr>
            <w:tcW w:w="1703" w:type="dxa"/>
            <w:tcBorders>
              <w:top w:val="nil"/>
              <w:left w:val="nil"/>
              <w:bottom w:val="nil"/>
              <w:right w:val="nil"/>
            </w:tcBorders>
            <w:shd w:val="clear" w:color="auto" w:fill="auto"/>
            <w:noWrap/>
            <w:vAlign w:val="center"/>
            <w:hideMark/>
          </w:tcPr>
          <w:p w14:paraId="7A137F7F" w14:textId="6518E304" w:rsidR="0045597A" w:rsidRPr="00730B1E" w:rsidRDefault="0045597A" w:rsidP="0045597A">
            <w:pPr>
              <w:spacing w:line="240" w:lineRule="auto"/>
              <w:jc w:val="center"/>
              <w:rPr>
                <w:rFonts w:eastAsia="Times New Roman"/>
                <w:sz w:val="20"/>
                <w:szCs w:val="20"/>
                <w:lang w:eastAsia="cs-CZ"/>
              </w:rPr>
            </w:pPr>
            <w:r w:rsidRPr="00730B1E">
              <w:rPr>
                <w:rFonts w:eastAsia="Times New Roman"/>
                <w:sz w:val="20"/>
                <w:szCs w:val="20"/>
                <w:lang w:eastAsia="cs-CZ"/>
              </w:rPr>
              <w:t>-5,9 p.b.</w:t>
            </w:r>
          </w:p>
        </w:tc>
      </w:tr>
      <w:tr w:rsidR="00B64E96" w:rsidRPr="00730B1E" w14:paraId="20CC00A0" w14:textId="77777777" w:rsidTr="0045597A">
        <w:trPr>
          <w:trHeight w:val="345"/>
        </w:trPr>
        <w:tc>
          <w:tcPr>
            <w:tcW w:w="2780" w:type="dxa"/>
            <w:tcBorders>
              <w:top w:val="nil"/>
              <w:left w:val="nil"/>
              <w:bottom w:val="double" w:sz="6" w:space="0" w:color="auto"/>
              <w:right w:val="nil"/>
            </w:tcBorders>
            <w:shd w:val="clear" w:color="auto" w:fill="auto"/>
            <w:noWrap/>
            <w:vAlign w:val="bottom"/>
            <w:hideMark/>
          </w:tcPr>
          <w:p w14:paraId="354F2251" w14:textId="77777777" w:rsidR="0045597A" w:rsidRPr="00730B1E" w:rsidRDefault="0045597A" w:rsidP="0045597A">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757" w:type="dxa"/>
            <w:tcBorders>
              <w:top w:val="nil"/>
              <w:left w:val="nil"/>
              <w:bottom w:val="double" w:sz="6" w:space="0" w:color="auto"/>
              <w:right w:val="nil"/>
            </w:tcBorders>
            <w:shd w:val="clear" w:color="auto" w:fill="auto"/>
            <w:noWrap/>
            <w:vAlign w:val="bottom"/>
            <w:hideMark/>
          </w:tcPr>
          <w:p w14:paraId="37E45398" w14:textId="72B2A514" w:rsidR="0045597A" w:rsidRPr="00730B1E" w:rsidRDefault="0045597A" w:rsidP="0045597A">
            <w:pPr>
              <w:spacing w:line="240" w:lineRule="auto"/>
              <w:jc w:val="center"/>
              <w:rPr>
                <w:rFonts w:eastAsia="Times New Roman"/>
                <w:b/>
                <w:bCs/>
                <w:szCs w:val="24"/>
                <w:lang w:eastAsia="cs-CZ"/>
              </w:rPr>
            </w:pPr>
            <w:r w:rsidRPr="00730B1E">
              <w:rPr>
                <w:rFonts w:eastAsia="Times New Roman"/>
                <w:b/>
                <w:bCs/>
                <w:szCs w:val="24"/>
                <w:lang w:eastAsia="cs-CZ"/>
              </w:rPr>
              <w:t>89,26 %</w:t>
            </w:r>
          </w:p>
        </w:tc>
        <w:tc>
          <w:tcPr>
            <w:tcW w:w="1703" w:type="dxa"/>
            <w:tcBorders>
              <w:top w:val="double" w:sz="6" w:space="0" w:color="auto"/>
              <w:left w:val="nil"/>
              <w:bottom w:val="double" w:sz="6" w:space="0" w:color="auto"/>
              <w:right w:val="nil"/>
            </w:tcBorders>
            <w:shd w:val="clear" w:color="auto" w:fill="auto"/>
            <w:noWrap/>
            <w:vAlign w:val="center"/>
            <w:hideMark/>
          </w:tcPr>
          <w:p w14:paraId="4D67C3B6" w14:textId="0EE5861D" w:rsidR="0045597A" w:rsidRPr="00730B1E" w:rsidRDefault="0045597A" w:rsidP="0045597A">
            <w:pPr>
              <w:spacing w:line="240" w:lineRule="auto"/>
              <w:jc w:val="center"/>
              <w:rPr>
                <w:rFonts w:eastAsia="Times New Roman"/>
                <w:b/>
                <w:bCs/>
                <w:sz w:val="20"/>
                <w:szCs w:val="20"/>
                <w:lang w:eastAsia="cs-CZ"/>
              </w:rPr>
            </w:pPr>
            <w:r w:rsidRPr="00730B1E">
              <w:rPr>
                <w:rFonts w:eastAsia="Times New Roman"/>
                <w:b/>
                <w:bCs/>
                <w:sz w:val="20"/>
                <w:szCs w:val="20"/>
                <w:lang w:eastAsia="cs-CZ"/>
              </w:rPr>
              <w:t>+0,4 p.b.</w:t>
            </w:r>
          </w:p>
        </w:tc>
      </w:tr>
      <w:tr w:rsidR="00B64E96" w:rsidRPr="00730B1E" w14:paraId="1F620652" w14:textId="77777777" w:rsidTr="0045597A">
        <w:trPr>
          <w:trHeight w:val="330"/>
        </w:trPr>
        <w:tc>
          <w:tcPr>
            <w:tcW w:w="2780" w:type="dxa"/>
            <w:tcBorders>
              <w:top w:val="nil"/>
              <w:left w:val="nil"/>
              <w:bottom w:val="nil"/>
              <w:right w:val="nil"/>
            </w:tcBorders>
            <w:shd w:val="clear" w:color="auto" w:fill="auto"/>
            <w:noWrap/>
            <w:vAlign w:val="bottom"/>
            <w:hideMark/>
          </w:tcPr>
          <w:p w14:paraId="4D40B5FE" w14:textId="77777777" w:rsidR="0045597A" w:rsidRPr="00730B1E" w:rsidRDefault="0045597A" w:rsidP="0045597A">
            <w:pPr>
              <w:spacing w:line="240" w:lineRule="auto"/>
              <w:jc w:val="right"/>
              <w:rPr>
                <w:rFonts w:eastAsia="Times New Roman"/>
                <w:b/>
                <w:bCs/>
                <w:sz w:val="20"/>
                <w:szCs w:val="20"/>
                <w:lang w:eastAsia="cs-CZ"/>
              </w:rPr>
            </w:pPr>
          </w:p>
        </w:tc>
        <w:tc>
          <w:tcPr>
            <w:tcW w:w="1757" w:type="dxa"/>
            <w:tcBorders>
              <w:top w:val="nil"/>
              <w:left w:val="nil"/>
              <w:bottom w:val="nil"/>
              <w:right w:val="nil"/>
            </w:tcBorders>
            <w:shd w:val="clear" w:color="auto" w:fill="auto"/>
            <w:noWrap/>
            <w:vAlign w:val="bottom"/>
            <w:hideMark/>
          </w:tcPr>
          <w:p w14:paraId="4692B022" w14:textId="77777777" w:rsidR="0045597A" w:rsidRPr="00DF07F3" w:rsidRDefault="0045597A" w:rsidP="0045597A">
            <w:pPr>
              <w:spacing w:line="240" w:lineRule="auto"/>
              <w:jc w:val="left"/>
              <w:rPr>
                <w:sz w:val="20"/>
              </w:rPr>
            </w:pPr>
          </w:p>
        </w:tc>
        <w:tc>
          <w:tcPr>
            <w:tcW w:w="1703" w:type="dxa"/>
            <w:tcBorders>
              <w:top w:val="nil"/>
              <w:left w:val="nil"/>
              <w:bottom w:val="nil"/>
              <w:right w:val="nil"/>
            </w:tcBorders>
            <w:shd w:val="clear" w:color="auto" w:fill="auto"/>
            <w:noWrap/>
            <w:vAlign w:val="bottom"/>
            <w:hideMark/>
          </w:tcPr>
          <w:p w14:paraId="047BE08C" w14:textId="77777777" w:rsidR="0045597A" w:rsidRPr="00DF07F3" w:rsidRDefault="0045597A" w:rsidP="0045597A">
            <w:pPr>
              <w:spacing w:line="240" w:lineRule="auto"/>
              <w:jc w:val="left"/>
              <w:rPr>
                <w:sz w:val="20"/>
              </w:rPr>
            </w:pPr>
          </w:p>
        </w:tc>
      </w:tr>
    </w:tbl>
    <w:p w14:paraId="5176BDC1" w14:textId="69623056" w:rsidR="002822C4" w:rsidRPr="00730B1E" w:rsidRDefault="0045597A" w:rsidP="008B2EFB">
      <w:pPr>
        <w:spacing w:after="160" w:line="259" w:lineRule="auto"/>
        <w:rPr>
          <w:bCs/>
        </w:rPr>
      </w:pPr>
      <w:r w:rsidRPr="00730B1E">
        <w:rPr>
          <w:bCs/>
        </w:rPr>
        <w:t xml:space="preserve">Míra odsouzení na úrovni jednotlivých soudů kolísá více než míra </w:t>
      </w:r>
      <w:r w:rsidR="00012C61" w:rsidRPr="00730B1E">
        <w:rPr>
          <w:bCs/>
        </w:rPr>
        <w:t>odsouzení</w:t>
      </w:r>
      <w:r w:rsidRPr="00730B1E">
        <w:rPr>
          <w:bCs/>
        </w:rPr>
        <w:t xml:space="preserve"> na úrovni jednotlivých krajů u okresních soudů. To je dáno menším počtem pozorování. V roce 2023 vykázal nejmenší míru </w:t>
      </w:r>
      <w:r w:rsidR="00447E08" w:rsidRPr="00730B1E">
        <w:rPr>
          <w:bCs/>
        </w:rPr>
        <w:t xml:space="preserve">odsouzení </w:t>
      </w:r>
      <w:r w:rsidRPr="00730B1E">
        <w:rPr>
          <w:bCs/>
        </w:rPr>
        <w:t>KS Hradec Králové (81,89 %)</w:t>
      </w:r>
      <w:r w:rsidR="0007114D" w:rsidRPr="00730B1E">
        <w:rPr>
          <w:bCs/>
        </w:rPr>
        <w:t>,</w:t>
      </w:r>
      <w:r w:rsidRPr="00730B1E">
        <w:rPr>
          <w:bCs/>
        </w:rPr>
        <w:t xml:space="preserve"> nejvyšší </w:t>
      </w:r>
      <w:r w:rsidR="0007114D" w:rsidRPr="00730B1E">
        <w:rPr>
          <w:bCs/>
        </w:rPr>
        <w:t xml:space="preserve">pak </w:t>
      </w:r>
      <w:r w:rsidRPr="00730B1E">
        <w:rPr>
          <w:bCs/>
        </w:rPr>
        <w:t>KS Brno (90,97 %).</w:t>
      </w:r>
    </w:p>
    <w:p w14:paraId="1EFC74EA" w14:textId="77777777" w:rsidR="0045597A" w:rsidRPr="00730B1E" w:rsidRDefault="0045597A" w:rsidP="0045597A">
      <w:pPr>
        <w:pStyle w:val="OdstavecASR"/>
        <w:keepNext/>
        <w:outlineLvl w:val="3"/>
        <w:rPr>
          <w:b/>
          <w:bCs/>
        </w:rPr>
      </w:pPr>
      <w:r w:rsidRPr="00730B1E">
        <w:rPr>
          <w:b/>
          <w:bCs/>
        </w:rPr>
        <w:t>Odsouzení k nepodmíněnému odnětí svobody (NEPO)</w:t>
      </w:r>
    </w:p>
    <w:p w14:paraId="561DF046" w14:textId="0D35DC95" w:rsidR="0045597A" w:rsidRPr="0054403B" w:rsidRDefault="0045597A" w:rsidP="0045597A">
      <w:pPr>
        <w:pStyle w:val="OdstavecASR"/>
      </w:pPr>
      <w:r w:rsidRPr="00730B1E">
        <w:t xml:space="preserve">Stejně jako u okresních soudů uvádíme tresty, za které je nejčastěji ukládaný NEPO. U krajských soudů se NEPO ukládá častěji a </w:t>
      </w:r>
      <w:r w:rsidR="00447E08" w:rsidRPr="00730B1E">
        <w:t>na delší dobu</w:t>
      </w:r>
      <w:r w:rsidRPr="00730B1E">
        <w:t xml:space="preserve"> než u OS, protože KS věcně přísluší závažnější trestné činy. Na druhou stranu </w:t>
      </w:r>
      <w:r w:rsidR="0007114D" w:rsidRPr="00730B1E">
        <w:t>je uložených trestů</w:t>
      </w:r>
      <w:r w:rsidRPr="00730B1E">
        <w:t xml:space="preserve"> řádově méně. V tabulce níže jsou uvedeny trestné činy, za které byl nejčastěji uložen NEPO v roce 2023. V případě souběhu trestných činů </w:t>
      </w:r>
      <w:r w:rsidRPr="0054403B">
        <w:lastRenderedPageBreak/>
        <w:t>je vždy vykázán nejzávažnější trestný čin. Dále je u každého trestného činu uvedena průměrná délka NEPO v měsících.</w:t>
      </w:r>
    </w:p>
    <w:p w14:paraId="60DE65E3" w14:textId="37FCEAC1" w:rsidR="0045597A" w:rsidRPr="0054403B" w:rsidRDefault="0045597A" w:rsidP="0045597A">
      <w:pPr>
        <w:pStyle w:val="Podnadpis"/>
        <w:rPr>
          <w:color w:val="auto"/>
        </w:rPr>
      </w:pPr>
      <w:bookmarkStart w:id="1009" w:name="_Toc144104301"/>
      <w:bookmarkStart w:id="1010" w:name="_Toc169251116"/>
      <w:bookmarkStart w:id="1011" w:name="_Toc174080802"/>
      <w:r w:rsidRPr="0054403B">
        <w:rPr>
          <w:color w:val="auto"/>
        </w:rPr>
        <w:t xml:space="preserve">Tabulka </w:t>
      </w:r>
      <w:r w:rsidRPr="0054403B">
        <w:rPr>
          <w:color w:val="auto"/>
        </w:rPr>
        <w:fldChar w:fldCharType="begin"/>
      </w:r>
      <w:r w:rsidRPr="0054403B">
        <w:rPr>
          <w:color w:val="auto"/>
        </w:rPr>
        <w:instrText xml:space="preserve"> SEQ Tabulka \* ARABIC </w:instrText>
      </w:r>
      <w:r w:rsidRPr="0054403B">
        <w:rPr>
          <w:color w:val="auto"/>
        </w:rPr>
        <w:fldChar w:fldCharType="separate"/>
      </w:r>
      <w:r w:rsidR="00056825">
        <w:rPr>
          <w:noProof/>
          <w:color w:val="auto"/>
        </w:rPr>
        <w:t>59</w:t>
      </w:r>
      <w:r w:rsidRPr="0054403B">
        <w:rPr>
          <w:noProof/>
          <w:color w:val="auto"/>
        </w:rPr>
        <w:fldChar w:fldCharType="end"/>
      </w:r>
      <w:r w:rsidRPr="0054403B">
        <w:rPr>
          <w:color w:val="auto"/>
        </w:rPr>
        <w:t>: KS – TČ, za které je ukládáno NEPO</w:t>
      </w:r>
      <w:bookmarkEnd w:id="1009"/>
      <w:r w:rsidR="00554BBA" w:rsidRPr="0054403B">
        <w:rPr>
          <w:color w:val="auto"/>
        </w:rPr>
        <w:t>, 2023</w:t>
      </w:r>
      <w:bookmarkEnd w:id="1010"/>
      <w:bookmarkEnd w:id="1011"/>
    </w:p>
    <w:tbl>
      <w:tblPr>
        <w:tblW w:w="9072" w:type="dxa"/>
        <w:tblCellMar>
          <w:left w:w="70" w:type="dxa"/>
          <w:right w:w="70" w:type="dxa"/>
        </w:tblCellMar>
        <w:tblLook w:val="04A0" w:firstRow="1" w:lastRow="0" w:firstColumn="1" w:lastColumn="0" w:noHBand="0" w:noVBand="1"/>
      </w:tblPr>
      <w:tblGrid>
        <w:gridCol w:w="6528"/>
        <w:gridCol w:w="1127"/>
        <w:gridCol w:w="1417"/>
      </w:tblGrid>
      <w:tr w:rsidR="00B64E96" w:rsidRPr="0054403B" w14:paraId="259714E4" w14:textId="77777777" w:rsidTr="0054403B">
        <w:trPr>
          <w:trHeight w:val="660"/>
        </w:trPr>
        <w:tc>
          <w:tcPr>
            <w:tcW w:w="6528" w:type="dxa"/>
            <w:tcBorders>
              <w:top w:val="double" w:sz="6" w:space="0" w:color="auto"/>
              <w:left w:val="nil"/>
              <w:bottom w:val="double" w:sz="6" w:space="0" w:color="auto"/>
              <w:right w:val="nil"/>
            </w:tcBorders>
            <w:shd w:val="clear" w:color="auto" w:fill="auto"/>
            <w:noWrap/>
            <w:vAlign w:val="center"/>
            <w:hideMark/>
          </w:tcPr>
          <w:p w14:paraId="2AFE5C2B" w14:textId="77777777" w:rsidR="008B2EFB" w:rsidRPr="0054403B" w:rsidRDefault="008B2EFB" w:rsidP="008B2EFB">
            <w:pPr>
              <w:spacing w:line="240" w:lineRule="auto"/>
              <w:jc w:val="center"/>
              <w:rPr>
                <w:b/>
              </w:rPr>
            </w:pPr>
            <w:r w:rsidRPr="0054403B">
              <w:rPr>
                <w:b/>
              </w:rPr>
              <w:t>Trestný čin</w:t>
            </w:r>
          </w:p>
        </w:tc>
        <w:tc>
          <w:tcPr>
            <w:tcW w:w="1127" w:type="dxa"/>
            <w:tcBorders>
              <w:top w:val="double" w:sz="6" w:space="0" w:color="auto"/>
              <w:left w:val="nil"/>
              <w:bottom w:val="double" w:sz="6" w:space="0" w:color="auto"/>
              <w:right w:val="nil"/>
            </w:tcBorders>
            <w:shd w:val="clear" w:color="auto" w:fill="auto"/>
            <w:noWrap/>
            <w:vAlign w:val="center"/>
            <w:hideMark/>
          </w:tcPr>
          <w:p w14:paraId="7B22AC4B" w14:textId="77777777" w:rsidR="008B2EFB" w:rsidRPr="0054403B" w:rsidRDefault="008B2EFB" w:rsidP="008B2EFB">
            <w:pPr>
              <w:spacing w:line="240" w:lineRule="auto"/>
              <w:jc w:val="center"/>
              <w:rPr>
                <w:b/>
              </w:rPr>
            </w:pPr>
            <w:r w:rsidRPr="0054403B">
              <w:rPr>
                <w:b/>
              </w:rPr>
              <w:t>Počet osob</w:t>
            </w:r>
          </w:p>
        </w:tc>
        <w:tc>
          <w:tcPr>
            <w:tcW w:w="1417" w:type="dxa"/>
            <w:tcBorders>
              <w:top w:val="double" w:sz="6" w:space="0" w:color="auto"/>
              <w:left w:val="nil"/>
              <w:bottom w:val="double" w:sz="6" w:space="0" w:color="auto"/>
              <w:right w:val="nil"/>
            </w:tcBorders>
            <w:shd w:val="clear" w:color="auto" w:fill="auto"/>
            <w:vAlign w:val="bottom"/>
            <w:hideMark/>
          </w:tcPr>
          <w:p w14:paraId="7C38AECE" w14:textId="77777777" w:rsidR="008B2EFB" w:rsidRPr="0054403B" w:rsidRDefault="008B2EFB" w:rsidP="008B2EFB">
            <w:pPr>
              <w:spacing w:line="240" w:lineRule="auto"/>
              <w:jc w:val="center"/>
              <w:rPr>
                <w:b/>
              </w:rPr>
            </w:pPr>
            <w:r w:rsidRPr="0054403B">
              <w:rPr>
                <w:b/>
              </w:rPr>
              <w:t>Prům. délka NEPO</w:t>
            </w:r>
          </w:p>
        </w:tc>
      </w:tr>
      <w:tr w:rsidR="00B64E96" w:rsidRPr="0054403B" w14:paraId="266E2367" w14:textId="77777777" w:rsidTr="0054403B">
        <w:trPr>
          <w:trHeight w:val="330"/>
        </w:trPr>
        <w:tc>
          <w:tcPr>
            <w:tcW w:w="6528" w:type="dxa"/>
            <w:tcBorders>
              <w:top w:val="single" w:sz="4" w:space="0" w:color="auto"/>
              <w:left w:val="nil"/>
              <w:bottom w:val="single" w:sz="4" w:space="0" w:color="auto"/>
              <w:right w:val="nil"/>
            </w:tcBorders>
            <w:shd w:val="clear" w:color="auto" w:fill="auto"/>
            <w:noWrap/>
            <w:vAlign w:val="bottom"/>
            <w:hideMark/>
          </w:tcPr>
          <w:p w14:paraId="300932A4" w14:textId="77777777" w:rsidR="008B2EFB" w:rsidRPr="0054403B" w:rsidRDefault="008B2EFB" w:rsidP="008B2EFB">
            <w:pPr>
              <w:spacing w:line="240" w:lineRule="auto"/>
              <w:jc w:val="left"/>
            </w:pPr>
            <w:r w:rsidRPr="0054403B">
              <w:t>Nedovolená výroba a jiné nakládání s omamnými látkami</w:t>
            </w:r>
          </w:p>
        </w:tc>
        <w:tc>
          <w:tcPr>
            <w:tcW w:w="1127" w:type="dxa"/>
            <w:tcBorders>
              <w:top w:val="nil"/>
              <w:left w:val="nil"/>
              <w:bottom w:val="nil"/>
              <w:right w:val="nil"/>
            </w:tcBorders>
            <w:shd w:val="clear" w:color="auto" w:fill="auto"/>
            <w:noWrap/>
            <w:vAlign w:val="bottom"/>
            <w:hideMark/>
          </w:tcPr>
          <w:p w14:paraId="6BE87FD0" w14:textId="77777777" w:rsidR="008B2EFB" w:rsidRPr="0054403B" w:rsidRDefault="008B2EFB" w:rsidP="008B2EFB">
            <w:pPr>
              <w:spacing w:line="240" w:lineRule="auto"/>
              <w:jc w:val="center"/>
            </w:pPr>
            <w:r w:rsidRPr="0054403B">
              <w:t>237</w:t>
            </w:r>
          </w:p>
        </w:tc>
        <w:tc>
          <w:tcPr>
            <w:tcW w:w="1417" w:type="dxa"/>
            <w:tcBorders>
              <w:top w:val="nil"/>
              <w:left w:val="nil"/>
              <w:bottom w:val="nil"/>
              <w:right w:val="nil"/>
            </w:tcBorders>
            <w:shd w:val="clear" w:color="auto" w:fill="auto"/>
            <w:noWrap/>
            <w:vAlign w:val="bottom"/>
            <w:hideMark/>
          </w:tcPr>
          <w:p w14:paraId="517C3E48" w14:textId="64802AE8" w:rsidR="008B2EFB" w:rsidRPr="0054403B" w:rsidRDefault="008B2EFB" w:rsidP="008B2EFB">
            <w:pPr>
              <w:spacing w:line="240" w:lineRule="auto"/>
              <w:jc w:val="center"/>
            </w:pPr>
            <w:r w:rsidRPr="0054403B">
              <w:t>83</w:t>
            </w:r>
            <w:r w:rsidR="009B49AA" w:rsidRPr="0054403B">
              <w:t>,</w:t>
            </w:r>
            <w:r w:rsidRPr="0054403B">
              <w:t>1</w:t>
            </w:r>
          </w:p>
        </w:tc>
      </w:tr>
      <w:tr w:rsidR="00B64E96" w:rsidRPr="0054403B" w14:paraId="33402869"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6A50F8B0" w14:textId="77777777" w:rsidR="008B2EFB" w:rsidRPr="0054403B" w:rsidRDefault="008B2EFB" w:rsidP="008B2EFB">
            <w:pPr>
              <w:spacing w:line="240" w:lineRule="auto"/>
              <w:jc w:val="left"/>
            </w:pPr>
            <w:r w:rsidRPr="0054403B">
              <w:t>Znásilnění</w:t>
            </w:r>
          </w:p>
        </w:tc>
        <w:tc>
          <w:tcPr>
            <w:tcW w:w="1127" w:type="dxa"/>
            <w:tcBorders>
              <w:top w:val="single" w:sz="4" w:space="0" w:color="auto"/>
              <w:left w:val="nil"/>
              <w:bottom w:val="single" w:sz="4" w:space="0" w:color="auto"/>
              <w:right w:val="nil"/>
            </w:tcBorders>
            <w:shd w:val="clear" w:color="auto" w:fill="auto"/>
            <w:noWrap/>
            <w:vAlign w:val="bottom"/>
            <w:hideMark/>
          </w:tcPr>
          <w:p w14:paraId="3F6162B6" w14:textId="77777777" w:rsidR="008B2EFB" w:rsidRPr="0054403B" w:rsidRDefault="008B2EFB" w:rsidP="008B2EFB">
            <w:pPr>
              <w:spacing w:line="240" w:lineRule="auto"/>
              <w:jc w:val="center"/>
            </w:pPr>
            <w:r w:rsidRPr="0054403B">
              <w:t>88</w:t>
            </w:r>
          </w:p>
        </w:tc>
        <w:tc>
          <w:tcPr>
            <w:tcW w:w="1417" w:type="dxa"/>
            <w:tcBorders>
              <w:top w:val="single" w:sz="4" w:space="0" w:color="auto"/>
              <w:left w:val="nil"/>
              <w:bottom w:val="single" w:sz="4" w:space="0" w:color="auto"/>
              <w:right w:val="nil"/>
            </w:tcBorders>
            <w:shd w:val="clear" w:color="auto" w:fill="auto"/>
            <w:noWrap/>
            <w:vAlign w:val="bottom"/>
            <w:hideMark/>
          </w:tcPr>
          <w:p w14:paraId="1614B3BD" w14:textId="6F2940BE" w:rsidR="008B2EFB" w:rsidRPr="0054403B" w:rsidRDefault="008B2EFB" w:rsidP="008B2EFB">
            <w:pPr>
              <w:spacing w:line="240" w:lineRule="auto"/>
              <w:jc w:val="center"/>
            </w:pPr>
            <w:r w:rsidRPr="0054403B">
              <w:t>69</w:t>
            </w:r>
            <w:r w:rsidR="009B49AA" w:rsidRPr="0054403B">
              <w:t>,</w:t>
            </w:r>
            <w:r w:rsidRPr="0054403B">
              <w:t>5</w:t>
            </w:r>
          </w:p>
        </w:tc>
      </w:tr>
      <w:tr w:rsidR="00B64E96" w:rsidRPr="0054403B" w14:paraId="277A5797"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3F5B1A50" w14:textId="77777777" w:rsidR="008B2EFB" w:rsidRPr="0054403B" w:rsidRDefault="008B2EFB" w:rsidP="008B2EFB">
            <w:pPr>
              <w:spacing w:line="240" w:lineRule="auto"/>
              <w:jc w:val="left"/>
            </w:pPr>
            <w:r w:rsidRPr="0054403B">
              <w:t>Vražda</w:t>
            </w:r>
          </w:p>
        </w:tc>
        <w:tc>
          <w:tcPr>
            <w:tcW w:w="1127" w:type="dxa"/>
            <w:tcBorders>
              <w:top w:val="nil"/>
              <w:left w:val="nil"/>
              <w:bottom w:val="single" w:sz="4" w:space="0" w:color="auto"/>
              <w:right w:val="nil"/>
            </w:tcBorders>
            <w:shd w:val="clear" w:color="auto" w:fill="auto"/>
            <w:noWrap/>
            <w:vAlign w:val="bottom"/>
            <w:hideMark/>
          </w:tcPr>
          <w:p w14:paraId="250D448F" w14:textId="77777777" w:rsidR="008B2EFB" w:rsidRPr="0054403B" w:rsidRDefault="008B2EFB" w:rsidP="008B2EFB">
            <w:pPr>
              <w:spacing w:line="240" w:lineRule="auto"/>
              <w:jc w:val="center"/>
            </w:pPr>
            <w:r w:rsidRPr="0054403B">
              <w:t>85</w:t>
            </w:r>
          </w:p>
        </w:tc>
        <w:tc>
          <w:tcPr>
            <w:tcW w:w="1417" w:type="dxa"/>
            <w:tcBorders>
              <w:top w:val="nil"/>
              <w:left w:val="nil"/>
              <w:bottom w:val="single" w:sz="4" w:space="0" w:color="auto"/>
              <w:right w:val="nil"/>
            </w:tcBorders>
            <w:shd w:val="clear" w:color="auto" w:fill="auto"/>
            <w:noWrap/>
            <w:vAlign w:val="bottom"/>
            <w:hideMark/>
          </w:tcPr>
          <w:p w14:paraId="090BDF18" w14:textId="1CA0192B" w:rsidR="008B2EFB" w:rsidRPr="0054403B" w:rsidRDefault="008B2EFB" w:rsidP="008B2EFB">
            <w:pPr>
              <w:spacing w:line="240" w:lineRule="auto"/>
              <w:jc w:val="center"/>
            </w:pPr>
            <w:r w:rsidRPr="0054403B">
              <w:t>149</w:t>
            </w:r>
            <w:r w:rsidR="009B49AA" w:rsidRPr="0054403B">
              <w:t>,</w:t>
            </w:r>
            <w:r w:rsidRPr="0054403B">
              <w:t>7</w:t>
            </w:r>
          </w:p>
        </w:tc>
      </w:tr>
      <w:tr w:rsidR="00B64E96" w:rsidRPr="0054403B" w14:paraId="26AA4DD9"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1B7EF45B" w14:textId="77777777" w:rsidR="008B2EFB" w:rsidRPr="0054403B" w:rsidRDefault="008B2EFB" w:rsidP="008B2EFB">
            <w:pPr>
              <w:spacing w:line="240" w:lineRule="auto"/>
              <w:jc w:val="left"/>
            </w:pPr>
            <w:r w:rsidRPr="0054403B">
              <w:t>Zkrácení daně, poplatku a podobné povinné platby</w:t>
            </w:r>
          </w:p>
        </w:tc>
        <w:tc>
          <w:tcPr>
            <w:tcW w:w="1127" w:type="dxa"/>
            <w:tcBorders>
              <w:top w:val="nil"/>
              <w:left w:val="nil"/>
              <w:bottom w:val="nil"/>
              <w:right w:val="nil"/>
            </w:tcBorders>
            <w:shd w:val="clear" w:color="auto" w:fill="auto"/>
            <w:noWrap/>
            <w:vAlign w:val="bottom"/>
            <w:hideMark/>
          </w:tcPr>
          <w:p w14:paraId="7070F8E2" w14:textId="77777777" w:rsidR="008B2EFB" w:rsidRPr="0054403B" w:rsidRDefault="008B2EFB" w:rsidP="008B2EFB">
            <w:pPr>
              <w:spacing w:line="240" w:lineRule="auto"/>
              <w:jc w:val="center"/>
            </w:pPr>
            <w:r w:rsidRPr="0054403B">
              <w:t>77</w:t>
            </w:r>
          </w:p>
        </w:tc>
        <w:tc>
          <w:tcPr>
            <w:tcW w:w="1417" w:type="dxa"/>
            <w:tcBorders>
              <w:top w:val="nil"/>
              <w:left w:val="nil"/>
              <w:bottom w:val="nil"/>
              <w:right w:val="nil"/>
            </w:tcBorders>
            <w:shd w:val="clear" w:color="auto" w:fill="auto"/>
            <w:noWrap/>
            <w:vAlign w:val="bottom"/>
            <w:hideMark/>
          </w:tcPr>
          <w:p w14:paraId="3908EE4A" w14:textId="1CA5B781" w:rsidR="008B2EFB" w:rsidRPr="0054403B" w:rsidRDefault="008B2EFB" w:rsidP="008B2EFB">
            <w:pPr>
              <w:spacing w:line="240" w:lineRule="auto"/>
              <w:jc w:val="center"/>
            </w:pPr>
            <w:r w:rsidRPr="0054403B">
              <w:t>66</w:t>
            </w:r>
            <w:r w:rsidR="009B49AA" w:rsidRPr="0054403B">
              <w:t>,</w:t>
            </w:r>
            <w:r w:rsidRPr="0054403B">
              <w:t>7</w:t>
            </w:r>
          </w:p>
        </w:tc>
      </w:tr>
      <w:tr w:rsidR="00B64E96" w:rsidRPr="0054403B" w14:paraId="33D22C19"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6E7943D0" w14:textId="77777777" w:rsidR="008B2EFB" w:rsidRPr="0054403B" w:rsidRDefault="008B2EFB" w:rsidP="008B2EFB">
            <w:pPr>
              <w:spacing w:line="240" w:lineRule="auto"/>
              <w:jc w:val="left"/>
            </w:pPr>
            <w:r w:rsidRPr="0054403B">
              <w:t>Ostatní</w:t>
            </w:r>
          </w:p>
        </w:tc>
        <w:tc>
          <w:tcPr>
            <w:tcW w:w="1127" w:type="dxa"/>
            <w:tcBorders>
              <w:top w:val="single" w:sz="4" w:space="0" w:color="auto"/>
              <w:left w:val="nil"/>
              <w:bottom w:val="single" w:sz="4" w:space="0" w:color="auto"/>
              <w:right w:val="nil"/>
            </w:tcBorders>
            <w:shd w:val="clear" w:color="auto" w:fill="auto"/>
            <w:noWrap/>
            <w:vAlign w:val="bottom"/>
            <w:hideMark/>
          </w:tcPr>
          <w:p w14:paraId="3D2B756E" w14:textId="77777777" w:rsidR="008B2EFB" w:rsidRPr="0054403B" w:rsidRDefault="008B2EFB" w:rsidP="008B2EFB">
            <w:pPr>
              <w:spacing w:line="240" w:lineRule="auto"/>
              <w:jc w:val="center"/>
            </w:pPr>
            <w:r w:rsidRPr="0054403B">
              <w:t>68</w:t>
            </w:r>
          </w:p>
        </w:tc>
        <w:tc>
          <w:tcPr>
            <w:tcW w:w="1417" w:type="dxa"/>
            <w:tcBorders>
              <w:top w:val="single" w:sz="4" w:space="0" w:color="auto"/>
              <w:left w:val="nil"/>
              <w:bottom w:val="single" w:sz="4" w:space="0" w:color="auto"/>
              <w:right w:val="nil"/>
            </w:tcBorders>
            <w:shd w:val="clear" w:color="auto" w:fill="auto"/>
            <w:noWrap/>
            <w:vAlign w:val="bottom"/>
            <w:hideMark/>
          </w:tcPr>
          <w:p w14:paraId="4744C1F8" w14:textId="19D627BB" w:rsidR="008B2EFB" w:rsidRPr="0054403B" w:rsidRDefault="008B2EFB" w:rsidP="008B2EFB">
            <w:pPr>
              <w:spacing w:line="240" w:lineRule="auto"/>
              <w:jc w:val="center"/>
            </w:pPr>
            <w:r w:rsidRPr="0054403B">
              <w:t>71</w:t>
            </w:r>
            <w:r w:rsidR="009B49AA" w:rsidRPr="0054403B">
              <w:t>,</w:t>
            </w:r>
            <w:r w:rsidRPr="0054403B">
              <w:t>9</w:t>
            </w:r>
          </w:p>
        </w:tc>
      </w:tr>
      <w:tr w:rsidR="00B64E96" w:rsidRPr="0054403B" w14:paraId="531EB4CC"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20F28F3B" w14:textId="77777777" w:rsidR="008B2EFB" w:rsidRPr="0054403B" w:rsidRDefault="008B2EFB" w:rsidP="008B2EFB">
            <w:pPr>
              <w:spacing w:line="240" w:lineRule="auto"/>
              <w:jc w:val="left"/>
            </w:pPr>
            <w:r w:rsidRPr="0054403B">
              <w:t>Podvod</w:t>
            </w:r>
          </w:p>
        </w:tc>
        <w:tc>
          <w:tcPr>
            <w:tcW w:w="1127" w:type="dxa"/>
            <w:tcBorders>
              <w:top w:val="nil"/>
              <w:left w:val="nil"/>
              <w:bottom w:val="single" w:sz="4" w:space="0" w:color="auto"/>
              <w:right w:val="nil"/>
            </w:tcBorders>
            <w:shd w:val="clear" w:color="auto" w:fill="auto"/>
            <w:noWrap/>
            <w:vAlign w:val="bottom"/>
            <w:hideMark/>
          </w:tcPr>
          <w:p w14:paraId="146D7D3D" w14:textId="77777777" w:rsidR="008B2EFB" w:rsidRPr="0054403B" w:rsidRDefault="008B2EFB" w:rsidP="008B2EFB">
            <w:pPr>
              <w:spacing w:line="240" w:lineRule="auto"/>
              <w:jc w:val="center"/>
            </w:pPr>
            <w:r w:rsidRPr="0054403B">
              <w:t>52</w:t>
            </w:r>
          </w:p>
        </w:tc>
        <w:tc>
          <w:tcPr>
            <w:tcW w:w="1417" w:type="dxa"/>
            <w:tcBorders>
              <w:top w:val="nil"/>
              <w:left w:val="nil"/>
              <w:bottom w:val="single" w:sz="4" w:space="0" w:color="auto"/>
              <w:right w:val="nil"/>
            </w:tcBorders>
            <w:shd w:val="clear" w:color="auto" w:fill="auto"/>
            <w:noWrap/>
            <w:vAlign w:val="bottom"/>
            <w:hideMark/>
          </w:tcPr>
          <w:p w14:paraId="476A467B" w14:textId="0504D703" w:rsidR="008B2EFB" w:rsidRPr="0054403B" w:rsidRDefault="008B2EFB" w:rsidP="008B2EFB">
            <w:pPr>
              <w:spacing w:line="240" w:lineRule="auto"/>
              <w:jc w:val="center"/>
            </w:pPr>
            <w:r w:rsidRPr="0054403B">
              <w:t>58</w:t>
            </w:r>
            <w:r w:rsidR="009B49AA" w:rsidRPr="0054403B">
              <w:t>,</w:t>
            </w:r>
            <w:r w:rsidRPr="0054403B">
              <w:t>6</w:t>
            </w:r>
          </w:p>
        </w:tc>
      </w:tr>
      <w:tr w:rsidR="00B64E96" w:rsidRPr="0054403B" w14:paraId="6323E29C"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5C0AE753" w14:textId="77777777" w:rsidR="008B2EFB" w:rsidRPr="0054403B" w:rsidRDefault="008B2EFB" w:rsidP="008B2EFB">
            <w:pPr>
              <w:spacing w:line="240" w:lineRule="auto"/>
              <w:jc w:val="left"/>
            </w:pPr>
            <w:r w:rsidRPr="0054403B">
              <w:t>Těžké ublížení na zdraví</w:t>
            </w:r>
          </w:p>
        </w:tc>
        <w:tc>
          <w:tcPr>
            <w:tcW w:w="1127" w:type="dxa"/>
            <w:tcBorders>
              <w:top w:val="nil"/>
              <w:left w:val="nil"/>
              <w:bottom w:val="single" w:sz="4" w:space="0" w:color="auto"/>
              <w:right w:val="nil"/>
            </w:tcBorders>
            <w:shd w:val="clear" w:color="auto" w:fill="auto"/>
            <w:noWrap/>
            <w:vAlign w:val="bottom"/>
            <w:hideMark/>
          </w:tcPr>
          <w:p w14:paraId="2959469A" w14:textId="77777777" w:rsidR="008B2EFB" w:rsidRPr="0054403B" w:rsidRDefault="008B2EFB" w:rsidP="008B2EFB">
            <w:pPr>
              <w:spacing w:line="240" w:lineRule="auto"/>
              <w:jc w:val="center"/>
            </w:pPr>
            <w:r w:rsidRPr="0054403B">
              <w:t>41</w:t>
            </w:r>
          </w:p>
        </w:tc>
        <w:tc>
          <w:tcPr>
            <w:tcW w:w="1417" w:type="dxa"/>
            <w:tcBorders>
              <w:top w:val="nil"/>
              <w:left w:val="nil"/>
              <w:bottom w:val="single" w:sz="4" w:space="0" w:color="auto"/>
              <w:right w:val="nil"/>
            </w:tcBorders>
            <w:shd w:val="clear" w:color="auto" w:fill="auto"/>
            <w:noWrap/>
            <w:vAlign w:val="bottom"/>
            <w:hideMark/>
          </w:tcPr>
          <w:p w14:paraId="60F6478D" w14:textId="51906CC4" w:rsidR="008B2EFB" w:rsidRPr="0054403B" w:rsidRDefault="008B2EFB" w:rsidP="008B2EFB">
            <w:pPr>
              <w:spacing w:line="240" w:lineRule="auto"/>
              <w:jc w:val="center"/>
            </w:pPr>
            <w:r w:rsidRPr="0054403B">
              <w:t>98</w:t>
            </w:r>
            <w:r w:rsidR="009B49AA" w:rsidRPr="0054403B">
              <w:t>,</w:t>
            </w:r>
            <w:r w:rsidRPr="0054403B">
              <w:t>7</w:t>
            </w:r>
          </w:p>
        </w:tc>
      </w:tr>
      <w:tr w:rsidR="00B64E96" w:rsidRPr="0054403B" w14:paraId="1C9FB917"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72B95435" w14:textId="77777777" w:rsidR="008B2EFB" w:rsidRPr="0054403B" w:rsidRDefault="008B2EFB" w:rsidP="008B2EFB">
            <w:pPr>
              <w:spacing w:line="240" w:lineRule="auto"/>
              <w:jc w:val="left"/>
            </w:pPr>
            <w:r w:rsidRPr="0054403B">
              <w:t>Loupež</w:t>
            </w:r>
          </w:p>
        </w:tc>
        <w:tc>
          <w:tcPr>
            <w:tcW w:w="1127" w:type="dxa"/>
            <w:tcBorders>
              <w:top w:val="nil"/>
              <w:left w:val="nil"/>
              <w:bottom w:val="single" w:sz="4" w:space="0" w:color="auto"/>
              <w:right w:val="nil"/>
            </w:tcBorders>
            <w:shd w:val="clear" w:color="auto" w:fill="auto"/>
            <w:noWrap/>
            <w:vAlign w:val="bottom"/>
            <w:hideMark/>
          </w:tcPr>
          <w:p w14:paraId="4AE077C7" w14:textId="77777777" w:rsidR="008B2EFB" w:rsidRPr="0054403B" w:rsidRDefault="008B2EFB" w:rsidP="008B2EFB">
            <w:pPr>
              <w:spacing w:line="240" w:lineRule="auto"/>
              <w:jc w:val="center"/>
            </w:pPr>
            <w:r w:rsidRPr="0054403B">
              <w:t>27</w:t>
            </w:r>
          </w:p>
        </w:tc>
        <w:tc>
          <w:tcPr>
            <w:tcW w:w="1417" w:type="dxa"/>
            <w:tcBorders>
              <w:top w:val="nil"/>
              <w:left w:val="nil"/>
              <w:bottom w:val="single" w:sz="4" w:space="0" w:color="auto"/>
              <w:right w:val="nil"/>
            </w:tcBorders>
            <w:shd w:val="clear" w:color="auto" w:fill="auto"/>
            <w:noWrap/>
            <w:vAlign w:val="bottom"/>
            <w:hideMark/>
          </w:tcPr>
          <w:p w14:paraId="205FF752" w14:textId="7D69083D" w:rsidR="008B2EFB" w:rsidRPr="0054403B" w:rsidRDefault="008B2EFB" w:rsidP="008B2EFB">
            <w:pPr>
              <w:spacing w:line="240" w:lineRule="auto"/>
              <w:jc w:val="center"/>
            </w:pPr>
            <w:r w:rsidRPr="0054403B">
              <w:t>70</w:t>
            </w:r>
            <w:r w:rsidR="009B49AA" w:rsidRPr="0054403B">
              <w:t>,</w:t>
            </w:r>
            <w:r w:rsidRPr="0054403B">
              <w:t>8</w:t>
            </w:r>
          </w:p>
        </w:tc>
      </w:tr>
      <w:tr w:rsidR="00B64E96" w:rsidRPr="0054403B" w14:paraId="15465B46" w14:textId="77777777" w:rsidTr="0054403B">
        <w:trPr>
          <w:trHeight w:val="315"/>
        </w:trPr>
        <w:tc>
          <w:tcPr>
            <w:tcW w:w="6528" w:type="dxa"/>
            <w:tcBorders>
              <w:top w:val="nil"/>
              <w:left w:val="nil"/>
              <w:bottom w:val="nil"/>
              <w:right w:val="nil"/>
            </w:tcBorders>
            <w:shd w:val="clear" w:color="auto" w:fill="auto"/>
            <w:noWrap/>
            <w:vAlign w:val="bottom"/>
            <w:hideMark/>
          </w:tcPr>
          <w:p w14:paraId="368C78F4" w14:textId="77777777" w:rsidR="008B2EFB" w:rsidRPr="0054403B" w:rsidRDefault="008B2EFB" w:rsidP="008B2EFB">
            <w:pPr>
              <w:spacing w:line="240" w:lineRule="auto"/>
              <w:jc w:val="left"/>
            </w:pPr>
            <w:r w:rsidRPr="0054403B">
              <w:t>Úvěrový podvod</w:t>
            </w:r>
          </w:p>
        </w:tc>
        <w:tc>
          <w:tcPr>
            <w:tcW w:w="1127" w:type="dxa"/>
            <w:tcBorders>
              <w:top w:val="nil"/>
              <w:left w:val="nil"/>
              <w:bottom w:val="nil"/>
              <w:right w:val="nil"/>
            </w:tcBorders>
            <w:shd w:val="clear" w:color="auto" w:fill="auto"/>
            <w:noWrap/>
            <w:vAlign w:val="bottom"/>
            <w:hideMark/>
          </w:tcPr>
          <w:p w14:paraId="4608FB10" w14:textId="77777777" w:rsidR="008B2EFB" w:rsidRPr="0054403B" w:rsidRDefault="008B2EFB" w:rsidP="008B2EFB">
            <w:pPr>
              <w:spacing w:line="240" w:lineRule="auto"/>
              <w:jc w:val="center"/>
            </w:pPr>
            <w:r w:rsidRPr="0054403B">
              <w:t>23</w:t>
            </w:r>
          </w:p>
        </w:tc>
        <w:tc>
          <w:tcPr>
            <w:tcW w:w="1417" w:type="dxa"/>
            <w:tcBorders>
              <w:top w:val="nil"/>
              <w:left w:val="nil"/>
              <w:bottom w:val="nil"/>
              <w:right w:val="nil"/>
            </w:tcBorders>
            <w:shd w:val="clear" w:color="auto" w:fill="auto"/>
            <w:noWrap/>
            <w:vAlign w:val="bottom"/>
            <w:hideMark/>
          </w:tcPr>
          <w:p w14:paraId="61946728" w14:textId="37D9E691" w:rsidR="008B2EFB" w:rsidRPr="0054403B" w:rsidRDefault="008B2EFB" w:rsidP="008B2EFB">
            <w:pPr>
              <w:spacing w:line="240" w:lineRule="auto"/>
              <w:jc w:val="center"/>
            </w:pPr>
            <w:r w:rsidRPr="0054403B">
              <w:t>61</w:t>
            </w:r>
            <w:r w:rsidR="009B49AA" w:rsidRPr="0054403B">
              <w:t>,</w:t>
            </w:r>
            <w:r w:rsidRPr="0054403B">
              <w:t>8</w:t>
            </w:r>
          </w:p>
        </w:tc>
      </w:tr>
      <w:tr w:rsidR="00B64E96" w:rsidRPr="0054403B" w14:paraId="0998E70B" w14:textId="77777777" w:rsidTr="0054403B">
        <w:trPr>
          <w:trHeight w:val="315"/>
        </w:trPr>
        <w:tc>
          <w:tcPr>
            <w:tcW w:w="6528" w:type="dxa"/>
            <w:tcBorders>
              <w:top w:val="single" w:sz="4" w:space="0" w:color="auto"/>
              <w:left w:val="nil"/>
              <w:bottom w:val="nil"/>
              <w:right w:val="nil"/>
            </w:tcBorders>
            <w:shd w:val="clear" w:color="auto" w:fill="auto"/>
            <w:noWrap/>
            <w:vAlign w:val="bottom"/>
            <w:hideMark/>
          </w:tcPr>
          <w:p w14:paraId="47285BEE" w14:textId="77777777" w:rsidR="008B2EFB" w:rsidRPr="0054403B" w:rsidRDefault="008B2EFB" w:rsidP="008B2EFB">
            <w:pPr>
              <w:spacing w:line="240" w:lineRule="auto"/>
              <w:jc w:val="left"/>
            </w:pPr>
            <w:r w:rsidRPr="0054403B">
              <w:t>Neoprávněné opatření, padělání a pozměnění platebního prostředku</w:t>
            </w:r>
          </w:p>
        </w:tc>
        <w:tc>
          <w:tcPr>
            <w:tcW w:w="1127" w:type="dxa"/>
            <w:tcBorders>
              <w:top w:val="single" w:sz="4" w:space="0" w:color="auto"/>
              <w:left w:val="nil"/>
              <w:bottom w:val="nil"/>
              <w:right w:val="nil"/>
            </w:tcBorders>
            <w:shd w:val="clear" w:color="auto" w:fill="auto"/>
            <w:noWrap/>
            <w:vAlign w:val="bottom"/>
            <w:hideMark/>
          </w:tcPr>
          <w:p w14:paraId="725B8895" w14:textId="77777777" w:rsidR="008B2EFB" w:rsidRPr="0054403B" w:rsidRDefault="008B2EFB" w:rsidP="008B2EFB">
            <w:pPr>
              <w:spacing w:line="240" w:lineRule="auto"/>
              <w:jc w:val="center"/>
            </w:pPr>
            <w:r w:rsidRPr="0054403B">
              <w:t>17</w:t>
            </w:r>
          </w:p>
        </w:tc>
        <w:tc>
          <w:tcPr>
            <w:tcW w:w="1417" w:type="dxa"/>
            <w:tcBorders>
              <w:top w:val="single" w:sz="4" w:space="0" w:color="auto"/>
              <w:left w:val="nil"/>
              <w:bottom w:val="nil"/>
              <w:right w:val="nil"/>
            </w:tcBorders>
            <w:shd w:val="clear" w:color="auto" w:fill="auto"/>
            <w:noWrap/>
            <w:vAlign w:val="bottom"/>
            <w:hideMark/>
          </w:tcPr>
          <w:p w14:paraId="3C93B523" w14:textId="77777777" w:rsidR="008B2EFB" w:rsidRPr="0054403B" w:rsidRDefault="008B2EFB" w:rsidP="008B2EFB">
            <w:pPr>
              <w:spacing w:line="240" w:lineRule="auto"/>
              <w:jc w:val="center"/>
            </w:pPr>
            <w:r w:rsidRPr="0054403B">
              <w:t>57</w:t>
            </w:r>
          </w:p>
        </w:tc>
      </w:tr>
      <w:tr w:rsidR="00B64E96" w:rsidRPr="0054403B" w14:paraId="677D7C0B" w14:textId="77777777" w:rsidTr="0054403B">
        <w:trPr>
          <w:trHeight w:val="315"/>
        </w:trPr>
        <w:tc>
          <w:tcPr>
            <w:tcW w:w="6528" w:type="dxa"/>
            <w:tcBorders>
              <w:top w:val="single" w:sz="4" w:space="0" w:color="auto"/>
              <w:left w:val="nil"/>
              <w:bottom w:val="single" w:sz="4" w:space="0" w:color="auto"/>
              <w:right w:val="nil"/>
            </w:tcBorders>
            <w:shd w:val="clear" w:color="auto" w:fill="auto"/>
            <w:noWrap/>
            <w:vAlign w:val="bottom"/>
            <w:hideMark/>
          </w:tcPr>
          <w:p w14:paraId="49E456FB" w14:textId="77777777" w:rsidR="008B2EFB" w:rsidRPr="0054403B" w:rsidRDefault="008B2EFB" w:rsidP="008B2EFB">
            <w:pPr>
              <w:spacing w:line="240" w:lineRule="auto"/>
              <w:jc w:val="left"/>
            </w:pPr>
            <w:r w:rsidRPr="0054403B">
              <w:t>Zpronevěra</w:t>
            </w:r>
          </w:p>
        </w:tc>
        <w:tc>
          <w:tcPr>
            <w:tcW w:w="1127" w:type="dxa"/>
            <w:tcBorders>
              <w:top w:val="single" w:sz="4" w:space="0" w:color="auto"/>
              <w:left w:val="nil"/>
              <w:bottom w:val="nil"/>
              <w:right w:val="nil"/>
            </w:tcBorders>
            <w:shd w:val="clear" w:color="auto" w:fill="auto"/>
            <w:noWrap/>
            <w:vAlign w:val="bottom"/>
            <w:hideMark/>
          </w:tcPr>
          <w:p w14:paraId="57E9A7AF" w14:textId="77777777" w:rsidR="008B2EFB" w:rsidRPr="0054403B" w:rsidRDefault="008B2EFB" w:rsidP="008B2EFB">
            <w:pPr>
              <w:spacing w:line="240" w:lineRule="auto"/>
              <w:jc w:val="center"/>
            </w:pPr>
            <w:r w:rsidRPr="0054403B">
              <w:t>14</w:t>
            </w:r>
          </w:p>
        </w:tc>
        <w:tc>
          <w:tcPr>
            <w:tcW w:w="1417" w:type="dxa"/>
            <w:tcBorders>
              <w:top w:val="single" w:sz="4" w:space="0" w:color="auto"/>
              <w:left w:val="nil"/>
              <w:bottom w:val="nil"/>
              <w:right w:val="nil"/>
            </w:tcBorders>
            <w:shd w:val="clear" w:color="auto" w:fill="auto"/>
            <w:noWrap/>
            <w:vAlign w:val="bottom"/>
            <w:hideMark/>
          </w:tcPr>
          <w:p w14:paraId="39D2CFDF" w14:textId="6B66954E" w:rsidR="008B2EFB" w:rsidRPr="0054403B" w:rsidRDefault="008B2EFB" w:rsidP="008B2EFB">
            <w:pPr>
              <w:spacing w:line="240" w:lineRule="auto"/>
              <w:jc w:val="center"/>
            </w:pPr>
            <w:r w:rsidRPr="0054403B">
              <w:t>60</w:t>
            </w:r>
            <w:r w:rsidR="009B49AA" w:rsidRPr="0054403B">
              <w:t>,</w:t>
            </w:r>
            <w:r w:rsidRPr="0054403B">
              <w:t>4</w:t>
            </w:r>
          </w:p>
        </w:tc>
      </w:tr>
      <w:tr w:rsidR="00B64E96" w:rsidRPr="0054403B" w14:paraId="646AFA56"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540CB0A0" w14:textId="77777777" w:rsidR="008B2EFB" w:rsidRPr="0054403B" w:rsidRDefault="008B2EFB" w:rsidP="008B2EFB">
            <w:pPr>
              <w:spacing w:line="240" w:lineRule="auto"/>
              <w:jc w:val="left"/>
            </w:pPr>
            <w:r w:rsidRPr="0054403B">
              <w:t>Vydírání</w:t>
            </w:r>
          </w:p>
        </w:tc>
        <w:tc>
          <w:tcPr>
            <w:tcW w:w="1127" w:type="dxa"/>
            <w:tcBorders>
              <w:top w:val="single" w:sz="4" w:space="0" w:color="auto"/>
              <w:left w:val="nil"/>
              <w:bottom w:val="nil"/>
              <w:right w:val="nil"/>
            </w:tcBorders>
            <w:shd w:val="clear" w:color="auto" w:fill="auto"/>
            <w:noWrap/>
            <w:vAlign w:val="bottom"/>
            <w:hideMark/>
          </w:tcPr>
          <w:p w14:paraId="05E0C2EB" w14:textId="77777777" w:rsidR="008B2EFB" w:rsidRPr="0054403B" w:rsidRDefault="008B2EFB" w:rsidP="008B2EFB">
            <w:pPr>
              <w:spacing w:line="240" w:lineRule="auto"/>
              <w:jc w:val="center"/>
            </w:pPr>
            <w:r w:rsidRPr="0054403B">
              <w:t>13</w:t>
            </w:r>
          </w:p>
        </w:tc>
        <w:tc>
          <w:tcPr>
            <w:tcW w:w="1417" w:type="dxa"/>
            <w:tcBorders>
              <w:top w:val="single" w:sz="4" w:space="0" w:color="auto"/>
              <w:left w:val="nil"/>
              <w:bottom w:val="nil"/>
              <w:right w:val="nil"/>
            </w:tcBorders>
            <w:shd w:val="clear" w:color="auto" w:fill="auto"/>
            <w:noWrap/>
            <w:vAlign w:val="bottom"/>
            <w:hideMark/>
          </w:tcPr>
          <w:p w14:paraId="1AA26E37" w14:textId="543BF58B" w:rsidR="008B2EFB" w:rsidRPr="0054403B" w:rsidRDefault="008B2EFB" w:rsidP="008B2EFB">
            <w:pPr>
              <w:spacing w:line="240" w:lineRule="auto"/>
              <w:jc w:val="center"/>
            </w:pPr>
            <w:r w:rsidRPr="0054403B">
              <w:t>43</w:t>
            </w:r>
            <w:r w:rsidR="009B49AA" w:rsidRPr="0054403B">
              <w:t>,</w:t>
            </w:r>
            <w:r w:rsidRPr="0054403B">
              <w:t>7</w:t>
            </w:r>
          </w:p>
        </w:tc>
      </w:tr>
      <w:tr w:rsidR="00B64E96" w:rsidRPr="0054403B" w14:paraId="46323913" w14:textId="77777777" w:rsidTr="0054403B">
        <w:trPr>
          <w:trHeight w:val="315"/>
        </w:trPr>
        <w:tc>
          <w:tcPr>
            <w:tcW w:w="6528" w:type="dxa"/>
            <w:tcBorders>
              <w:top w:val="nil"/>
              <w:left w:val="nil"/>
              <w:bottom w:val="single" w:sz="4" w:space="0" w:color="auto"/>
              <w:right w:val="nil"/>
            </w:tcBorders>
            <w:shd w:val="clear" w:color="auto" w:fill="auto"/>
            <w:noWrap/>
            <w:vAlign w:val="bottom"/>
            <w:hideMark/>
          </w:tcPr>
          <w:p w14:paraId="7712A495" w14:textId="77777777" w:rsidR="008B2EFB" w:rsidRPr="0054403B" w:rsidRDefault="008B2EFB" w:rsidP="008B2EFB">
            <w:pPr>
              <w:spacing w:line="240" w:lineRule="auto"/>
              <w:jc w:val="left"/>
            </w:pPr>
            <w:r w:rsidRPr="0054403B">
              <w:t>Krádež</w:t>
            </w:r>
          </w:p>
        </w:tc>
        <w:tc>
          <w:tcPr>
            <w:tcW w:w="1127" w:type="dxa"/>
            <w:tcBorders>
              <w:top w:val="single" w:sz="4" w:space="0" w:color="auto"/>
              <w:left w:val="nil"/>
              <w:bottom w:val="nil"/>
              <w:right w:val="nil"/>
            </w:tcBorders>
            <w:shd w:val="clear" w:color="auto" w:fill="auto"/>
            <w:noWrap/>
            <w:vAlign w:val="bottom"/>
            <w:hideMark/>
          </w:tcPr>
          <w:p w14:paraId="2140E530" w14:textId="77777777" w:rsidR="008B2EFB" w:rsidRPr="0054403B" w:rsidRDefault="008B2EFB" w:rsidP="008B2EFB">
            <w:pPr>
              <w:spacing w:line="240" w:lineRule="auto"/>
              <w:jc w:val="center"/>
            </w:pPr>
            <w:r w:rsidRPr="0054403B">
              <w:t>12</w:t>
            </w:r>
          </w:p>
        </w:tc>
        <w:tc>
          <w:tcPr>
            <w:tcW w:w="1417" w:type="dxa"/>
            <w:tcBorders>
              <w:top w:val="single" w:sz="4" w:space="0" w:color="auto"/>
              <w:left w:val="nil"/>
              <w:bottom w:val="nil"/>
              <w:right w:val="nil"/>
            </w:tcBorders>
            <w:shd w:val="clear" w:color="auto" w:fill="auto"/>
            <w:noWrap/>
            <w:vAlign w:val="bottom"/>
            <w:hideMark/>
          </w:tcPr>
          <w:p w14:paraId="51A51C0E" w14:textId="271E736D" w:rsidR="008B2EFB" w:rsidRPr="0054403B" w:rsidRDefault="008B2EFB" w:rsidP="008B2EFB">
            <w:pPr>
              <w:spacing w:line="240" w:lineRule="auto"/>
              <w:jc w:val="center"/>
            </w:pPr>
            <w:r w:rsidRPr="0054403B">
              <w:t>52</w:t>
            </w:r>
            <w:r w:rsidR="009B49AA" w:rsidRPr="0054403B">
              <w:t>,</w:t>
            </w:r>
            <w:r w:rsidRPr="0054403B">
              <w:t>9</w:t>
            </w:r>
          </w:p>
        </w:tc>
      </w:tr>
      <w:tr w:rsidR="00B64E96" w:rsidRPr="0054403B" w14:paraId="2F16850B" w14:textId="77777777" w:rsidTr="0054403B">
        <w:trPr>
          <w:trHeight w:val="330"/>
        </w:trPr>
        <w:tc>
          <w:tcPr>
            <w:tcW w:w="6528" w:type="dxa"/>
            <w:tcBorders>
              <w:top w:val="nil"/>
              <w:left w:val="nil"/>
              <w:bottom w:val="double" w:sz="6" w:space="0" w:color="auto"/>
              <w:right w:val="nil"/>
            </w:tcBorders>
            <w:shd w:val="clear" w:color="auto" w:fill="auto"/>
            <w:noWrap/>
            <w:vAlign w:val="bottom"/>
            <w:hideMark/>
          </w:tcPr>
          <w:p w14:paraId="0FC46EA3" w14:textId="77777777" w:rsidR="008B2EFB" w:rsidRPr="0054403B" w:rsidRDefault="008B2EFB" w:rsidP="008B2EFB">
            <w:pPr>
              <w:spacing w:line="240" w:lineRule="auto"/>
              <w:jc w:val="left"/>
            </w:pPr>
            <w:r w:rsidRPr="0054403B">
              <w:t>Dotační podvod</w:t>
            </w:r>
          </w:p>
        </w:tc>
        <w:tc>
          <w:tcPr>
            <w:tcW w:w="1127" w:type="dxa"/>
            <w:tcBorders>
              <w:top w:val="single" w:sz="4" w:space="0" w:color="auto"/>
              <w:left w:val="nil"/>
              <w:bottom w:val="double" w:sz="6" w:space="0" w:color="auto"/>
              <w:right w:val="nil"/>
            </w:tcBorders>
            <w:shd w:val="clear" w:color="auto" w:fill="auto"/>
            <w:noWrap/>
            <w:vAlign w:val="bottom"/>
            <w:hideMark/>
          </w:tcPr>
          <w:p w14:paraId="7DD529CB" w14:textId="77777777" w:rsidR="008B2EFB" w:rsidRPr="0054403B" w:rsidRDefault="008B2EFB" w:rsidP="008B2EFB">
            <w:pPr>
              <w:spacing w:line="240" w:lineRule="auto"/>
              <w:jc w:val="center"/>
            </w:pPr>
            <w:r w:rsidRPr="0054403B">
              <w:t>12</w:t>
            </w:r>
          </w:p>
        </w:tc>
        <w:tc>
          <w:tcPr>
            <w:tcW w:w="1417" w:type="dxa"/>
            <w:tcBorders>
              <w:top w:val="single" w:sz="4" w:space="0" w:color="auto"/>
              <w:left w:val="nil"/>
              <w:bottom w:val="double" w:sz="6" w:space="0" w:color="auto"/>
              <w:right w:val="nil"/>
            </w:tcBorders>
            <w:shd w:val="clear" w:color="auto" w:fill="auto"/>
            <w:noWrap/>
            <w:vAlign w:val="bottom"/>
            <w:hideMark/>
          </w:tcPr>
          <w:p w14:paraId="75B154FE" w14:textId="45E8F63C" w:rsidR="008B2EFB" w:rsidRPr="0054403B" w:rsidRDefault="008B2EFB" w:rsidP="008B2EFB">
            <w:pPr>
              <w:spacing w:line="240" w:lineRule="auto"/>
              <w:jc w:val="center"/>
            </w:pPr>
            <w:r w:rsidRPr="0054403B">
              <w:t>85</w:t>
            </w:r>
            <w:r w:rsidR="009B49AA" w:rsidRPr="0054403B">
              <w:t>,</w:t>
            </w:r>
            <w:r w:rsidRPr="0054403B">
              <w:t>9</w:t>
            </w:r>
          </w:p>
        </w:tc>
      </w:tr>
      <w:tr w:rsidR="008B2EFB" w:rsidRPr="0054403B" w14:paraId="119F9E7E" w14:textId="77777777" w:rsidTr="0054403B">
        <w:trPr>
          <w:trHeight w:val="345"/>
        </w:trPr>
        <w:tc>
          <w:tcPr>
            <w:tcW w:w="6528" w:type="dxa"/>
            <w:tcBorders>
              <w:top w:val="nil"/>
              <w:left w:val="nil"/>
              <w:bottom w:val="double" w:sz="6" w:space="0" w:color="auto"/>
              <w:right w:val="nil"/>
            </w:tcBorders>
            <w:shd w:val="clear" w:color="auto" w:fill="auto"/>
            <w:noWrap/>
            <w:vAlign w:val="bottom"/>
            <w:hideMark/>
          </w:tcPr>
          <w:p w14:paraId="0DFAB8B6" w14:textId="77777777" w:rsidR="008B2EFB" w:rsidRPr="0054403B" w:rsidRDefault="008B2EFB" w:rsidP="008B2EFB">
            <w:pPr>
              <w:spacing w:line="240" w:lineRule="auto"/>
              <w:jc w:val="left"/>
              <w:rPr>
                <w:b/>
              </w:rPr>
            </w:pPr>
            <w:r w:rsidRPr="0054403B">
              <w:rPr>
                <w:b/>
              </w:rPr>
              <w:t>Celkem</w:t>
            </w:r>
          </w:p>
        </w:tc>
        <w:tc>
          <w:tcPr>
            <w:tcW w:w="1127" w:type="dxa"/>
            <w:tcBorders>
              <w:top w:val="nil"/>
              <w:left w:val="nil"/>
              <w:bottom w:val="double" w:sz="6" w:space="0" w:color="auto"/>
              <w:right w:val="nil"/>
            </w:tcBorders>
            <w:shd w:val="clear" w:color="auto" w:fill="auto"/>
            <w:noWrap/>
            <w:vAlign w:val="bottom"/>
            <w:hideMark/>
          </w:tcPr>
          <w:p w14:paraId="668CDD0E" w14:textId="77777777" w:rsidR="008B2EFB" w:rsidRPr="0054403B" w:rsidRDefault="008B2EFB" w:rsidP="008B2EFB">
            <w:pPr>
              <w:spacing w:line="240" w:lineRule="auto"/>
              <w:jc w:val="center"/>
              <w:rPr>
                <w:b/>
              </w:rPr>
            </w:pPr>
            <w:r w:rsidRPr="0054403B">
              <w:rPr>
                <w:b/>
              </w:rPr>
              <w:t>766</w:t>
            </w:r>
          </w:p>
        </w:tc>
        <w:tc>
          <w:tcPr>
            <w:tcW w:w="1417" w:type="dxa"/>
            <w:tcBorders>
              <w:top w:val="nil"/>
              <w:left w:val="nil"/>
              <w:bottom w:val="double" w:sz="6" w:space="0" w:color="auto"/>
              <w:right w:val="nil"/>
            </w:tcBorders>
            <w:shd w:val="clear" w:color="auto" w:fill="auto"/>
            <w:noWrap/>
            <w:vAlign w:val="bottom"/>
            <w:hideMark/>
          </w:tcPr>
          <w:p w14:paraId="4509521B" w14:textId="1A632CF4" w:rsidR="008B2EFB" w:rsidRPr="0054403B" w:rsidRDefault="008B2EFB" w:rsidP="008B2EFB">
            <w:pPr>
              <w:spacing w:line="240" w:lineRule="auto"/>
              <w:jc w:val="center"/>
              <w:rPr>
                <w:b/>
              </w:rPr>
            </w:pPr>
            <w:r w:rsidRPr="0054403B">
              <w:rPr>
                <w:b/>
              </w:rPr>
              <w:t>82</w:t>
            </w:r>
            <w:r w:rsidR="009B49AA" w:rsidRPr="0054403B">
              <w:rPr>
                <w:b/>
              </w:rPr>
              <w:t>,</w:t>
            </w:r>
            <w:r w:rsidRPr="0054403B">
              <w:rPr>
                <w:b/>
              </w:rPr>
              <w:t>3</w:t>
            </w:r>
          </w:p>
        </w:tc>
      </w:tr>
    </w:tbl>
    <w:p w14:paraId="6031ABE0" w14:textId="066F69C3" w:rsidR="00EE033B" w:rsidRPr="00730B1E" w:rsidRDefault="00796100" w:rsidP="00796100">
      <w:pPr>
        <w:pStyle w:val="OdstavecASR"/>
      </w:pPr>
      <w:r w:rsidRPr="00730B1E">
        <w:t xml:space="preserve">V tabulce vidíme, že uložených NEPO bylo v roce 2023 pouze přes </w:t>
      </w:r>
      <w:r w:rsidR="00447E08" w:rsidRPr="00730B1E">
        <w:t>760</w:t>
      </w:r>
      <w:r w:rsidRPr="00730B1E">
        <w:t>, tedy téměř 11krát méně než u okresních soudů. Na druhou stranu průměrná výše NEPO byla 82,3 měsíce (skoro 7 let), což je 6krát více než u OS. Nejvyšší tresty (v průměru 12 let) se nepřekvapivě ukládají za TČ vraždy.</w:t>
      </w:r>
      <w:r w:rsidRPr="00730B1E">
        <w:rPr>
          <w:highlight w:val="yellow"/>
        </w:rPr>
        <w:t xml:space="preserve"> </w:t>
      </w:r>
      <w:r w:rsidR="007D1D8D" w:rsidRPr="00730B1E">
        <w:t xml:space="preserve">Výrazně se zvýšil počet pravomocně odsouzených osob k NEPO za trestné činy spojené s omamnými látkami a ubylo osob pravomocně odsouzených k NEPO za krácení daní, poplatků a podobných povinných plateb. </w:t>
      </w:r>
      <w:r w:rsidR="00554BBA" w:rsidRPr="00730B1E">
        <w:t>KS v roce 2023 odsoudily celkem 1298. Osoby odsouzeny k NEPO tedy tvoří asi 59 %.</w:t>
      </w:r>
    </w:p>
    <w:p w14:paraId="4DC16A45" w14:textId="77777777" w:rsidR="008B2EFB" w:rsidRPr="00730B1E" w:rsidRDefault="008B2EFB" w:rsidP="00796100">
      <w:pPr>
        <w:pStyle w:val="OdstavecASR"/>
      </w:pPr>
    </w:p>
    <w:p w14:paraId="17701410" w14:textId="77777777" w:rsidR="00EE033B" w:rsidRPr="00730B1E" w:rsidRDefault="00EE033B">
      <w:pPr>
        <w:spacing w:after="160" w:line="259" w:lineRule="auto"/>
        <w:jc w:val="left"/>
      </w:pPr>
      <w:r w:rsidRPr="00730B1E">
        <w:br w:type="page"/>
      </w:r>
    </w:p>
    <w:p w14:paraId="05710F11" w14:textId="046363E9" w:rsidR="008430BD" w:rsidRPr="00730B1E" w:rsidRDefault="008430BD" w:rsidP="008430BD">
      <w:pPr>
        <w:pStyle w:val="Nadpis2"/>
        <w:numPr>
          <w:ilvl w:val="1"/>
          <w:numId w:val="1"/>
        </w:numPr>
        <w:spacing w:before="120"/>
        <w:rPr>
          <w:color w:val="auto"/>
        </w:rPr>
      </w:pPr>
      <w:bookmarkStart w:id="1012" w:name="_Toc515871262"/>
      <w:bookmarkStart w:id="1013" w:name="_Toc106092769"/>
      <w:bookmarkStart w:id="1014" w:name="_Toc169250845"/>
      <w:bookmarkStart w:id="1015" w:name="_Toc174080881"/>
      <w:r w:rsidRPr="00730B1E">
        <w:rPr>
          <w:color w:val="auto"/>
        </w:rPr>
        <w:lastRenderedPageBreak/>
        <w:t>Trestní odvolací agenda</w:t>
      </w:r>
      <w:bookmarkEnd w:id="1012"/>
      <w:bookmarkEnd w:id="1013"/>
      <w:bookmarkEnd w:id="1014"/>
      <w:bookmarkEnd w:id="1015"/>
    </w:p>
    <w:p w14:paraId="2144BD0A" w14:textId="26818209" w:rsidR="00EE033B" w:rsidRPr="00730B1E" w:rsidRDefault="00EE033B" w:rsidP="00EE033B">
      <w:pPr>
        <w:pStyle w:val="OdstavecASR"/>
      </w:pPr>
      <w:r w:rsidRPr="00730B1E">
        <w:t>Trestní odvolací agenda zahrnuje rejstříky To a Tmo. Ke změnám ve vedení statistik nedošlo a data dále není třeba nijak očišťovat.</w:t>
      </w:r>
    </w:p>
    <w:p w14:paraId="22126025" w14:textId="7575F616" w:rsidR="008430BD" w:rsidRPr="00730B1E" w:rsidRDefault="008430BD" w:rsidP="008430BD">
      <w:pPr>
        <w:pStyle w:val="Nadpis3"/>
        <w:numPr>
          <w:ilvl w:val="2"/>
          <w:numId w:val="1"/>
        </w:numPr>
        <w:rPr>
          <w:color w:val="auto"/>
        </w:rPr>
      </w:pPr>
      <w:bookmarkStart w:id="1016" w:name="_Ref511391169"/>
      <w:bookmarkStart w:id="1017" w:name="_Toc515871263"/>
      <w:bookmarkStart w:id="1018" w:name="_Toc106092770"/>
      <w:bookmarkStart w:id="1019" w:name="_Toc169250846"/>
      <w:bookmarkStart w:id="1020" w:name="_Toc174080882"/>
      <w:r w:rsidRPr="00730B1E">
        <w:rPr>
          <w:color w:val="auto"/>
        </w:rPr>
        <w:t>Délka řízení</w:t>
      </w:r>
      <w:bookmarkEnd w:id="1016"/>
      <w:bookmarkEnd w:id="1017"/>
      <w:bookmarkEnd w:id="1018"/>
      <w:bookmarkEnd w:id="1019"/>
      <w:bookmarkEnd w:id="1020"/>
    </w:p>
    <w:p w14:paraId="2FF85FAE" w14:textId="77777777" w:rsidR="003F57BD" w:rsidRPr="00730B1E" w:rsidRDefault="003F57BD" w:rsidP="003F57BD">
      <w:pPr>
        <w:pStyle w:val="OdstavecASR"/>
      </w:pPr>
      <w:r w:rsidRPr="00730B1E">
        <w:t>U této agendy uvádíme délku řízení ode dne nápadu u odvolacího soudu do dne jeho vyřízení, který je i dnem pravomocného skončení věci. Stejně jako u civilního řízení platí, že vyřízení věci v rámci odvolacího řízení je časově méně náročné než v prvostupňové agendě. Z grafu vyplývá, že délky řízení jsou velmi nízké (nejnižší ze všech agend) a měnily se jen velmi málo. Až v roce 2020 došlo ke zdaleka největší výchylce (nejvyššímu nárůstu) ve sledovaném období. Absolutně ale jde jen o několik dnů. Vzhledem k tomu, že délky řízení byly vždy silně stabilní, lze zvýšení délek řízení velmi pravděpodobně připsat pandemii COVID</w:t>
      </w:r>
      <w:r w:rsidRPr="00730B1E">
        <w:noBreakHyphen/>
        <w:t>19. Uvedená domněnka je podpořena i faktem, že k nárůstu došlo u většiny soudů. V roce 2021 se délky řízení mírně přiblížily předchozím hodnotám. Ani na úrovni jednotlivých soudů nedošlo k žádným velkým změnám.</w:t>
      </w:r>
    </w:p>
    <w:p w14:paraId="0CD9F588" w14:textId="515B4C8C" w:rsidR="00D14452" w:rsidRPr="00730B1E" w:rsidRDefault="00D14452" w:rsidP="00D14452">
      <w:pPr>
        <w:pStyle w:val="Podnadpis"/>
        <w:numPr>
          <w:ilvl w:val="0"/>
          <w:numId w:val="0"/>
        </w:numPr>
        <w:rPr>
          <w:color w:val="auto"/>
        </w:rPr>
      </w:pPr>
      <w:bookmarkStart w:id="1021" w:name="_Toc515871393"/>
      <w:bookmarkStart w:id="1022" w:name="_Toc11135124"/>
      <w:bookmarkStart w:id="1023" w:name="_Toc43841443"/>
      <w:bookmarkStart w:id="1024" w:name="_Toc75952245"/>
      <w:bookmarkStart w:id="1025" w:name="_Toc106106704"/>
      <w:bookmarkStart w:id="1026" w:name="_Toc109802028"/>
      <w:bookmarkStart w:id="1027" w:name="_Toc144104178"/>
      <w:bookmarkStart w:id="1028" w:name="_Toc169250991"/>
      <w:bookmarkStart w:id="1029" w:name="_Toc17408067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72</w:t>
      </w:r>
      <w:r w:rsidRPr="00730B1E">
        <w:rPr>
          <w:color w:val="auto"/>
        </w:rPr>
        <w:fldChar w:fldCharType="end"/>
      </w:r>
      <w:r w:rsidRPr="00730B1E">
        <w:rPr>
          <w:color w:val="auto"/>
        </w:rPr>
        <w:t>: KS – délka odvolacího trestního řízení v letech 2014–20</w:t>
      </w:r>
      <w:bookmarkEnd w:id="1021"/>
      <w:bookmarkEnd w:id="1022"/>
      <w:bookmarkEnd w:id="1023"/>
      <w:r w:rsidRPr="00730B1E">
        <w:rPr>
          <w:color w:val="auto"/>
        </w:rPr>
        <w:t>2</w:t>
      </w:r>
      <w:bookmarkEnd w:id="1024"/>
      <w:bookmarkEnd w:id="1025"/>
      <w:bookmarkEnd w:id="1026"/>
      <w:bookmarkEnd w:id="1027"/>
      <w:r w:rsidRPr="00730B1E">
        <w:rPr>
          <w:color w:val="auto"/>
        </w:rPr>
        <w:t>3</w:t>
      </w:r>
      <w:bookmarkEnd w:id="1028"/>
      <w:bookmarkEnd w:id="1029"/>
    </w:p>
    <w:p w14:paraId="63F36E43" w14:textId="10440306" w:rsidR="00D14452" w:rsidRPr="00730B1E" w:rsidRDefault="00D14452" w:rsidP="00D14452">
      <w:r w:rsidRPr="00730B1E">
        <w:rPr>
          <w:noProof/>
          <w:lang w:eastAsia="cs-CZ"/>
        </w:rPr>
        <w:drawing>
          <wp:inline distT="0" distB="0" distL="0" distR="0" wp14:anchorId="1C34B681" wp14:editId="2D4A249E">
            <wp:extent cx="5038725" cy="3657600"/>
            <wp:effectExtent l="0" t="0" r="9525" b="0"/>
            <wp:docPr id="33" name="Obrázek 33">
              <a:extLst xmlns:a="http://schemas.openxmlformats.org/drawingml/2006/main">
                <a:ext uri="{FF2B5EF4-FFF2-40B4-BE49-F238E27FC236}">
                  <a16:creationId xmlns:a16="http://schemas.microsoft.com/office/drawing/2014/main" id="{E9636A1C-5002-8C72-2D60-9ACCAF6E5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a:extLst>
                        <a:ext uri="{FF2B5EF4-FFF2-40B4-BE49-F238E27FC236}">
                          <a16:creationId xmlns:a16="http://schemas.microsoft.com/office/drawing/2014/main" id="{E9636A1C-5002-8C72-2D60-9ACCAF6E5886}"/>
                        </a:ext>
                      </a:extLst>
                    </pic:cNvP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38725" cy="3657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6B958A4" w14:textId="77777777" w:rsidR="003F57BD" w:rsidRPr="00730B1E" w:rsidRDefault="003F57BD" w:rsidP="003F57BD">
      <w:pPr>
        <w:pStyle w:val="OdstavecASR"/>
      </w:pPr>
    </w:p>
    <w:p w14:paraId="60031F0C" w14:textId="746FE2F7" w:rsidR="003F57BD" w:rsidRPr="00730B1E" w:rsidRDefault="003F57BD" w:rsidP="003F57BD">
      <w:pPr>
        <w:pStyle w:val="OdstavecASR"/>
      </w:pPr>
      <w:r w:rsidRPr="00730B1E">
        <w:t xml:space="preserve">V roce 2022 hodnoty klesly v zásadě na úroveň před pandemií COVID-19 a v roce 2023 tam zůstaly. Na této agendě je tedy vliv pandemie zřetelně vidět. </w:t>
      </w:r>
    </w:p>
    <w:p w14:paraId="7B56BA9B" w14:textId="63AAB36C" w:rsidR="003F57BD" w:rsidRPr="00730B1E" w:rsidRDefault="003F57BD" w:rsidP="003F57BD">
      <w:pPr>
        <w:pStyle w:val="OdstavecASR"/>
      </w:pPr>
      <w:r w:rsidRPr="00730B1E">
        <w:t xml:space="preserve">Krajské soudy vyřizují v odvolací agendě nejčastěji odvolání proti rozhodnutí o následujících trestných činech: </w:t>
      </w:r>
      <w:r w:rsidRPr="00730B1E">
        <w:rPr>
          <w:i/>
        </w:rPr>
        <w:t>krádež</w:t>
      </w:r>
      <w:r w:rsidRPr="00730B1E">
        <w:t xml:space="preserve"> (§ 205 trestního zákoníku), </w:t>
      </w:r>
      <w:r w:rsidRPr="00730B1E">
        <w:rPr>
          <w:i/>
        </w:rPr>
        <w:t>maření výkonu úředního rozhodnutí a vykázání</w:t>
      </w:r>
      <w:r w:rsidRPr="00730B1E">
        <w:t xml:space="preserve"> (§ 337) a </w:t>
      </w:r>
      <w:r w:rsidRPr="00730B1E">
        <w:rPr>
          <w:i/>
        </w:rPr>
        <w:t>podvod</w:t>
      </w:r>
      <w:r w:rsidRPr="00730B1E">
        <w:t xml:space="preserve"> (§ 209). Těmito trestnými činy se velmi často zabývají okresní soudy v prvním stupni</w:t>
      </w:r>
      <w:r w:rsidR="0007114D" w:rsidRPr="00730B1E">
        <w:t>;</w:t>
      </w:r>
      <w:r w:rsidRPr="00730B1E">
        <w:t xml:space="preserve"> </w:t>
      </w:r>
      <w:r w:rsidR="0007114D" w:rsidRPr="00730B1E">
        <w:t>l</w:t>
      </w:r>
      <w:r w:rsidRPr="00730B1E">
        <w:t>ogicky je u nich pak v absolutních číslech podáváno nejvíce odvolání.</w:t>
      </w:r>
    </w:p>
    <w:p w14:paraId="27754521" w14:textId="77777777" w:rsidR="003F57BD" w:rsidRPr="00730B1E" w:rsidRDefault="003F57BD">
      <w:pPr>
        <w:spacing w:after="160" w:line="259" w:lineRule="auto"/>
        <w:jc w:val="left"/>
      </w:pPr>
      <w:r w:rsidRPr="00730B1E">
        <w:br w:type="page"/>
      </w:r>
    </w:p>
    <w:p w14:paraId="1E4268C5" w14:textId="769B3CAE" w:rsidR="003F57BD" w:rsidRPr="00730B1E" w:rsidRDefault="003F57BD" w:rsidP="003F57BD">
      <w:pPr>
        <w:pStyle w:val="Podnadpis"/>
        <w:rPr>
          <w:color w:val="auto"/>
        </w:rPr>
      </w:pPr>
      <w:bookmarkStart w:id="1030" w:name="_Toc515871487"/>
      <w:bookmarkStart w:id="1031" w:name="_Toc11133254"/>
      <w:bookmarkStart w:id="1032" w:name="_Toc43931232"/>
      <w:bookmarkStart w:id="1033" w:name="_Toc75952365"/>
      <w:bookmarkStart w:id="1034" w:name="_Toc106106820"/>
      <w:bookmarkStart w:id="1035" w:name="_Toc109802143"/>
      <w:bookmarkStart w:id="1036" w:name="_Toc144104302"/>
      <w:bookmarkStart w:id="1037" w:name="_Toc169251117"/>
      <w:bookmarkStart w:id="1038" w:name="_Toc174080803"/>
      <w:r w:rsidRPr="00730B1E">
        <w:rPr>
          <w:color w:val="auto"/>
        </w:rPr>
        <w:lastRenderedPageBreak/>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60</w:t>
      </w:r>
      <w:r w:rsidRPr="00730B1E">
        <w:rPr>
          <w:noProof/>
          <w:color w:val="auto"/>
        </w:rPr>
        <w:fldChar w:fldCharType="end"/>
      </w:r>
      <w:r w:rsidRPr="00730B1E">
        <w:rPr>
          <w:color w:val="auto"/>
        </w:rPr>
        <w:t>: KS – délky odvolacího trestního řízení dle soudů</w:t>
      </w:r>
      <w:bookmarkEnd w:id="1030"/>
      <w:bookmarkEnd w:id="1031"/>
      <w:bookmarkEnd w:id="1032"/>
      <w:bookmarkEnd w:id="1033"/>
      <w:bookmarkEnd w:id="1034"/>
      <w:bookmarkEnd w:id="1035"/>
      <w:bookmarkEnd w:id="1036"/>
      <w:bookmarkEnd w:id="1037"/>
      <w:bookmarkEnd w:id="1038"/>
    </w:p>
    <w:tbl>
      <w:tblPr>
        <w:tblW w:w="6380" w:type="dxa"/>
        <w:tblCellMar>
          <w:left w:w="70" w:type="dxa"/>
          <w:right w:w="70" w:type="dxa"/>
        </w:tblCellMar>
        <w:tblLook w:val="04A0" w:firstRow="1" w:lastRow="0" w:firstColumn="1" w:lastColumn="0" w:noHBand="0" w:noVBand="1"/>
      </w:tblPr>
      <w:tblGrid>
        <w:gridCol w:w="2480"/>
        <w:gridCol w:w="1094"/>
        <w:gridCol w:w="1119"/>
        <w:gridCol w:w="1687"/>
      </w:tblGrid>
      <w:tr w:rsidR="00B64E96" w:rsidRPr="00730B1E" w14:paraId="2B1C0129" w14:textId="77777777" w:rsidTr="003F57BD">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B39079C" w14:textId="77777777" w:rsidR="003F57BD" w:rsidRPr="00730B1E" w:rsidRDefault="003F57BD" w:rsidP="003F57BD">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15E5C750" w14:textId="77777777" w:rsidR="003F57BD" w:rsidRPr="00730B1E" w:rsidRDefault="003F57BD" w:rsidP="003F57BD">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0ABEC5C0" w14:textId="77777777" w:rsidTr="003F57BD">
        <w:trPr>
          <w:trHeight w:val="330"/>
        </w:trPr>
        <w:tc>
          <w:tcPr>
            <w:tcW w:w="2480" w:type="dxa"/>
            <w:vMerge/>
            <w:tcBorders>
              <w:top w:val="double" w:sz="6" w:space="0" w:color="auto"/>
              <w:left w:val="nil"/>
              <w:bottom w:val="double" w:sz="6" w:space="0" w:color="000000"/>
              <w:right w:val="nil"/>
            </w:tcBorders>
            <w:vAlign w:val="center"/>
            <w:hideMark/>
          </w:tcPr>
          <w:p w14:paraId="6C65451A" w14:textId="77777777" w:rsidR="003F57BD" w:rsidRPr="00730B1E" w:rsidRDefault="003F57BD" w:rsidP="003F57BD">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0418F407" w14:textId="77777777" w:rsidR="003F57BD" w:rsidRPr="00730B1E" w:rsidRDefault="003F57BD" w:rsidP="003F57BD">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4C567481" w14:textId="77777777" w:rsidR="003F57BD" w:rsidRPr="00730B1E" w:rsidRDefault="003F57BD" w:rsidP="003F57BD">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2BC0490A" w14:textId="77777777" w:rsidR="003F57BD" w:rsidRPr="00730B1E" w:rsidRDefault="003F57BD" w:rsidP="003F57BD">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16DC87FA" w14:textId="77777777" w:rsidTr="003F57B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3B5044E" w14:textId="77777777" w:rsidR="003F57BD" w:rsidRPr="00730B1E" w:rsidRDefault="003F57BD" w:rsidP="003F57BD">
            <w:pPr>
              <w:spacing w:line="240" w:lineRule="auto"/>
              <w:jc w:val="left"/>
              <w:rPr>
                <w:rFonts w:eastAsia="Times New Roman"/>
                <w:szCs w:val="24"/>
                <w:lang w:eastAsia="cs-CZ"/>
              </w:rPr>
            </w:pPr>
            <w:r w:rsidRPr="00730B1E">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62730EF5"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40</w:t>
            </w:r>
          </w:p>
        </w:tc>
        <w:tc>
          <w:tcPr>
            <w:tcW w:w="1119" w:type="dxa"/>
            <w:tcBorders>
              <w:top w:val="single" w:sz="4" w:space="0" w:color="auto"/>
              <w:left w:val="nil"/>
              <w:bottom w:val="single" w:sz="4" w:space="0" w:color="auto"/>
              <w:right w:val="nil"/>
            </w:tcBorders>
            <w:shd w:val="clear" w:color="auto" w:fill="auto"/>
            <w:noWrap/>
            <w:vAlign w:val="bottom"/>
            <w:hideMark/>
          </w:tcPr>
          <w:p w14:paraId="7311B90C"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28</w:t>
            </w:r>
          </w:p>
        </w:tc>
        <w:tc>
          <w:tcPr>
            <w:tcW w:w="1687" w:type="dxa"/>
            <w:tcBorders>
              <w:top w:val="single" w:sz="4" w:space="0" w:color="auto"/>
              <w:left w:val="nil"/>
              <w:bottom w:val="single" w:sz="4" w:space="0" w:color="auto"/>
              <w:right w:val="nil"/>
            </w:tcBorders>
            <w:shd w:val="clear" w:color="auto" w:fill="auto"/>
            <w:noWrap/>
            <w:vAlign w:val="bottom"/>
            <w:hideMark/>
          </w:tcPr>
          <w:p w14:paraId="09F4FEB8"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70</w:t>
            </w:r>
          </w:p>
        </w:tc>
      </w:tr>
      <w:tr w:rsidR="00B64E96" w:rsidRPr="00730B1E" w14:paraId="492CAC16" w14:textId="77777777" w:rsidTr="003F57BD">
        <w:trPr>
          <w:trHeight w:val="315"/>
        </w:trPr>
        <w:tc>
          <w:tcPr>
            <w:tcW w:w="2480" w:type="dxa"/>
            <w:tcBorders>
              <w:top w:val="nil"/>
              <w:left w:val="nil"/>
              <w:bottom w:val="single" w:sz="4" w:space="0" w:color="auto"/>
              <w:right w:val="nil"/>
            </w:tcBorders>
            <w:shd w:val="clear" w:color="auto" w:fill="auto"/>
            <w:noWrap/>
            <w:vAlign w:val="bottom"/>
            <w:hideMark/>
          </w:tcPr>
          <w:p w14:paraId="25593EF7" w14:textId="77777777" w:rsidR="003F57BD" w:rsidRPr="00730B1E" w:rsidRDefault="003F57BD" w:rsidP="003F57BD">
            <w:pPr>
              <w:spacing w:line="240" w:lineRule="auto"/>
              <w:jc w:val="left"/>
              <w:rPr>
                <w:rFonts w:eastAsia="Times New Roman"/>
                <w:szCs w:val="24"/>
                <w:lang w:eastAsia="cs-CZ"/>
              </w:rPr>
            </w:pPr>
            <w:r w:rsidRPr="00730B1E">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6BD14599"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33</w:t>
            </w:r>
          </w:p>
        </w:tc>
        <w:tc>
          <w:tcPr>
            <w:tcW w:w="1119" w:type="dxa"/>
            <w:tcBorders>
              <w:top w:val="nil"/>
              <w:left w:val="nil"/>
              <w:bottom w:val="single" w:sz="4" w:space="0" w:color="auto"/>
              <w:right w:val="nil"/>
            </w:tcBorders>
            <w:shd w:val="clear" w:color="auto" w:fill="auto"/>
            <w:noWrap/>
            <w:vAlign w:val="bottom"/>
            <w:hideMark/>
          </w:tcPr>
          <w:p w14:paraId="5667DD71"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27</w:t>
            </w:r>
          </w:p>
        </w:tc>
        <w:tc>
          <w:tcPr>
            <w:tcW w:w="1687" w:type="dxa"/>
            <w:tcBorders>
              <w:top w:val="nil"/>
              <w:left w:val="nil"/>
              <w:bottom w:val="single" w:sz="4" w:space="0" w:color="auto"/>
              <w:right w:val="nil"/>
            </w:tcBorders>
            <w:shd w:val="clear" w:color="auto" w:fill="auto"/>
            <w:noWrap/>
            <w:vAlign w:val="bottom"/>
            <w:hideMark/>
          </w:tcPr>
          <w:p w14:paraId="69A71064"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49</w:t>
            </w:r>
          </w:p>
        </w:tc>
      </w:tr>
      <w:tr w:rsidR="00B64E96" w:rsidRPr="00730B1E" w14:paraId="1982046D" w14:textId="77777777" w:rsidTr="003F57BD">
        <w:trPr>
          <w:trHeight w:val="315"/>
        </w:trPr>
        <w:tc>
          <w:tcPr>
            <w:tcW w:w="2480" w:type="dxa"/>
            <w:tcBorders>
              <w:top w:val="nil"/>
              <w:left w:val="nil"/>
              <w:bottom w:val="single" w:sz="4" w:space="0" w:color="auto"/>
              <w:right w:val="nil"/>
            </w:tcBorders>
            <w:shd w:val="clear" w:color="auto" w:fill="auto"/>
            <w:noWrap/>
            <w:vAlign w:val="bottom"/>
            <w:hideMark/>
          </w:tcPr>
          <w:p w14:paraId="51D2A713" w14:textId="77777777" w:rsidR="003F57BD" w:rsidRPr="00730B1E" w:rsidRDefault="003F57BD" w:rsidP="003F57BD">
            <w:pPr>
              <w:spacing w:line="240" w:lineRule="auto"/>
              <w:jc w:val="left"/>
              <w:rPr>
                <w:rFonts w:eastAsia="Times New Roman"/>
                <w:szCs w:val="24"/>
                <w:lang w:eastAsia="cs-CZ"/>
              </w:rPr>
            </w:pPr>
            <w:r w:rsidRPr="00730B1E">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19607100"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62</w:t>
            </w:r>
          </w:p>
        </w:tc>
        <w:tc>
          <w:tcPr>
            <w:tcW w:w="1119" w:type="dxa"/>
            <w:tcBorders>
              <w:top w:val="nil"/>
              <w:left w:val="nil"/>
              <w:bottom w:val="single" w:sz="4" w:space="0" w:color="auto"/>
              <w:right w:val="nil"/>
            </w:tcBorders>
            <w:shd w:val="clear" w:color="auto" w:fill="auto"/>
            <w:noWrap/>
            <w:vAlign w:val="bottom"/>
            <w:hideMark/>
          </w:tcPr>
          <w:p w14:paraId="23DBD276"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49</w:t>
            </w:r>
          </w:p>
        </w:tc>
        <w:tc>
          <w:tcPr>
            <w:tcW w:w="1687" w:type="dxa"/>
            <w:tcBorders>
              <w:top w:val="nil"/>
              <w:left w:val="nil"/>
              <w:bottom w:val="single" w:sz="4" w:space="0" w:color="auto"/>
              <w:right w:val="nil"/>
            </w:tcBorders>
            <w:shd w:val="clear" w:color="auto" w:fill="auto"/>
            <w:noWrap/>
            <w:vAlign w:val="bottom"/>
            <w:hideMark/>
          </w:tcPr>
          <w:p w14:paraId="4325BAF4"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120</w:t>
            </w:r>
          </w:p>
        </w:tc>
      </w:tr>
      <w:tr w:rsidR="00B64E96" w:rsidRPr="00730B1E" w14:paraId="410EBAF5" w14:textId="77777777" w:rsidTr="003F57BD">
        <w:trPr>
          <w:trHeight w:val="315"/>
        </w:trPr>
        <w:tc>
          <w:tcPr>
            <w:tcW w:w="2480" w:type="dxa"/>
            <w:tcBorders>
              <w:top w:val="nil"/>
              <w:left w:val="nil"/>
              <w:bottom w:val="single" w:sz="4" w:space="0" w:color="auto"/>
              <w:right w:val="nil"/>
            </w:tcBorders>
            <w:shd w:val="clear" w:color="auto" w:fill="auto"/>
            <w:noWrap/>
            <w:vAlign w:val="bottom"/>
            <w:hideMark/>
          </w:tcPr>
          <w:p w14:paraId="2BF07EA6" w14:textId="77777777" w:rsidR="003F57BD" w:rsidRPr="00730B1E" w:rsidRDefault="003F57BD" w:rsidP="003F57BD">
            <w:pPr>
              <w:spacing w:line="240" w:lineRule="auto"/>
              <w:jc w:val="left"/>
              <w:rPr>
                <w:rFonts w:eastAsia="Times New Roman"/>
                <w:szCs w:val="24"/>
                <w:lang w:eastAsia="cs-CZ"/>
              </w:rPr>
            </w:pPr>
            <w:r w:rsidRPr="00730B1E">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443770DC"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46</w:t>
            </w:r>
          </w:p>
        </w:tc>
        <w:tc>
          <w:tcPr>
            <w:tcW w:w="1119" w:type="dxa"/>
            <w:tcBorders>
              <w:top w:val="nil"/>
              <w:left w:val="nil"/>
              <w:bottom w:val="single" w:sz="4" w:space="0" w:color="auto"/>
              <w:right w:val="nil"/>
            </w:tcBorders>
            <w:shd w:val="clear" w:color="auto" w:fill="auto"/>
            <w:noWrap/>
            <w:vAlign w:val="bottom"/>
            <w:hideMark/>
          </w:tcPr>
          <w:p w14:paraId="1DF17780"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35</w:t>
            </w:r>
          </w:p>
        </w:tc>
        <w:tc>
          <w:tcPr>
            <w:tcW w:w="1687" w:type="dxa"/>
            <w:tcBorders>
              <w:top w:val="nil"/>
              <w:left w:val="nil"/>
              <w:bottom w:val="single" w:sz="4" w:space="0" w:color="auto"/>
              <w:right w:val="nil"/>
            </w:tcBorders>
            <w:shd w:val="clear" w:color="auto" w:fill="auto"/>
            <w:noWrap/>
            <w:vAlign w:val="bottom"/>
            <w:hideMark/>
          </w:tcPr>
          <w:p w14:paraId="5382193A"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88</w:t>
            </w:r>
          </w:p>
        </w:tc>
      </w:tr>
      <w:tr w:rsidR="00B64E96" w:rsidRPr="00730B1E" w14:paraId="237448B8" w14:textId="77777777" w:rsidTr="003F57BD">
        <w:trPr>
          <w:trHeight w:val="315"/>
        </w:trPr>
        <w:tc>
          <w:tcPr>
            <w:tcW w:w="2480" w:type="dxa"/>
            <w:tcBorders>
              <w:top w:val="nil"/>
              <w:left w:val="nil"/>
              <w:bottom w:val="single" w:sz="4" w:space="0" w:color="auto"/>
              <w:right w:val="nil"/>
            </w:tcBorders>
            <w:shd w:val="clear" w:color="auto" w:fill="auto"/>
            <w:noWrap/>
            <w:vAlign w:val="bottom"/>
            <w:hideMark/>
          </w:tcPr>
          <w:p w14:paraId="6D2730A1" w14:textId="77777777" w:rsidR="003F57BD" w:rsidRPr="00730B1E" w:rsidRDefault="003F57BD" w:rsidP="003F57BD">
            <w:pPr>
              <w:spacing w:line="240" w:lineRule="auto"/>
              <w:jc w:val="left"/>
              <w:rPr>
                <w:rFonts w:eastAsia="Times New Roman"/>
                <w:szCs w:val="24"/>
                <w:lang w:eastAsia="cs-CZ"/>
              </w:rPr>
            </w:pPr>
            <w:r w:rsidRPr="00730B1E">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13817259"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80</w:t>
            </w:r>
          </w:p>
        </w:tc>
        <w:tc>
          <w:tcPr>
            <w:tcW w:w="1119" w:type="dxa"/>
            <w:tcBorders>
              <w:top w:val="nil"/>
              <w:left w:val="nil"/>
              <w:bottom w:val="single" w:sz="4" w:space="0" w:color="auto"/>
              <w:right w:val="nil"/>
            </w:tcBorders>
            <w:shd w:val="clear" w:color="auto" w:fill="auto"/>
            <w:noWrap/>
            <w:vAlign w:val="bottom"/>
            <w:hideMark/>
          </w:tcPr>
          <w:p w14:paraId="680C7C7F"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49</w:t>
            </w:r>
          </w:p>
        </w:tc>
        <w:tc>
          <w:tcPr>
            <w:tcW w:w="1687" w:type="dxa"/>
            <w:tcBorders>
              <w:top w:val="nil"/>
              <w:left w:val="nil"/>
              <w:bottom w:val="single" w:sz="4" w:space="0" w:color="auto"/>
              <w:right w:val="nil"/>
            </w:tcBorders>
            <w:shd w:val="clear" w:color="auto" w:fill="auto"/>
            <w:noWrap/>
            <w:vAlign w:val="bottom"/>
            <w:hideMark/>
          </w:tcPr>
          <w:p w14:paraId="42110EDF"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181</w:t>
            </w:r>
          </w:p>
        </w:tc>
      </w:tr>
      <w:tr w:rsidR="00B64E96" w:rsidRPr="00730B1E" w14:paraId="4C4CE977" w14:textId="77777777" w:rsidTr="003F57BD">
        <w:trPr>
          <w:trHeight w:val="315"/>
        </w:trPr>
        <w:tc>
          <w:tcPr>
            <w:tcW w:w="2480" w:type="dxa"/>
            <w:tcBorders>
              <w:top w:val="nil"/>
              <w:left w:val="nil"/>
              <w:bottom w:val="single" w:sz="4" w:space="0" w:color="auto"/>
              <w:right w:val="nil"/>
            </w:tcBorders>
            <w:shd w:val="clear" w:color="auto" w:fill="auto"/>
            <w:noWrap/>
            <w:vAlign w:val="bottom"/>
            <w:hideMark/>
          </w:tcPr>
          <w:p w14:paraId="3F168E2A" w14:textId="77777777" w:rsidR="003F57BD" w:rsidRPr="00730B1E" w:rsidRDefault="003F57BD" w:rsidP="003F57BD">
            <w:pPr>
              <w:spacing w:line="240" w:lineRule="auto"/>
              <w:jc w:val="left"/>
              <w:rPr>
                <w:rFonts w:eastAsia="Times New Roman"/>
                <w:szCs w:val="24"/>
                <w:lang w:eastAsia="cs-CZ"/>
              </w:rPr>
            </w:pPr>
            <w:r w:rsidRPr="00730B1E">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5F58BA7F"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54</w:t>
            </w:r>
          </w:p>
        </w:tc>
        <w:tc>
          <w:tcPr>
            <w:tcW w:w="1119" w:type="dxa"/>
            <w:tcBorders>
              <w:top w:val="nil"/>
              <w:left w:val="nil"/>
              <w:bottom w:val="single" w:sz="4" w:space="0" w:color="auto"/>
              <w:right w:val="nil"/>
            </w:tcBorders>
            <w:shd w:val="clear" w:color="auto" w:fill="auto"/>
            <w:noWrap/>
            <w:vAlign w:val="bottom"/>
            <w:hideMark/>
          </w:tcPr>
          <w:p w14:paraId="69F780C9"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39</w:t>
            </w:r>
          </w:p>
        </w:tc>
        <w:tc>
          <w:tcPr>
            <w:tcW w:w="1687" w:type="dxa"/>
            <w:tcBorders>
              <w:top w:val="nil"/>
              <w:left w:val="nil"/>
              <w:bottom w:val="single" w:sz="4" w:space="0" w:color="auto"/>
              <w:right w:val="nil"/>
            </w:tcBorders>
            <w:shd w:val="clear" w:color="auto" w:fill="auto"/>
            <w:noWrap/>
            <w:vAlign w:val="bottom"/>
            <w:hideMark/>
          </w:tcPr>
          <w:p w14:paraId="57149960"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93</w:t>
            </w:r>
          </w:p>
        </w:tc>
      </w:tr>
      <w:tr w:rsidR="00B64E96" w:rsidRPr="00730B1E" w14:paraId="127F58C4" w14:textId="77777777" w:rsidTr="003F57BD">
        <w:trPr>
          <w:trHeight w:val="315"/>
        </w:trPr>
        <w:tc>
          <w:tcPr>
            <w:tcW w:w="2480" w:type="dxa"/>
            <w:tcBorders>
              <w:top w:val="nil"/>
              <w:left w:val="nil"/>
              <w:bottom w:val="single" w:sz="4" w:space="0" w:color="auto"/>
              <w:right w:val="nil"/>
            </w:tcBorders>
            <w:shd w:val="clear" w:color="auto" w:fill="auto"/>
            <w:noWrap/>
            <w:vAlign w:val="bottom"/>
            <w:hideMark/>
          </w:tcPr>
          <w:p w14:paraId="3DA56228" w14:textId="77777777" w:rsidR="003F57BD" w:rsidRPr="00730B1E" w:rsidRDefault="003F57BD" w:rsidP="003F57BD">
            <w:pPr>
              <w:spacing w:line="240" w:lineRule="auto"/>
              <w:jc w:val="left"/>
              <w:rPr>
                <w:rFonts w:eastAsia="Times New Roman"/>
                <w:szCs w:val="24"/>
                <w:lang w:eastAsia="cs-CZ"/>
              </w:rPr>
            </w:pPr>
            <w:r w:rsidRPr="00730B1E">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0CB36FE7"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50</w:t>
            </w:r>
          </w:p>
        </w:tc>
        <w:tc>
          <w:tcPr>
            <w:tcW w:w="1119" w:type="dxa"/>
            <w:tcBorders>
              <w:top w:val="nil"/>
              <w:left w:val="nil"/>
              <w:bottom w:val="single" w:sz="4" w:space="0" w:color="auto"/>
              <w:right w:val="nil"/>
            </w:tcBorders>
            <w:shd w:val="clear" w:color="auto" w:fill="auto"/>
            <w:noWrap/>
            <w:vAlign w:val="bottom"/>
            <w:hideMark/>
          </w:tcPr>
          <w:p w14:paraId="5AD89C73"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34</w:t>
            </w:r>
          </w:p>
        </w:tc>
        <w:tc>
          <w:tcPr>
            <w:tcW w:w="1687" w:type="dxa"/>
            <w:tcBorders>
              <w:top w:val="nil"/>
              <w:left w:val="nil"/>
              <w:bottom w:val="single" w:sz="4" w:space="0" w:color="auto"/>
              <w:right w:val="nil"/>
            </w:tcBorders>
            <w:shd w:val="clear" w:color="auto" w:fill="auto"/>
            <w:noWrap/>
            <w:vAlign w:val="bottom"/>
            <w:hideMark/>
          </w:tcPr>
          <w:p w14:paraId="42F6D612"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92</w:t>
            </w:r>
          </w:p>
        </w:tc>
      </w:tr>
      <w:tr w:rsidR="00B64E96" w:rsidRPr="00730B1E" w14:paraId="73733AEA" w14:textId="77777777" w:rsidTr="003F57BD">
        <w:trPr>
          <w:trHeight w:val="330"/>
        </w:trPr>
        <w:tc>
          <w:tcPr>
            <w:tcW w:w="2480" w:type="dxa"/>
            <w:tcBorders>
              <w:top w:val="nil"/>
              <w:left w:val="nil"/>
              <w:bottom w:val="double" w:sz="6" w:space="0" w:color="auto"/>
              <w:right w:val="nil"/>
            </w:tcBorders>
            <w:shd w:val="clear" w:color="auto" w:fill="auto"/>
            <w:noWrap/>
            <w:vAlign w:val="bottom"/>
            <w:hideMark/>
          </w:tcPr>
          <w:p w14:paraId="3A7D2415" w14:textId="77777777" w:rsidR="003F57BD" w:rsidRPr="00730B1E" w:rsidRDefault="003F57BD" w:rsidP="003F57BD">
            <w:pPr>
              <w:spacing w:line="240" w:lineRule="auto"/>
              <w:jc w:val="left"/>
              <w:rPr>
                <w:rFonts w:eastAsia="Times New Roman"/>
                <w:szCs w:val="24"/>
                <w:lang w:eastAsia="cs-CZ"/>
              </w:rPr>
            </w:pPr>
            <w:r w:rsidRPr="00730B1E">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6DDDFB0A"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69</w:t>
            </w:r>
          </w:p>
        </w:tc>
        <w:tc>
          <w:tcPr>
            <w:tcW w:w="1119" w:type="dxa"/>
            <w:tcBorders>
              <w:top w:val="nil"/>
              <w:left w:val="nil"/>
              <w:bottom w:val="double" w:sz="6" w:space="0" w:color="auto"/>
              <w:right w:val="nil"/>
            </w:tcBorders>
            <w:shd w:val="clear" w:color="auto" w:fill="auto"/>
            <w:noWrap/>
            <w:vAlign w:val="bottom"/>
            <w:hideMark/>
          </w:tcPr>
          <w:p w14:paraId="77F49E6C"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41</w:t>
            </w:r>
          </w:p>
        </w:tc>
        <w:tc>
          <w:tcPr>
            <w:tcW w:w="1687" w:type="dxa"/>
            <w:tcBorders>
              <w:top w:val="nil"/>
              <w:left w:val="nil"/>
              <w:bottom w:val="double" w:sz="6" w:space="0" w:color="auto"/>
              <w:right w:val="nil"/>
            </w:tcBorders>
            <w:shd w:val="clear" w:color="auto" w:fill="auto"/>
            <w:noWrap/>
            <w:vAlign w:val="bottom"/>
            <w:hideMark/>
          </w:tcPr>
          <w:p w14:paraId="7E6E95BC" w14:textId="77777777" w:rsidR="003F57BD" w:rsidRPr="00730B1E" w:rsidRDefault="003F57BD" w:rsidP="003F57BD">
            <w:pPr>
              <w:spacing w:line="240" w:lineRule="auto"/>
              <w:jc w:val="center"/>
              <w:rPr>
                <w:rFonts w:eastAsia="Times New Roman"/>
                <w:szCs w:val="24"/>
                <w:lang w:eastAsia="cs-CZ"/>
              </w:rPr>
            </w:pPr>
            <w:r w:rsidRPr="00730B1E">
              <w:rPr>
                <w:rFonts w:eastAsia="Times New Roman"/>
                <w:szCs w:val="24"/>
                <w:lang w:eastAsia="cs-CZ"/>
              </w:rPr>
              <w:t>151</w:t>
            </w:r>
          </w:p>
        </w:tc>
      </w:tr>
      <w:tr w:rsidR="00B64E96" w:rsidRPr="00730B1E" w14:paraId="7FE10B47" w14:textId="77777777" w:rsidTr="003F57BD">
        <w:trPr>
          <w:trHeight w:val="345"/>
        </w:trPr>
        <w:tc>
          <w:tcPr>
            <w:tcW w:w="2480" w:type="dxa"/>
            <w:tcBorders>
              <w:top w:val="nil"/>
              <w:left w:val="nil"/>
              <w:bottom w:val="double" w:sz="6" w:space="0" w:color="auto"/>
              <w:right w:val="nil"/>
            </w:tcBorders>
            <w:shd w:val="clear" w:color="auto" w:fill="auto"/>
            <w:noWrap/>
            <w:vAlign w:val="bottom"/>
            <w:hideMark/>
          </w:tcPr>
          <w:p w14:paraId="26A81952" w14:textId="77777777" w:rsidR="003F57BD" w:rsidRPr="00730B1E" w:rsidRDefault="003F57BD" w:rsidP="003F57BD">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19E03170" w14:textId="77777777" w:rsidR="003F57BD" w:rsidRPr="00730B1E" w:rsidRDefault="003F57BD" w:rsidP="003F57BD">
            <w:pPr>
              <w:spacing w:line="240" w:lineRule="auto"/>
              <w:jc w:val="center"/>
              <w:rPr>
                <w:rFonts w:eastAsia="Times New Roman"/>
                <w:b/>
                <w:bCs/>
                <w:szCs w:val="24"/>
                <w:lang w:eastAsia="cs-CZ"/>
              </w:rPr>
            </w:pPr>
            <w:r w:rsidRPr="00730B1E">
              <w:rPr>
                <w:rFonts w:eastAsia="Times New Roman"/>
                <w:b/>
                <w:bCs/>
                <w:szCs w:val="24"/>
                <w:lang w:eastAsia="cs-CZ"/>
              </w:rPr>
              <w:t>55</w:t>
            </w:r>
          </w:p>
        </w:tc>
        <w:tc>
          <w:tcPr>
            <w:tcW w:w="1119" w:type="dxa"/>
            <w:tcBorders>
              <w:top w:val="nil"/>
              <w:left w:val="nil"/>
              <w:bottom w:val="double" w:sz="6" w:space="0" w:color="auto"/>
              <w:right w:val="nil"/>
            </w:tcBorders>
            <w:shd w:val="clear" w:color="auto" w:fill="auto"/>
            <w:noWrap/>
            <w:vAlign w:val="bottom"/>
            <w:hideMark/>
          </w:tcPr>
          <w:p w14:paraId="48D55693" w14:textId="77777777" w:rsidR="003F57BD" w:rsidRPr="00730B1E" w:rsidRDefault="003F57BD" w:rsidP="003F57BD">
            <w:pPr>
              <w:spacing w:line="240" w:lineRule="auto"/>
              <w:jc w:val="center"/>
              <w:rPr>
                <w:rFonts w:eastAsia="Times New Roman"/>
                <w:b/>
                <w:bCs/>
                <w:szCs w:val="24"/>
                <w:lang w:eastAsia="cs-CZ"/>
              </w:rPr>
            </w:pPr>
            <w:r w:rsidRPr="00730B1E">
              <w:rPr>
                <w:rFonts w:eastAsia="Times New Roman"/>
                <w:b/>
                <w:bCs/>
                <w:szCs w:val="24"/>
                <w:lang w:eastAsia="cs-CZ"/>
              </w:rPr>
              <w:t>35</w:t>
            </w:r>
          </w:p>
        </w:tc>
        <w:tc>
          <w:tcPr>
            <w:tcW w:w="1687" w:type="dxa"/>
            <w:tcBorders>
              <w:top w:val="nil"/>
              <w:left w:val="nil"/>
              <w:bottom w:val="double" w:sz="6" w:space="0" w:color="auto"/>
              <w:right w:val="nil"/>
            </w:tcBorders>
            <w:shd w:val="clear" w:color="auto" w:fill="auto"/>
            <w:noWrap/>
            <w:vAlign w:val="bottom"/>
            <w:hideMark/>
          </w:tcPr>
          <w:p w14:paraId="3B672AC8" w14:textId="77777777" w:rsidR="003F57BD" w:rsidRPr="00730B1E" w:rsidRDefault="003F57BD" w:rsidP="003F57BD">
            <w:pPr>
              <w:spacing w:line="240" w:lineRule="auto"/>
              <w:jc w:val="center"/>
              <w:rPr>
                <w:rFonts w:eastAsia="Times New Roman"/>
                <w:b/>
                <w:bCs/>
                <w:szCs w:val="24"/>
                <w:lang w:eastAsia="cs-CZ"/>
              </w:rPr>
            </w:pPr>
            <w:r w:rsidRPr="00730B1E">
              <w:rPr>
                <w:rFonts w:eastAsia="Times New Roman"/>
                <w:b/>
                <w:bCs/>
                <w:szCs w:val="24"/>
                <w:lang w:eastAsia="cs-CZ"/>
              </w:rPr>
              <w:t>112</w:t>
            </w:r>
          </w:p>
        </w:tc>
      </w:tr>
      <w:tr w:rsidR="00B64E96" w:rsidRPr="00730B1E" w14:paraId="618BC754" w14:textId="77777777" w:rsidTr="003F57BD">
        <w:trPr>
          <w:trHeight w:val="330"/>
        </w:trPr>
        <w:tc>
          <w:tcPr>
            <w:tcW w:w="2480" w:type="dxa"/>
            <w:tcBorders>
              <w:top w:val="nil"/>
              <w:left w:val="nil"/>
              <w:bottom w:val="nil"/>
              <w:right w:val="nil"/>
            </w:tcBorders>
            <w:shd w:val="clear" w:color="auto" w:fill="auto"/>
            <w:noWrap/>
            <w:vAlign w:val="bottom"/>
            <w:hideMark/>
          </w:tcPr>
          <w:p w14:paraId="777A8DB6" w14:textId="77777777" w:rsidR="003F57BD" w:rsidRPr="00730B1E" w:rsidRDefault="003F57BD" w:rsidP="003F57BD">
            <w:pPr>
              <w:spacing w:line="240" w:lineRule="auto"/>
              <w:jc w:val="center"/>
              <w:rPr>
                <w:rFonts w:eastAsia="Times New Roman"/>
                <w:b/>
                <w:bCs/>
                <w:szCs w:val="24"/>
                <w:lang w:eastAsia="cs-CZ"/>
              </w:rPr>
            </w:pPr>
          </w:p>
        </w:tc>
        <w:tc>
          <w:tcPr>
            <w:tcW w:w="1094" w:type="dxa"/>
            <w:tcBorders>
              <w:top w:val="nil"/>
              <w:left w:val="nil"/>
              <w:bottom w:val="nil"/>
              <w:right w:val="nil"/>
            </w:tcBorders>
            <w:shd w:val="clear" w:color="auto" w:fill="auto"/>
            <w:noWrap/>
            <w:vAlign w:val="bottom"/>
            <w:hideMark/>
          </w:tcPr>
          <w:p w14:paraId="339B871D" w14:textId="77777777" w:rsidR="003F57BD" w:rsidRPr="00DF07F3" w:rsidRDefault="003F57BD" w:rsidP="003F57BD">
            <w:pPr>
              <w:spacing w:line="240" w:lineRule="auto"/>
              <w:jc w:val="left"/>
              <w:rPr>
                <w:sz w:val="20"/>
              </w:rPr>
            </w:pPr>
          </w:p>
        </w:tc>
        <w:tc>
          <w:tcPr>
            <w:tcW w:w="1119" w:type="dxa"/>
            <w:tcBorders>
              <w:top w:val="nil"/>
              <w:left w:val="nil"/>
              <w:bottom w:val="nil"/>
              <w:right w:val="nil"/>
            </w:tcBorders>
            <w:shd w:val="clear" w:color="auto" w:fill="auto"/>
            <w:noWrap/>
            <w:vAlign w:val="bottom"/>
            <w:hideMark/>
          </w:tcPr>
          <w:p w14:paraId="709B3115" w14:textId="77777777" w:rsidR="003F57BD" w:rsidRPr="00DF07F3" w:rsidRDefault="003F57BD" w:rsidP="003F57BD">
            <w:pPr>
              <w:spacing w:line="240" w:lineRule="auto"/>
              <w:jc w:val="left"/>
              <w:rPr>
                <w:sz w:val="20"/>
              </w:rPr>
            </w:pPr>
          </w:p>
        </w:tc>
        <w:tc>
          <w:tcPr>
            <w:tcW w:w="1687" w:type="dxa"/>
            <w:tcBorders>
              <w:top w:val="nil"/>
              <w:left w:val="nil"/>
              <w:bottom w:val="nil"/>
              <w:right w:val="nil"/>
            </w:tcBorders>
            <w:shd w:val="clear" w:color="auto" w:fill="auto"/>
            <w:noWrap/>
            <w:vAlign w:val="bottom"/>
            <w:hideMark/>
          </w:tcPr>
          <w:p w14:paraId="0CB6F2C2" w14:textId="77777777" w:rsidR="003F57BD" w:rsidRPr="00DF07F3" w:rsidRDefault="003F57BD" w:rsidP="003F57BD">
            <w:pPr>
              <w:spacing w:line="240" w:lineRule="auto"/>
              <w:jc w:val="left"/>
              <w:rPr>
                <w:sz w:val="20"/>
              </w:rPr>
            </w:pPr>
          </w:p>
        </w:tc>
      </w:tr>
    </w:tbl>
    <w:p w14:paraId="015862A4" w14:textId="3D3394FF" w:rsidR="003F57BD" w:rsidRPr="00730B1E" w:rsidRDefault="003F57BD" w:rsidP="003F57BD">
      <w:pPr>
        <w:pStyle w:val="Podnadpis"/>
        <w:rPr>
          <w:color w:val="auto"/>
        </w:rPr>
      </w:pPr>
      <w:bookmarkStart w:id="1039" w:name="_Toc75952246"/>
      <w:bookmarkStart w:id="1040" w:name="_Toc106106705"/>
      <w:bookmarkStart w:id="1041" w:name="_Toc109802029"/>
      <w:bookmarkStart w:id="1042" w:name="_Toc144104179"/>
      <w:bookmarkStart w:id="1043" w:name="_Toc169250992"/>
      <w:bookmarkStart w:id="1044" w:name="_Toc17408067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73</w:t>
      </w:r>
      <w:r w:rsidRPr="00730B1E">
        <w:rPr>
          <w:color w:val="auto"/>
        </w:rPr>
        <w:fldChar w:fldCharType="end"/>
      </w:r>
      <w:r w:rsidRPr="00730B1E">
        <w:rPr>
          <w:color w:val="auto"/>
        </w:rPr>
        <w:t>: KS – distribuce délek trestního odvolacího řízení</w:t>
      </w:r>
      <w:bookmarkEnd w:id="1039"/>
      <w:bookmarkEnd w:id="1040"/>
      <w:bookmarkEnd w:id="1041"/>
      <w:bookmarkEnd w:id="1042"/>
      <w:bookmarkEnd w:id="1043"/>
      <w:bookmarkEnd w:id="1044"/>
    </w:p>
    <w:p w14:paraId="129E7756" w14:textId="2D3FF3E4" w:rsidR="003F57BD" w:rsidRPr="00730B1E" w:rsidRDefault="003F57BD" w:rsidP="003F57BD">
      <w:pPr>
        <w:pStyle w:val="OdstavecASR"/>
      </w:pPr>
      <w:r w:rsidRPr="00730B1E">
        <w:rPr>
          <w:noProof/>
          <w:lang w:eastAsia="cs-CZ"/>
        </w:rPr>
        <w:drawing>
          <wp:inline distT="0" distB="0" distL="0" distR="0" wp14:anchorId="0829FD73" wp14:editId="35FFB142">
            <wp:extent cx="5029200" cy="3657600"/>
            <wp:effectExtent l="0" t="0" r="0" b="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A6F3ADD" w14:textId="03F670E0" w:rsidR="003F57BD" w:rsidRPr="00730B1E" w:rsidRDefault="003F57BD" w:rsidP="003F57BD">
      <w:pPr>
        <w:pStyle w:val="OdstavecASR"/>
      </w:pPr>
      <w:r w:rsidRPr="00730B1E">
        <w:t>I v histogramu je vidět, jak nízké délky řízení jsou. Asi 37 % věcí bylo vyřízeno do 1 měsíce. Pouze asi 6 % případů bylo vyřízeno za více než 200 dnů. Oproti roku 202</w:t>
      </w:r>
      <w:r w:rsidR="009B49AA" w:rsidRPr="00730B1E">
        <w:t>2</w:t>
      </w:r>
      <w:r w:rsidRPr="00730B1E">
        <w:t xml:space="preserve"> došlo k mírnému </w:t>
      </w:r>
      <w:r w:rsidR="0007114D" w:rsidRPr="00730B1E">
        <w:t>z</w:t>
      </w:r>
      <w:r w:rsidRPr="00730B1E">
        <w:t>lepšení. Pro jistotu upozorňujeme, že šířka sloupce u tohoto histogramu je 10 kalendářních dní.</w:t>
      </w:r>
    </w:p>
    <w:p w14:paraId="155B6854" w14:textId="77777777" w:rsidR="003F57BD" w:rsidRPr="00730B1E" w:rsidRDefault="003F57BD">
      <w:pPr>
        <w:spacing w:after="160" w:line="259" w:lineRule="auto"/>
        <w:jc w:val="left"/>
      </w:pPr>
      <w:r w:rsidRPr="00730B1E">
        <w:br w:type="page"/>
      </w:r>
    </w:p>
    <w:p w14:paraId="1F1F65A0" w14:textId="0828A5BF" w:rsidR="008430BD" w:rsidRPr="00730B1E" w:rsidRDefault="008430BD" w:rsidP="008430BD">
      <w:pPr>
        <w:pStyle w:val="Nadpis3"/>
        <w:numPr>
          <w:ilvl w:val="2"/>
          <w:numId w:val="1"/>
        </w:numPr>
        <w:rPr>
          <w:color w:val="auto"/>
        </w:rPr>
      </w:pPr>
      <w:bookmarkStart w:id="1045" w:name="_Ref511391173"/>
      <w:bookmarkStart w:id="1046" w:name="_Toc515871264"/>
      <w:bookmarkStart w:id="1047" w:name="_Ref40897302"/>
      <w:bookmarkStart w:id="1048" w:name="_Toc106092771"/>
      <w:bookmarkStart w:id="1049" w:name="_Toc169250847"/>
      <w:bookmarkStart w:id="1050" w:name="_Toc174080883"/>
      <w:r w:rsidRPr="00730B1E">
        <w:rPr>
          <w:color w:val="auto"/>
        </w:rPr>
        <w:lastRenderedPageBreak/>
        <w:t>Vyřizování věcí</w:t>
      </w:r>
      <w:bookmarkEnd w:id="1045"/>
      <w:bookmarkEnd w:id="1046"/>
      <w:bookmarkEnd w:id="1047"/>
      <w:bookmarkEnd w:id="1048"/>
      <w:bookmarkEnd w:id="1049"/>
      <w:bookmarkEnd w:id="1050"/>
    </w:p>
    <w:p w14:paraId="5E9EAAB4" w14:textId="4036F234" w:rsidR="00287CA0" w:rsidRPr="00730B1E" w:rsidRDefault="00287CA0" w:rsidP="00287CA0">
      <w:pPr>
        <w:pStyle w:val="Podnadpis"/>
        <w:numPr>
          <w:ilvl w:val="0"/>
          <w:numId w:val="0"/>
        </w:numPr>
        <w:rPr>
          <w:color w:val="auto"/>
        </w:rPr>
      </w:pPr>
      <w:bookmarkStart w:id="1051" w:name="_Toc515871395"/>
      <w:bookmarkStart w:id="1052" w:name="_Toc11135126"/>
      <w:bookmarkStart w:id="1053" w:name="_Toc43841445"/>
      <w:bookmarkStart w:id="1054" w:name="_Toc75952247"/>
      <w:bookmarkStart w:id="1055" w:name="_Toc106106706"/>
      <w:bookmarkStart w:id="1056" w:name="_Toc109802030"/>
      <w:bookmarkStart w:id="1057" w:name="_Toc144104180"/>
      <w:bookmarkStart w:id="1058" w:name="_Toc169250993"/>
      <w:bookmarkStart w:id="1059" w:name="_Toc174080679"/>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74</w:t>
      </w:r>
      <w:r w:rsidRPr="00730B1E">
        <w:rPr>
          <w:color w:val="auto"/>
        </w:rPr>
        <w:fldChar w:fldCharType="end"/>
      </w:r>
      <w:r w:rsidRPr="00730B1E">
        <w:rPr>
          <w:color w:val="auto"/>
        </w:rPr>
        <w:t>: KS – vyřizování odvolacích trestních věcí v letech 2014–</w:t>
      </w:r>
      <w:bookmarkEnd w:id="1051"/>
      <w:r w:rsidRPr="00730B1E">
        <w:rPr>
          <w:color w:val="auto"/>
        </w:rPr>
        <w:t>20</w:t>
      </w:r>
      <w:bookmarkEnd w:id="1052"/>
      <w:bookmarkEnd w:id="1053"/>
      <w:r w:rsidRPr="00730B1E">
        <w:rPr>
          <w:color w:val="auto"/>
        </w:rPr>
        <w:t>2</w:t>
      </w:r>
      <w:bookmarkEnd w:id="1054"/>
      <w:bookmarkEnd w:id="1055"/>
      <w:bookmarkEnd w:id="1056"/>
      <w:bookmarkEnd w:id="1057"/>
      <w:r w:rsidRPr="00730B1E">
        <w:rPr>
          <w:color w:val="auto"/>
        </w:rPr>
        <w:t>3</w:t>
      </w:r>
      <w:bookmarkEnd w:id="1058"/>
      <w:bookmarkEnd w:id="1059"/>
    </w:p>
    <w:p w14:paraId="437A1F11" w14:textId="67E36F75" w:rsidR="00287CA0" w:rsidRPr="00730B1E" w:rsidRDefault="00287CA0" w:rsidP="00287CA0">
      <w:r w:rsidRPr="00730B1E">
        <w:rPr>
          <w:noProof/>
          <w:lang w:eastAsia="cs-CZ"/>
        </w:rPr>
        <w:drawing>
          <wp:inline distT="0" distB="0" distL="0" distR="0" wp14:anchorId="4A60E3EA" wp14:editId="38FD48ED">
            <wp:extent cx="5029200" cy="36576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2504E72" w14:textId="77777777" w:rsidR="003F57BD" w:rsidRPr="00730B1E" w:rsidRDefault="003F57BD" w:rsidP="00287CA0"/>
    <w:p w14:paraId="6EA9BB4C" w14:textId="3C5BA304" w:rsidR="003F57BD" w:rsidRPr="00730B1E" w:rsidRDefault="003F57BD" w:rsidP="003F57BD">
      <w:pPr>
        <w:pStyle w:val="OdstavecASR"/>
      </w:pPr>
      <w:r w:rsidRPr="00730B1E">
        <w:t xml:space="preserve">Zajímavé je, že </w:t>
      </w:r>
      <w:r w:rsidR="0007114D" w:rsidRPr="00730B1E">
        <w:t xml:space="preserve">zatímco </w:t>
      </w:r>
      <w:r w:rsidRPr="00730B1E">
        <w:t xml:space="preserve">počet vyřízených trestních věcí u okresních soudů </w:t>
      </w:r>
      <w:r w:rsidR="0007114D" w:rsidRPr="00730B1E">
        <w:t xml:space="preserve">v letech 2013 až 2016 </w:t>
      </w:r>
      <w:r w:rsidRPr="00730B1E">
        <w:t>klesal, nápad v druhostupňové trestní agendě u krajských soudů byl stabilní. Nápad v této agendě neklesal, protože snížení nápadu u okresních soudů</w:t>
      </w:r>
      <w:r w:rsidR="00ED04BA" w:rsidRPr="00730B1E">
        <w:t xml:space="preserve"> se týkalo </w:t>
      </w:r>
      <w:r w:rsidRPr="00730B1E">
        <w:t>především jednodušší</w:t>
      </w:r>
      <w:r w:rsidR="00ED04BA" w:rsidRPr="00730B1E">
        <w:t>ch</w:t>
      </w:r>
      <w:r w:rsidRPr="00730B1E">
        <w:t xml:space="preserve"> trestní</w:t>
      </w:r>
      <w:r w:rsidR="00ED04BA" w:rsidRPr="00730B1E">
        <w:t>ch</w:t>
      </w:r>
      <w:r w:rsidRPr="00730B1E">
        <w:t xml:space="preserve"> věc</w:t>
      </w:r>
      <w:r w:rsidR="00F80B76" w:rsidRPr="00730B1E">
        <w:t>í</w:t>
      </w:r>
      <w:r w:rsidRPr="00730B1E">
        <w:t xml:space="preserve">, které většinou končily u okresních soudů trestním příkazem; ten nemůže být napaden odvoláním ke krajskému soudu, ale odporem, o němž rozhoduje opět soud okresní. V letech 2017 až 2019 </w:t>
      </w:r>
      <w:r w:rsidR="00ED04BA" w:rsidRPr="00730B1E">
        <w:t>nicméně už i v odvolací agendě</w:t>
      </w:r>
      <w:r w:rsidRPr="00730B1E">
        <w:t xml:space="preserve"> vidíme klesající trend jak v počtu příchozích, tak i v počtu vyřízených věcí. V roce 2020 pokles akceleroval, což lze pravděpodobně opět přisoudit pandemii COVID</w:t>
      </w:r>
      <w:r w:rsidRPr="00730B1E">
        <w:noBreakHyphen/>
        <w:t>19; zároveň totiž po několikaletém poklesu vzrostl (byť nijak závažně) i počet nevyřízených věcí. V</w:t>
      </w:r>
      <w:r w:rsidR="008635B9" w:rsidRPr="00730B1E">
        <w:t> letech 2021 až 2023 pomalý, leč setrvalý pokles ve všech sledovaných ukazatelích pokračoval.</w:t>
      </w:r>
      <w:r w:rsidR="001545B1" w:rsidRPr="00730B1E">
        <w:t xml:space="preserve"> </w:t>
      </w:r>
      <w:r w:rsidR="009B49AA" w:rsidRPr="00730B1E">
        <w:t>P</w:t>
      </w:r>
      <w:r w:rsidR="001545B1" w:rsidRPr="00730B1E">
        <w:t>ro srovnání</w:t>
      </w:r>
      <w:r w:rsidR="00ED04BA" w:rsidRPr="00730B1E">
        <w:t xml:space="preserve"> zmiňujeme, že</w:t>
      </w:r>
      <w:r w:rsidR="001545B1" w:rsidRPr="00730B1E">
        <w:t xml:space="preserve"> nejvyšší </w:t>
      </w:r>
      <w:r w:rsidR="009B49AA" w:rsidRPr="00730B1E">
        <w:t>počet příchozích</w:t>
      </w:r>
      <w:r w:rsidR="001545B1" w:rsidRPr="00730B1E">
        <w:t xml:space="preserve"> v posledních 1</w:t>
      </w:r>
      <w:r w:rsidR="0016261E" w:rsidRPr="00730B1E">
        <w:t>6</w:t>
      </w:r>
      <w:r w:rsidR="001545B1" w:rsidRPr="00730B1E">
        <w:t xml:space="preserve"> letech byl v roce 2010</w:t>
      </w:r>
      <w:r w:rsidR="00ED04BA" w:rsidRPr="00730B1E">
        <w:t>,</w:t>
      </w:r>
      <w:r w:rsidR="001545B1" w:rsidRPr="00730B1E">
        <w:t xml:space="preserve"> kdy dosáhl hodnoty 30</w:t>
      </w:r>
      <w:r w:rsidR="009B49AA" w:rsidRPr="00730B1E">
        <w:t> </w:t>
      </w:r>
      <w:r w:rsidR="001545B1" w:rsidRPr="00730B1E">
        <w:t>154</w:t>
      </w:r>
      <w:r w:rsidR="009B49AA" w:rsidRPr="00730B1E">
        <w:t>.</w:t>
      </w:r>
    </w:p>
    <w:p w14:paraId="2EA8BE8D" w14:textId="0C290F5E" w:rsidR="008635B9" w:rsidRPr="00730B1E" w:rsidRDefault="008635B9" w:rsidP="008635B9">
      <w:pPr>
        <w:pStyle w:val="OdstavecASR"/>
      </w:pPr>
      <w:r w:rsidRPr="00730B1E">
        <w:t xml:space="preserve">U všech soudů </w:t>
      </w:r>
      <w:r w:rsidR="00F15DD7" w:rsidRPr="00730B1E">
        <w:t xml:space="preserve">se </w:t>
      </w:r>
      <w:r w:rsidRPr="00730B1E">
        <w:t xml:space="preserve">míra vyřizování pohybuje do 1,5 procentního bodu </w:t>
      </w:r>
      <w:r w:rsidR="001545B1" w:rsidRPr="00730B1E">
        <w:t xml:space="preserve">kolem hodnoty </w:t>
      </w:r>
      <w:r w:rsidRPr="00730B1E">
        <w:t>100 %. Vzhledem k </w:t>
      </w:r>
      <w:r w:rsidR="00ED04BA" w:rsidRPr="00730B1E">
        <w:t>celkově</w:t>
      </w:r>
      <w:r w:rsidRPr="00730B1E">
        <w:t xml:space="preserve"> nízkému počtu nevyřízených věcí se </w:t>
      </w:r>
      <w:r w:rsidR="00ED04BA" w:rsidRPr="00730B1E">
        <w:t xml:space="preserve">již míra vyřizování odpovídající 101 % </w:t>
      </w:r>
      <w:r w:rsidRPr="00730B1E">
        <w:t>projeví poklesem počtu nevyřízených věcí o desítky procent.</w:t>
      </w:r>
    </w:p>
    <w:p w14:paraId="571A0815" w14:textId="31A987F3" w:rsidR="008635B9" w:rsidRPr="00730B1E" w:rsidRDefault="008635B9">
      <w:pPr>
        <w:spacing w:after="160" w:line="259" w:lineRule="auto"/>
        <w:jc w:val="left"/>
      </w:pPr>
      <w:r w:rsidRPr="00730B1E">
        <w:br w:type="page"/>
      </w:r>
    </w:p>
    <w:p w14:paraId="321AD874" w14:textId="7588C763" w:rsidR="008635B9" w:rsidRPr="00730B1E" w:rsidRDefault="008635B9" w:rsidP="008635B9">
      <w:pPr>
        <w:pStyle w:val="Podnadpis"/>
        <w:rPr>
          <w:color w:val="auto"/>
        </w:rPr>
      </w:pPr>
      <w:bookmarkStart w:id="1060" w:name="_Toc144104303"/>
      <w:bookmarkStart w:id="1061" w:name="_Toc169251118"/>
      <w:bookmarkStart w:id="1062" w:name="_Toc174080804"/>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61</w:t>
      </w:r>
      <w:r w:rsidRPr="00730B1E">
        <w:rPr>
          <w:noProof/>
          <w:color w:val="auto"/>
        </w:rPr>
        <w:fldChar w:fldCharType="end"/>
      </w:r>
      <w:r w:rsidRPr="00730B1E">
        <w:rPr>
          <w:color w:val="auto"/>
        </w:rPr>
        <w:t>: KS – vyřizování odvolacích trestních věcí dle soudů</w:t>
      </w:r>
      <w:bookmarkEnd w:id="1060"/>
      <w:r w:rsidR="009B49AA" w:rsidRPr="00730B1E">
        <w:rPr>
          <w:color w:val="auto"/>
        </w:rPr>
        <w:t>, 2023</w:t>
      </w:r>
      <w:bookmarkEnd w:id="1061"/>
      <w:bookmarkEnd w:id="1062"/>
    </w:p>
    <w:tbl>
      <w:tblPr>
        <w:tblW w:w="9100" w:type="dxa"/>
        <w:tblCellMar>
          <w:left w:w="70" w:type="dxa"/>
          <w:right w:w="70" w:type="dxa"/>
        </w:tblCellMar>
        <w:tblLook w:val="04A0" w:firstRow="1" w:lastRow="0" w:firstColumn="1" w:lastColumn="0" w:noHBand="0" w:noVBand="1"/>
      </w:tblPr>
      <w:tblGrid>
        <w:gridCol w:w="1820"/>
        <w:gridCol w:w="1023"/>
        <w:gridCol w:w="866"/>
        <w:gridCol w:w="1056"/>
        <w:gridCol w:w="1038"/>
        <w:gridCol w:w="849"/>
        <w:gridCol w:w="908"/>
        <w:gridCol w:w="1540"/>
      </w:tblGrid>
      <w:tr w:rsidR="00B64E96" w:rsidRPr="00730B1E" w14:paraId="61C18BF2" w14:textId="77777777" w:rsidTr="008635B9">
        <w:trPr>
          <w:trHeight w:val="330"/>
        </w:trPr>
        <w:tc>
          <w:tcPr>
            <w:tcW w:w="1820" w:type="dxa"/>
            <w:vMerge w:val="restart"/>
            <w:tcBorders>
              <w:top w:val="double" w:sz="6" w:space="0" w:color="auto"/>
              <w:left w:val="nil"/>
              <w:bottom w:val="double" w:sz="6" w:space="0" w:color="000000"/>
              <w:right w:val="nil"/>
            </w:tcBorders>
            <w:shd w:val="clear" w:color="auto" w:fill="auto"/>
            <w:noWrap/>
            <w:vAlign w:val="center"/>
            <w:hideMark/>
          </w:tcPr>
          <w:p w14:paraId="6EC5FEED" w14:textId="4B1E7E1F" w:rsidR="008635B9" w:rsidRPr="00730B1E" w:rsidRDefault="00E4127E" w:rsidP="00DF07F3">
            <w:pPr>
              <w:spacing w:line="240" w:lineRule="auto"/>
              <w:jc w:val="center"/>
              <w:rPr>
                <w:rFonts w:eastAsia="Times New Roman"/>
                <w:b/>
                <w:bCs/>
                <w:szCs w:val="24"/>
                <w:lang w:eastAsia="cs-CZ"/>
              </w:rPr>
            </w:pPr>
            <w:r w:rsidRPr="00730B1E">
              <w:rPr>
                <w:rFonts w:eastAsia="Times New Roman"/>
                <w:b/>
                <w:bCs/>
                <w:szCs w:val="24"/>
                <w:lang w:eastAsia="cs-CZ"/>
              </w:rPr>
              <w:t>S</w:t>
            </w:r>
            <w:r w:rsidR="008635B9" w:rsidRPr="00730B1E">
              <w:rPr>
                <w:rFonts w:eastAsia="Times New Roman"/>
                <w:b/>
                <w:bCs/>
                <w:szCs w:val="24"/>
                <w:lang w:eastAsia="cs-CZ"/>
              </w:rPr>
              <w:t>oud</w:t>
            </w:r>
          </w:p>
        </w:tc>
        <w:tc>
          <w:tcPr>
            <w:tcW w:w="5740" w:type="dxa"/>
            <w:gridSpan w:val="6"/>
            <w:tcBorders>
              <w:top w:val="double" w:sz="6" w:space="0" w:color="auto"/>
              <w:left w:val="nil"/>
              <w:bottom w:val="nil"/>
              <w:right w:val="single" w:sz="4" w:space="0" w:color="000000"/>
            </w:tcBorders>
            <w:shd w:val="clear" w:color="auto" w:fill="auto"/>
            <w:noWrap/>
            <w:vAlign w:val="center"/>
            <w:hideMark/>
          </w:tcPr>
          <w:p w14:paraId="3CD1BF83" w14:textId="77777777"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55ACD057" w14:textId="77777777"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6F3F60E2" w14:textId="77777777" w:rsidTr="008635B9">
        <w:trPr>
          <w:trHeight w:val="330"/>
        </w:trPr>
        <w:tc>
          <w:tcPr>
            <w:tcW w:w="1820" w:type="dxa"/>
            <w:vMerge/>
            <w:tcBorders>
              <w:top w:val="double" w:sz="6" w:space="0" w:color="auto"/>
              <w:left w:val="nil"/>
              <w:bottom w:val="double" w:sz="6" w:space="0" w:color="000000"/>
              <w:right w:val="nil"/>
            </w:tcBorders>
            <w:vAlign w:val="center"/>
            <w:hideMark/>
          </w:tcPr>
          <w:p w14:paraId="5922A3CC" w14:textId="77777777" w:rsidR="008635B9" w:rsidRPr="00730B1E" w:rsidRDefault="008635B9" w:rsidP="008635B9">
            <w:pPr>
              <w:spacing w:line="240" w:lineRule="auto"/>
              <w:jc w:val="left"/>
              <w:rPr>
                <w:rFonts w:eastAsia="Times New Roman"/>
                <w:b/>
                <w:bCs/>
                <w:szCs w:val="24"/>
                <w:lang w:eastAsia="cs-CZ"/>
              </w:rPr>
            </w:pPr>
          </w:p>
        </w:tc>
        <w:tc>
          <w:tcPr>
            <w:tcW w:w="1889" w:type="dxa"/>
            <w:gridSpan w:val="2"/>
            <w:tcBorders>
              <w:top w:val="nil"/>
              <w:left w:val="nil"/>
              <w:bottom w:val="double" w:sz="6" w:space="0" w:color="auto"/>
              <w:right w:val="nil"/>
            </w:tcBorders>
            <w:shd w:val="clear" w:color="auto" w:fill="auto"/>
            <w:noWrap/>
            <w:vAlign w:val="center"/>
            <w:hideMark/>
          </w:tcPr>
          <w:p w14:paraId="20F29DA1" w14:textId="14392A98"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209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695FF22" w14:textId="77777777"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757" w:type="dxa"/>
            <w:gridSpan w:val="2"/>
            <w:tcBorders>
              <w:top w:val="nil"/>
              <w:left w:val="nil"/>
              <w:bottom w:val="double" w:sz="6" w:space="0" w:color="auto"/>
              <w:right w:val="single" w:sz="4" w:space="0" w:color="000000"/>
            </w:tcBorders>
            <w:shd w:val="clear" w:color="auto" w:fill="auto"/>
            <w:noWrap/>
            <w:vAlign w:val="center"/>
            <w:hideMark/>
          </w:tcPr>
          <w:p w14:paraId="1369866F" w14:textId="77777777"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525703F3" w14:textId="77777777" w:rsidR="008635B9" w:rsidRPr="00730B1E" w:rsidRDefault="008635B9" w:rsidP="008635B9">
            <w:pPr>
              <w:spacing w:line="240" w:lineRule="auto"/>
              <w:jc w:val="left"/>
              <w:rPr>
                <w:rFonts w:eastAsia="Times New Roman"/>
                <w:b/>
                <w:bCs/>
                <w:szCs w:val="24"/>
                <w:lang w:eastAsia="cs-CZ"/>
              </w:rPr>
            </w:pPr>
          </w:p>
        </w:tc>
      </w:tr>
      <w:tr w:rsidR="00B64E96" w:rsidRPr="00730B1E" w14:paraId="56761711" w14:textId="77777777" w:rsidTr="008635B9">
        <w:trPr>
          <w:trHeight w:val="330"/>
        </w:trPr>
        <w:tc>
          <w:tcPr>
            <w:tcW w:w="1820" w:type="dxa"/>
            <w:tcBorders>
              <w:top w:val="single" w:sz="4" w:space="0" w:color="auto"/>
              <w:left w:val="nil"/>
              <w:bottom w:val="single" w:sz="4" w:space="0" w:color="auto"/>
              <w:right w:val="nil"/>
            </w:tcBorders>
            <w:shd w:val="clear" w:color="auto" w:fill="auto"/>
            <w:noWrap/>
            <w:vAlign w:val="bottom"/>
            <w:hideMark/>
          </w:tcPr>
          <w:p w14:paraId="6D74B59C"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MS Praha</w:t>
            </w:r>
          </w:p>
        </w:tc>
        <w:tc>
          <w:tcPr>
            <w:tcW w:w="1023" w:type="dxa"/>
            <w:tcBorders>
              <w:top w:val="single" w:sz="4" w:space="0" w:color="auto"/>
              <w:left w:val="nil"/>
              <w:bottom w:val="single" w:sz="4" w:space="0" w:color="auto"/>
              <w:right w:val="nil"/>
            </w:tcBorders>
            <w:shd w:val="clear" w:color="auto" w:fill="auto"/>
            <w:noWrap/>
            <w:vAlign w:val="bottom"/>
            <w:hideMark/>
          </w:tcPr>
          <w:p w14:paraId="31681716"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3 457</w:t>
            </w:r>
          </w:p>
        </w:tc>
        <w:tc>
          <w:tcPr>
            <w:tcW w:w="866" w:type="dxa"/>
            <w:tcBorders>
              <w:top w:val="single" w:sz="4" w:space="0" w:color="auto"/>
              <w:left w:val="nil"/>
              <w:bottom w:val="single" w:sz="4" w:space="0" w:color="auto"/>
              <w:right w:val="nil"/>
            </w:tcBorders>
            <w:shd w:val="clear" w:color="auto" w:fill="auto"/>
            <w:noWrap/>
            <w:vAlign w:val="center"/>
            <w:hideMark/>
          </w:tcPr>
          <w:p w14:paraId="014A72C0"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1056" w:type="dxa"/>
            <w:tcBorders>
              <w:top w:val="single" w:sz="4" w:space="0" w:color="auto"/>
              <w:left w:val="single" w:sz="4" w:space="0" w:color="auto"/>
              <w:bottom w:val="single" w:sz="4" w:space="0" w:color="auto"/>
              <w:right w:val="nil"/>
            </w:tcBorders>
            <w:shd w:val="clear" w:color="auto" w:fill="auto"/>
            <w:noWrap/>
            <w:vAlign w:val="bottom"/>
            <w:hideMark/>
          </w:tcPr>
          <w:p w14:paraId="2020D55E"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3 487</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6A631AC"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849" w:type="dxa"/>
            <w:tcBorders>
              <w:top w:val="single" w:sz="4" w:space="0" w:color="auto"/>
              <w:left w:val="nil"/>
              <w:bottom w:val="single" w:sz="4" w:space="0" w:color="auto"/>
              <w:right w:val="nil"/>
            </w:tcBorders>
            <w:shd w:val="clear" w:color="auto" w:fill="auto"/>
            <w:noWrap/>
            <w:vAlign w:val="bottom"/>
            <w:hideMark/>
          </w:tcPr>
          <w:p w14:paraId="50CC4D24"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150</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14:paraId="48B8425F"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1540" w:type="dxa"/>
            <w:tcBorders>
              <w:top w:val="nil"/>
              <w:left w:val="nil"/>
              <w:bottom w:val="single" w:sz="4" w:space="0" w:color="auto"/>
              <w:right w:val="nil"/>
            </w:tcBorders>
            <w:shd w:val="clear" w:color="auto" w:fill="auto"/>
            <w:noWrap/>
            <w:vAlign w:val="center"/>
            <w:hideMark/>
          </w:tcPr>
          <w:p w14:paraId="5FD7020A" w14:textId="2C97AD7B"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100,9 %</w:t>
            </w:r>
          </w:p>
        </w:tc>
      </w:tr>
      <w:tr w:rsidR="00B64E96" w:rsidRPr="00730B1E" w14:paraId="2317A5FC" w14:textId="77777777" w:rsidTr="008635B9">
        <w:trPr>
          <w:trHeight w:val="315"/>
        </w:trPr>
        <w:tc>
          <w:tcPr>
            <w:tcW w:w="1820" w:type="dxa"/>
            <w:tcBorders>
              <w:top w:val="nil"/>
              <w:left w:val="nil"/>
              <w:bottom w:val="single" w:sz="4" w:space="0" w:color="auto"/>
              <w:right w:val="nil"/>
            </w:tcBorders>
            <w:shd w:val="clear" w:color="auto" w:fill="auto"/>
            <w:noWrap/>
            <w:vAlign w:val="bottom"/>
            <w:hideMark/>
          </w:tcPr>
          <w:p w14:paraId="0B5FD46D"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Praha</w:t>
            </w:r>
          </w:p>
        </w:tc>
        <w:tc>
          <w:tcPr>
            <w:tcW w:w="1023" w:type="dxa"/>
            <w:tcBorders>
              <w:top w:val="nil"/>
              <w:left w:val="nil"/>
              <w:bottom w:val="single" w:sz="4" w:space="0" w:color="auto"/>
              <w:right w:val="nil"/>
            </w:tcBorders>
            <w:shd w:val="clear" w:color="auto" w:fill="auto"/>
            <w:noWrap/>
            <w:vAlign w:val="bottom"/>
            <w:hideMark/>
          </w:tcPr>
          <w:p w14:paraId="766506A0" w14:textId="50C97921"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w:t>
            </w:r>
            <w:r w:rsidR="00E4127E" w:rsidRPr="00730B1E">
              <w:rPr>
                <w:rFonts w:eastAsia="Times New Roman"/>
                <w:szCs w:val="24"/>
                <w:lang w:eastAsia="cs-CZ"/>
              </w:rPr>
              <w:t xml:space="preserve"> </w:t>
            </w:r>
            <w:r w:rsidRPr="00730B1E">
              <w:rPr>
                <w:rFonts w:eastAsia="Times New Roman"/>
                <w:szCs w:val="24"/>
                <w:lang w:eastAsia="cs-CZ"/>
              </w:rPr>
              <w:t>275</w:t>
            </w:r>
          </w:p>
        </w:tc>
        <w:tc>
          <w:tcPr>
            <w:tcW w:w="866" w:type="dxa"/>
            <w:tcBorders>
              <w:top w:val="nil"/>
              <w:left w:val="nil"/>
              <w:bottom w:val="single" w:sz="4" w:space="0" w:color="auto"/>
              <w:right w:val="nil"/>
            </w:tcBorders>
            <w:shd w:val="clear" w:color="auto" w:fill="auto"/>
            <w:noWrap/>
            <w:vAlign w:val="center"/>
            <w:hideMark/>
          </w:tcPr>
          <w:p w14:paraId="1CBC2EB3"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056" w:type="dxa"/>
            <w:tcBorders>
              <w:top w:val="nil"/>
              <w:left w:val="single" w:sz="4" w:space="0" w:color="auto"/>
              <w:bottom w:val="single" w:sz="4" w:space="0" w:color="auto"/>
              <w:right w:val="nil"/>
            </w:tcBorders>
            <w:shd w:val="clear" w:color="auto" w:fill="auto"/>
            <w:noWrap/>
            <w:vAlign w:val="bottom"/>
            <w:hideMark/>
          </w:tcPr>
          <w:p w14:paraId="7A584531" w14:textId="55EC18E4"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w:t>
            </w:r>
            <w:r w:rsidR="00E4127E" w:rsidRPr="00730B1E">
              <w:rPr>
                <w:rFonts w:eastAsia="Times New Roman"/>
                <w:szCs w:val="24"/>
                <w:lang w:eastAsia="cs-CZ"/>
              </w:rPr>
              <w:t xml:space="preserve"> </w:t>
            </w:r>
            <w:r w:rsidRPr="00730B1E">
              <w:rPr>
                <w:rFonts w:eastAsia="Times New Roman"/>
                <w:szCs w:val="24"/>
                <w:lang w:eastAsia="cs-CZ"/>
              </w:rPr>
              <w:t>272</w:t>
            </w:r>
          </w:p>
        </w:tc>
        <w:tc>
          <w:tcPr>
            <w:tcW w:w="1038" w:type="dxa"/>
            <w:tcBorders>
              <w:top w:val="nil"/>
              <w:left w:val="nil"/>
              <w:bottom w:val="single" w:sz="4" w:space="0" w:color="auto"/>
              <w:right w:val="single" w:sz="4" w:space="0" w:color="auto"/>
            </w:tcBorders>
            <w:shd w:val="clear" w:color="auto" w:fill="auto"/>
            <w:noWrap/>
            <w:vAlign w:val="center"/>
            <w:hideMark/>
          </w:tcPr>
          <w:p w14:paraId="27636389"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849" w:type="dxa"/>
            <w:tcBorders>
              <w:top w:val="nil"/>
              <w:left w:val="nil"/>
              <w:bottom w:val="single" w:sz="4" w:space="0" w:color="auto"/>
              <w:right w:val="nil"/>
            </w:tcBorders>
            <w:shd w:val="clear" w:color="auto" w:fill="auto"/>
            <w:noWrap/>
            <w:vAlign w:val="bottom"/>
            <w:hideMark/>
          </w:tcPr>
          <w:p w14:paraId="2AEE46A1"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36</w:t>
            </w:r>
          </w:p>
        </w:tc>
        <w:tc>
          <w:tcPr>
            <w:tcW w:w="908" w:type="dxa"/>
            <w:tcBorders>
              <w:top w:val="nil"/>
              <w:left w:val="nil"/>
              <w:bottom w:val="single" w:sz="4" w:space="0" w:color="auto"/>
              <w:right w:val="single" w:sz="4" w:space="0" w:color="auto"/>
            </w:tcBorders>
            <w:shd w:val="clear" w:color="auto" w:fill="auto"/>
            <w:noWrap/>
            <w:vAlign w:val="center"/>
            <w:hideMark/>
          </w:tcPr>
          <w:p w14:paraId="12184963"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1540" w:type="dxa"/>
            <w:tcBorders>
              <w:top w:val="nil"/>
              <w:left w:val="nil"/>
              <w:bottom w:val="single" w:sz="4" w:space="0" w:color="auto"/>
              <w:right w:val="nil"/>
            </w:tcBorders>
            <w:shd w:val="clear" w:color="auto" w:fill="auto"/>
            <w:noWrap/>
            <w:vAlign w:val="center"/>
            <w:hideMark/>
          </w:tcPr>
          <w:p w14:paraId="48C40599" w14:textId="25FEBCE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99,9 %</w:t>
            </w:r>
          </w:p>
        </w:tc>
      </w:tr>
      <w:tr w:rsidR="00B64E96" w:rsidRPr="00730B1E" w14:paraId="172F7376" w14:textId="77777777" w:rsidTr="008635B9">
        <w:trPr>
          <w:trHeight w:val="315"/>
        </w:trPr>
        <w:tc>
          <w:tcPr>
            <w:tcW w:w="1820" w:type="dxa"/>
            <w:tcBorders>
              <w:top w:val="nil"/>
              <w:left w:val="nil"/>
              <w:bottom w:val="single" w:sz="4" w:space="0" w:color="auto"/>
              <w:right w:val="nil"/>
            </w:tcBorders>
            <w:shd w:val="clear" w:color="auto" w:fill="auto"/>
            <w:noWrap/>
            <w:vAlign w:val="bottom"/>
            <w:hideMark/>
          </w:tcPr>
          <w:p w14:paraId="5D47817F"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Č. Budějovice</w:t>
            </w:r>
          </w:p>
        </w:tc>
        <w:tc>
          <w:tcPr>
            <w:tcW w:w="1023" w:type="dxa"/>
            <w:tcBorders>
              <w:top w:val="nil"/>
              <w:left w:val="nil"/>
              <w:bottom w:val="single" w:sz="4" w:space="0" w:color="auto"/>
              <w:right w:val="nil"/>
            </w:tcBorders>
            <w:shd w:val="clear" w:color="auto" w:fill="auto"/>
            <w:noWrap/>
            <w:vAlign w:val="bottom"/>
            <w:hideMark/>
          </w:tcPr>
          <w:p w14:paraId="1B3FD3E2"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884</w:t>
            </w:r>
          </w:p>
        </w:tc>
        <w:tc>
          <w:tcPr>
            <w:tcW w:w="866" w:type="dxa"/>
            <w:tcBorders>
              <w:top w:val="nil"/>
              <w:left w:val="nil"/>
              <w:bottom w:val="single" w:sz="4" w:space="0" w:color="auto"/>
              <w:right w:val="nil"/>
            </w:tcBorders>
            <w:shd w:val="clear" w:color="auto" w:fill="auto"/>
            <w:noWrap/>
            <w:vAlign w:val="center"/>
            <w:hideMark/>
          </w:tcPr>
          <w:p w14:paraId="7AB04A68"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056" w:type="dxa"/>
            <w:tcBorders>
              <w:top w:val="nil"/>
              <w:left w:val="single" w:sz="4" w:space="0" w:color="auto"/>
              <w:bottom w:val="single" w:sz="4" w:space="0" w:color="auto"/>
              <w:right w:val="nil"/>
            </w:tcBorders>
            <w:shd w:val="clear" w:color="auto" w:fill="auto"/>
            <w:noWrap/>
            <w:vAlign w:val="bottom"/>
            <w:hideMark/>
          </w:tcPr>
          <w:p w14:paraId="582378A8"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895</w:t>
            </w:r>
          </w:p>
        </w:tc>
        <w:tc>
          <w:tcPr>
            <w:tcW w:w="1038" w:type="dxa"/>
            <w:tcBorders>
              <w:top w:val="nil"/>
              <w:left w:val="nil"/>
              <w:bottom w:val="single" w:sz="4" w:space="0" w:color="auto"/>
              <w:right w:val="single" w:sz="4" w:space="0" w:color="auto"/>
            </w:tcBorders>
            <w:shd w:val="clear" w:color="auto" w:fill="auto"/>
            <w:noWrap/>
            <w:vAlign w:val="center"/>
            <w:hideMark/>
          </w:tcPr>
          <w:p w14:paraId="63D8AF0E"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849" w:type="dxa"/>
            <w:tcBorders>
              <w:top w:val="nil"/>
              <w:left w:val="nil"/>
              <w:bottom w:val="single" w:sz="4" w:space="0" w:color="auto"/>
              <w:right w:val="nil"/>
            </w:tcBorders>
            <w:shd w:val="clear" w:color="auto" w:fill="auto"/>
            <w:noWrap/>
            <w:vAlign w:val="bottom"/>
            <w:hideMark/>
          </w:tcPr>
          <w:p w14:paraId="0AC086C1"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82</w:t>
            </w:r>
          </w:p>
        </w:tc>
        <w:tc>
          <w:tcPr>
            <w:tcW w:w="908" w:type="dxa"/>
            <w:tcBorders>
              <w:top w:val="nil"/>
              <w:left w:val="nil"/>
              <w:bottom w:val="single" w:sz="4" w:space="0" w:color="auto"/>
              <w:right w:val="single" w:sz="4" w:space="0" w:color="auto"/>
            </w:tcBorders>
            <w:shd w:val="clear" w:color="auto" w:fill="auto"/>
            <w:noWrap/>
            <w:vAlign w:val="center"/>
            <w:hideMark/>
          </w:tcPr>
          <w:p w14:paraId="16FE455A"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540" w:type="dxa"/>
            <w:tcBorders>
              <w:top w:val="nil"/>
              <w:left w:val="nil"/>
              <w:bottom w:val="single" w:sz="4" w:space="0" w:color="auto"/>
              <w:right w:val="nil"/>
            </w:tcBorders>
            <w:shd w:val="clear" w:color="auto" w:fill="auto"/>
            <w:noWrap/>
            <w:vAlign w:val="center"/>
            <w:hideMark/>
          </w:tcPr>
          <w:p w14:paraId="33B739C1" w14:textId="2FAC28FD"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101,2 %</w:t>
            </w:r>
          </w:p>
        </w:tc>
      </w:tr>
      <w:tr w:rsidR="00B64E96" w:rsidRPr="00730B1E" w14:paraId="7134C82A" w14:textId="77777777" w:rsidTr="008635B9">
        <w:trPr>
          <w:trHeight w:val="315"/>
        </w:trPr>
        <w:tc>
          <w:tcPr>
            <w:tcW w:w="1820" w:type="dxa"/>
            <w:tcBorders>
              <w:top w:val="nil"/>
              <w:left w:val="nil"/>
              <w:bottom w:val="single" w:sz="4" w:space="0" w:color="auto"/>
              <w:right w:val="nil"/>
            </w:tcBorders>
            <w:shd w:val="clear" w:color="auto" w:fill="auto"/>
            <w:noWrap/>
            <w:vAlign w:val="bottom"/>
            <w:hideMark/>
          </w:tcPr>
          <w:p w14:paraId="126D4140"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Plzeň</w:t>
            </w:r>
          </w:p>
        </w:tc>
        <w:tc>
          <w:tcPr>
            <w:tcW w:w="1023" w:type="dxa"/>
            <w:tcBorders>
              <w:top w:val="nil"/>
              <w:left w:val="nil"/>
              <w:bottom w:val="single" w:sz="4" w:space="0" w:color="auto"/>
              <w:right w:val="nil"/>
            </w:tcBorders>
            <w:shd w:val="clear" w:color="auto" w:fill="auto"/>
            <w:noWrap/>
            <w:vAlign w:val="bottom"/>
            <w:hideMark/>
          </w:tcPr>
          <w:p w14:paraId="046CDD64" w14:textId="0BA83231"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w:t>
            </w:r>
            <w:r w:rsidR="00E4127E" w:rsidRPr="00730B1E">
              <w:rPr>
                <w:rFonts w:eastAsia="Times New Roman"/>
                <w:szCs w:val="24"/>
                <w:lang w:eastAsia="cs-CZ"/>
              </w:rPr>
              <w:t xml:space="preserve"> </w:t>
            </w:r>
            <w:r w:rsidRPr="00730B1E">
              <w:rPr>
                <w:rFonts w:eastAsia="Times New Roman"/>
                <w:szCs w:val="24"/>
                <w:lang w:eastAsia="cs-CZ"/>
              </w:rPr>
              <w:t>738</w:t>
            </w:r>
          </w:p>
        </w:tc>
        <w:tc>
          <w:tcPr>
            <w:tcW w:w="866" w:type="dxa"/>
            <w:tcBorders>
              <w:top w:val="nil"/>
              <w:left w:val="nil"/>
              <w:bottom w:val="single" w:sz="4" w:space="0" w:color="auto"/>
              <w:right w:val="nil"/>
            </w:tcBorders>
            <w:shd w:val="clear" w:color="auto" w:fill="auto"/>
            <w:noWrap/>
            <w:vAlign w:val="center"/>
            <w:hideMark/>
          </w:tcPr>
          <w:p w14:paraId="5F75EE16"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56" w:type="dxa"/>
            <w:tcBorders>
              <w:top w:val="nil"/>
              <w:left w:val="single" w:sz="4" w:space="0" w:color="auto"/>
              <w:bottom w:val="single" w:sz="4" w:space="0" w:color="auto"/>
              <w:right w:val="nil"/>
            </w:tcBorders>
            <w:shd w:val="clear" w:color="auto" w:fill="auto"/>
            <w:noWrap/>
            <w:vAlign w:val="bottom"/>
            <w:hideMark/>
          </w:tcPr>
          <w:p w14:paraId="4A3BBB00" w14:textId="2E8613A6"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w:t>
            </w:r>
            <w:r w:rsidR="00E4127E" w:rsidRPr="00730B1E">
              <w:rPr>
                <w:rFonts w:eastAsia="Times New Roman"/>
                <w:szCs w:val="24"/>
                <w:lang w:eastAsia="cs-CZ"/>
              </w:rPr>
              <w:t xml:space="preserve"> </w:t>
            </w:r>
            <w:r w:rsidRPr="00730B1E">
              <w:rPr>
                <w:rFonts w:eastAsia="Times New Roman"/>
                <w:szCs w:val="24"/>
                <w:lang w:eastAsia="cs-CZ"/>
              </w:rPr>
              <w:t>748</w:t>
            </w:r>
          </w:p>
        </w:tc>
        <w:tc>
          <w:tcPr>
            <w:tcW w:w="1038" w:type="dxa"/>
            <w:tcBorders>
              <w:top w:val="nil"/>
              <w:left w:val="nil"/>
              <w:bottom w:val="single" w:sz="4" w:space="0" w:color="auto"/>
              <w:right w:val="single" w:sz="4" w:space="0" w:color="auto"/>
            </w:tcBorders>
            <w:shd w:val="clear" w:color="auto" w:fill="auto"/>
            <w:noWrap/>
            <w:vAlign w:val="center"/>
            <w:hideMark/>
          </w:tcPr>
          <w:p w14:paraId="7081D640"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849" w:type="dxa"/>
            <w:tcBorders>
              <w:top w:val="nil"/>
              <w:left w:val="nil"/>
              <w:bottom w:val="single" w:sz="4" w:space="0" w:color="auto"/>
              <w:right w:val="nil"/>
            </w:tcBorders>
            <w:shd w:val="clear" w:color="auto" w:fill="auto"/>
            <w:noWrap/>
            <w:vAlign w:val="bottom"/>
            <w:hideMark/>
          </w:tcPr>
          <w:p w14:paraId="40053AA1"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110</w:t>
            </w:r>
          </w:p>
        </w:tc>
        <w:tc>
          <w:tcPr>
            <w:tcW w:w="908" w:type="dxa"/>
            <w:tcBorders>
              <w:top w:val="nil"/>
              <w:left w:val="nil"/>
              <w:bottom w:val="single" w:sz="4" w:space="0" w:color="auto"/>
              <w:right w:val="single" w:sz="4" w:space="0" w:color="auto"/>
            </w:tcBorders>
            <w:shd w:val="clear" w:color="auto" w:fill="auto"/>
            <w:noWrap/>
            <w:vAlign w:val="center"/>
            <w:hideMark/>
          </w:tcPr>
          <w:p w14:paraId="23A70330"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1540" w:type="dxa"/>
            <w:tcBorders>
              <w:top w:val="nil"/>
              <w:left w:val="nil"/>
              <w:bottom w:val="single" w:sz="4" w:space="0" w:color="auto"/>
              <w:right w:val="nil"/>
            </w:tcBorders>
            <w:shd w:val="clear" w:color="auto" w:fill="auto"/>
            <w:noWrap/>
            <w:vAlign w:val="center"/>
            <w:hideMark/>
          </w:tcPr>
          <w:p w14:paraId="593213F7" w14:textId="624618B1"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100,6 %</w:t>
            </w:r>
          </w:p>
        </w:tc>
      </w:tr>
      <w:tr w:rsidR="00B64E96" w:rsidRPr="00730B1E" w14:paraId="7AB4B0A1" w14:textId="77777777" w:rsidTr="008635B9">
        <w:trPr>
          <w:trHeight w:val="315"/>
        </w:trPr>
        <w:tc>
          <w:tcPr>
            <w:tcW w:w="1820" w:type="dxa"/>
            <w:tcBorders>
              <w:top w:val="nil"/>
              <w:left w:val="nil"/>
              <w:bottom w:val="single" w:sz="4" w:space="0" w:color="auto"/>
              <w:right w:val="nil"/>
            </w:tcBorders>
            <w:shd w:val="clear" w:color="auto" w:fill="auto"/>
            <w:noWrap/>
            <w:vAlign w:val="bottom"/>
            <w:hideMark/>
          </w:tcPr>
          <w:p w14:paraId="10EFE082"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Ústí n. Labem</w:t>
            </w:r>
          </w:p>
        </w:tc>
        <w:tc>
          <w:tcPr>
            <w:tcW w:w="1023" w:type="dxa"/>
            <w:tcBorders>
              <w:top w:val="nil"/>
              <w:left w:val="nil"/>
              <w:bottom w:val="single" w:sz="4" w:space="0" w:color="auto"/>
              <w:right w:val="nil"/>
            </w:tcBorders>
            <w:shd w:val="clear" w:color="auto" w:fill="auto"/>
            <w:noWrap/>
            <w:vAlign w:val="bottom"/>
            <w:hideMark/>
          </w:tcPr>
          <w:p w14:paraId="5D848868" w14:textId="58985B2F"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w:t>
            </w:r>
            <w:r w:rsidR="00E4127E" w:rsidRPr="00730B1E">
              <w:rPr>
                <w:rFonts w:eastAsia="Times New Roman"/>
                <w:szCs w:val="24"/>
                <w:lang w:eastAsia="cs-CZ"/>
              </w:rPr>
              <w:t xml:space="preserve"> </w:t>
            </w:r>
            <w:r w:rsidRPr="00730B1E">
              <w:rPr>
                <w:rFonts w:eastAsia="Times New Roman"/>
                <w:szCs w:val="24"/>
                <w:lang w:eastAsia="cs-CZ"/>
              </w:rPr>
              <w:t>837</w:t>
            </w:r>
          </w:p>
        </w:tc>
        <w:tc>
          <w:tcPr>
            <w:tcW w:w="866" w:type="dxa"/>
            <w:tcBorders>
              <w:top w:val="nil"/>
              <w:left w:val="nil"/>
              <w:bottom w:val="single" w:sz="4" w:space="0" w:color="auto"/>
              <w:right w:val="nil"/>
            </w:tcBorders>
            <w:shd w:val="clear" w:color="auto" w:fill="auto"/>
            <w:noWrap/>
            <w:vAlign w:val="center"/>
            <w:hideMark/>
          </w:tcPr>
          <w:p w14:paraId="4071EBED"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56" w:type="dxa"/>
            <w:tcBorders>
              <w:top w:val="nil"/>
              <w:left w:val="single" w:sz="4" w:space="0" w:color="auto"/>
              <w:bottom w:val="single" w:sz="4" w:space="0" w:color="auto"/>
              <w:right w:val="nil"/>
            </w:tcBorders>
            <w:shd w:val="clear" w:color="auto" w:fill="auto"/>
            <w:noWrap/>
            <w:vAlign w:val="bottom"/>
            <w:hideMark/>
          </w:tcPr>
          <w:p w14:paraId="6D74BD62" w14:textId="1463431C"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w:t>
            </w:r>
            <w:r w:rsidR="00E4127E" w:rsidRPr="00730B1E">
              <w:rPr>
                <w:rFonts w:eastAsia="Times New Roman"/>
                <w:szCs w:val="24"/>
                <w:lang w:eastAsia="cs-CZ"/>
              </w:rPr>
              <w:t xml:space="preserve"> </w:t>
            </w:r>
            <w:r w:rsidRPr="00730B1E">
              <w:rPr>
                <w:rFonts w:eastAsia="Times New Roman"/>
                <w:szCs w:val="24"/>
                <w:lang w:eastAsia="cs-CZ"/>
              </w:rPr>
              <w:t>822</w:t>
            </w:r>
          </w:p>
        </w:tc>
        <w:tc>
          <w:tcPr>
            <w:tcW w:w="1038" w:type="dxa"/>
            <w:tcBorders>
              <w:top w:val="nil"/>
              <w:left w:val="nil"/>
              <w:bottom w:val="single" w:sz="4" w:space="0" w:color="auto"/>
              <w:right w:val="single" w:sz="4" w:space="0" w:color="auto"/>
            </w:tcBorders>
            <w:shd w:val="clear" w:color="auto" w:fill="auto"/>
            <w:noWrap/>
            <w:vAlign w:val="center"/>
            <w:hideMark/>
          </w:tcPr>
          <w:p w14:paraId="32925416"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849" w:type="dxa"/>
            <w:tcBorders>
              <w:top w:val="nil"/>
              <w:left w:val="nil"/>
              <w:bottom w:val="single" w:sz="4" w:space="0" w:color="auto"/>
              <w:right w:val="nil"/>
            </w:tcBorders>
            <w:shd w:val="clear" w:color="auto" w:fill="auto"/>
            <w:noWrap/>
            <w:vAlign w:val="bottom"/>
            <w:hideMark/>
          </w:tcPr>
          <w:p w14:paraId="32B090A8"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282</w:t>
            </w:r>
          </w:p>
        </w:tc>
        <w:tc>
          <w:tcPr>
            <w:tcW w:w="908" w:type="dxa"/>
            <w:tcBorders>
              <w:top w:val="nil"/>
              <w:left w:val="nil"/>
              <w:bottom w:val="single" w:sz="4" w:space="0" w:color="auto"/>
              <w:right w:val="single" w:sz="4" w:space="0" w:color="auto"/>
            </w:tcBorders>
            <w:shd w:val="clear" w:color="auto" w:fill="auto"/>
            <w:noWrap/>
            <w:vAlign w:val="center"/>
            <w:hideMark/>
          </w:tcPr>
          <w:p w14:paraId="3AAA4D81"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540" w:type="dxa"/>
            <w:tcBorders>
              <w:top w:val="nil"/>
              <w:left w:val="nil"/>
              <w:bottom w:val="single" w:sz="4" w:space="0" w:color="auto"/>
              <w:right w:val="nil"/>
            </w:tcBorders>
            <w:shd w:val="clear" w:color="auto" w:fill="auto"/>
            <w:noWrap/>
            <w:vAlign w:val="center"/>
            <w:hideMark/>
          </w:tcPr>
          <w:p w14:paraId="326C2ADA" w14:textId="2401907D"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99,5 %</w:t>
            </w:r>
          </w:p>
        </w:tc>
      </w:tr>
      <w:tr w:rsidR="00B64E96" w:rsidRPr="00730B1E" w14:paraId="1665A243" w14:textId="77777777" w:rsidTr="008635B9">
        <w:trPr>
          <w:trHeight w:val="315"/>
        </w:trPr>
        <w:tc>
          <w:tcPr>
            <w:tcW w:w="1820" w:type="dxa"/>
            <w:tcBorders>
              <w:top w:val="nil"/>
              <w:left w:val="nil"/>
              <w:bottom w:val="single" w:sz="4" w:space="0" w:color="auto"/>
              <w:right w:val="nil"/>
            </w:tcBorders>
            <w:shd w:val="clear" w:color="auto" w:fill="auto"/>
            <w:noWrap/>
            <w:vAlign w:val="bottom"/>
            <w:hideMark/>
          </w:tcPr>
          <w:p w14:paraId="00E8FC9D"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Hr. Králové</w:t>
            </w:r>
          </w:p>
        </w:tc>
        <w:tc>
          <w:tcPr>
            <w:tcW w:w="1023" w:type="dxa"/>
            <w:tcBorders>
              <w:top w:val="nil"/>
              <w:left w:val="nil"/>
              <w:bottom w:val="single" w:sz="4" w:space="0" w:color="auto"/>
              <w:right w:val="nil"/>
            </w:tcBorders>
            <w:shd w:val="clear" w:color="auto" w:fill="auto"/>
            <w:noWrap/>
            <w:vAlign w:val="bottom"/>
            <w:hideMark/>
          </w:tcPr>
          <w:p w14:paraId="052FCAB6" w14:textId="22E88EDF"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w:t>
            </w:r>
            <w:r w:rsidR="00E4127E" w:rsidRPr="00730B1E">
              <w:rPr>
                <w:rFonts w:eastAsia="Times New Roman"/>
                <w:szCs w:val="24"/>
                <w:lang w:eastAsia="cs-CZ"/>
              </w:rPr>
              <w:t xml:space="preserve"> </w:t>
            </w:r>
            <w:r w:rsidRPr="00730B1E">
              <w:rPr>
                <w:rFonts w:eastAsia="Times New Roman"/>
                <w:szCs w:val="24"/>
                <w:lang w:eastAsia="cs-CZ"/>
              </w:rPr>
              <w:t>659</w:t>
            </w:r>
          </w:p>
        </w:tc>
        <w:tc>
          <w:tcPr>
            <w:tcW w:w="866" w:type="dxa"/>
            <w:tcBorders>
              <w:top w:val="nil"/>
              <w:left w:val="nil"/>
              <w:bottom w:val="single" w:sz="4" w:space="0" w:color="auto"/>
              <w:right w:val="nil"/>
            </w:tcBorders>
            <w:shd w:val="clear" w:color="auto" w:fill="auto"/>
            <w:noWrap/>
            <w:vAlign w:val="center"/>
            <w:hideMark/>
          </w:tcPr>
          <w:p w14:paraId="15805A06"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1056" w:type="dxa"/>
            <w:tcBorders>
              <w:top w:val="nil"/>
              <w:left w:val="single" w:sz="4" w:space="0" w:color="auto"/>
              <w:bottom w:val="single" w:sz="4" w:space="0" w:color="auto"/>
              <w:right w:val="nil"/>
            </w:tcBorders>
            <w:shd w:val="clear" w:color="auto" w:fill="auto"/>
            <w:noWrap/>
            <w:vAlign w:val="bottom"/>
            <w:hideMark/>
          </w:tcPr>
          <w:p w14:paraId="780A561A" w14:textId="42F16DF5"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w:t>
            </w:r>
            <w:r w:rsidR="00E4127E" w:rsidRPr="00730B1E">
              <w:rPr>
                <w:rFonts w:eastAsia="Times New Roman"/>
                <w:szCs w:val="24"/>
                <w:lang w:eastAsia="cs-CZ"/>
              </w:rPr>
              <w:t xml:space="preserve"> </w:t>
            </w:r>
            <w:r w:rsidRPr="00730B1E">
              <w:rPr>
                <w:rFonts w:eastAsia="Times New Roman"/>
                <w:szCs w:val="24"/>
                <w:lang w:eastAsia="cs-CZ"/>
              </w:rPr>
              <w:t>671</w:t>
            </w:r>
          </w:p>
        </w:tc>
        <w:tc>
          <w:tcPr>
            <w:tcW w:w="1038" w:type="dxa"/>
            <w:tcBorders>
              <w:top w:val="nil"/>
              <w:left w:val="nil"/>
              <w:bottom w:val="single" w:sz="4" w:space="0" w:color="auto"/>
              <w:right w:val="single" w:sz="4" w:space="0" w:color="auto"/>
            </w:tcBorders>
            <w:shd w:val="clear" w:color="auto" w:fill="auto"/>
            <w:noWrap/>
            <w:vAlign w:val="center"/>
            <w:hideMark/>
          </w:tcPr>
          <w:p w14:paraId="3F960DAD"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849" w:type="dxa"/>
            <w:tcBorders>
              <w:top w:val="nil"/>
              <w:left w:val="nil"/>
              <w:bottom w:val="single" w:sz="4" w:space="0" w:color="auto"/>
              <w:right w:val="nil"/>
            </w:tcBorders>
            <w:shd w:val="clear" w:color="auto" w:fill="auto"/>
            <w:noWrap/>
            <w:vAlign w:val="bottom"/>
            <w:hideMark/>
          </w:tcPr>
          <w:p w14:paraId="7A9776FE"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72</w:t>
            </w:r>
          </w:p>
        </w:tc>
        <w:tc>
          <w:tcPr>
            <w:tcW w:w="908" w:type="dxa"/>
            <w:tcBorders>
              <w:top w:val="nil"/>
              <w:left w:val="nil"/>
              <w:bottom w:val="single" w:sz="4" w:space="0" w:color="auto"/>
              <w:right w:val="single" w:sz="4" w:space="0" w:color="auto"/>
            </w:tcBorders>
            <w:shd w:val="clear" w:color="auto" w:fill="auto"/>
            <w:noWrap/>
            <w:vAlign w:val="center"/>
            <w:hideMark/>
          </w:tcPr>
          <w:p w14:paraId="1FBCE39D"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1540" w:type="dxa"/>
            <w:tcBorders>
              <w:top w:val="nil"/>
              <w:left w:val="nil"/>
              <w:bottom w:val="single" w:sz="4" w:space="0" w:color="auto"/>
              <w:right w:val="nil"/>
            </w:tcBorders>
            <w:shd w:val="clear" w:color="auto" w:fill="auto"/>
            <w:noWrap/>
            <w:vAlign w:val="center"/>
            <w:hideMark/>
          </w:tcPr>
          <w:p w14:paraId="2C74C2E5" w14:textId="015D23C1"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100,7 %</w:t>
            </w:r>
          </w:p>
        </w:tc>
      </w:tr>
      <w:tr w:rsidR="00B64E96" w:rsidRPr="00730B1E" w14:paraId="6E501BFE" w14:textId="77777777" w:rsidTr="008635B9">
        <w:trPr>
          <w:trHeight w:val="315"/>
        </w:trPr>
        <w:tc>
          <w:tcPr>
            <w:tcW w:w="1820" w:type="dxa"/>
            <w:tcBorders>
              <w:top w:val="nil"/>
              <w:left w:val="nil"/>
              <w:bottom w:val="single" w:sz="4" w:space="0" w:color="auto"/>
              <w:right w:val="nil"/>
            </w:tcBorders>
            <w:shd w:val="clear" w:color="auto" w:fill="auto"/>
            <w:noWrap/>
            <w:vAlign w:val="bottom"/>
            <w:hideMark/>
          </w:tcPr>
          <w:p w14:paraId="540E9A5D"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Brno</w:t>
            </w:r>
          </w:p>
        </w:tc>
        <w:tc>
          <w:tcPr>
            <w:tcW w:w="1023" w:type="dxa"/>
            <w:tcBorders>
              <w:top w:val="nil"/>
              <w:left w:val="nil"/>
              <w:bottom w:val="single" w:sz="4" w:space="0" w:color="auto"/>
              <w:right w:val="nil"/>
            </w:tcBorders>
            <w:shd w:val="clear" w:color="auto" w:fill="auto"/>
            <w:noWrap/>
            <w:vAlign w:val="bottom"/>
            <w:hideMark/>
          </w:tcPr>
          <w:p w14:paraId="4F44BA33" w14:textId="3D9CFF00"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w:t>
            </w:r>
            <w:r w:rsidR="00E4127E" w:rsidRPr="00730B1E">
              <w:rPr>
                <w:rFonts w:eastAsia="Times New Roman"/>
                <w:szCs w:val="24"/>
                <w:lang w:eastAsia="cs-CZ"/>
              </w:rPr>
              <w:t xml:space="preserve"> </w:t>
            </w:r>
            <w:r w:rsidRPr="00730B1E">
              <w:rPr>
                <w:rFonts w:eastAsia="Times New Roman"/>
                <w:szCs w:val="24"/>
                <w:lang w:eastAsia="cs-CZ"/>
              </w:rPr>
              <w:t>417</w:t>
            </w:r>
          </w:p>
        </w:tc>
        <w:tc>
          <w:tcPr>
            <w:tcW w:w="866" w:type="dxa"/>
            <w:tcBorders>
              <w:top w:val="nil"/>
              <w:left w:val="nil"/>
              <w:bottom w:val="single" w:sz="4" w:space="0" w:color="auto"/>
              <w:right w:val="nil"/>
            </w:tcBorders>
            <w:shd w:val="clear" w:color="auto" w:fill="auto"/>
            <w:noWrap/>
            <w:vAlign w:val="center"/>
            <w:hideMark/>
          </w:tcPr>
          <w:p w14:paraId="1AA81D42"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056" w:type="dxa"/>
            <w:tcBorders>
              <w:top w:val="nil"/>
              <w:left w:val="single" w:sz="4" w:space="0" w:color="auto"/>
              <w:bottom w:val="single" w:sz="4" w:space="0" w:color="auto"/>
              <w:right w:val="nil"/>
            </w:tcBorders>
            <w:shd w:val="clear" w:color="auto" w:fill="auto"/>
            <w:noWrap/>
            <w:vAlign w:val="bottom"/>
            <w:hideMark/>
          </w:tcPr>
          <w:p w14:paraId="3E772194" w14:textId="2B778EF8"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w:t>
            </w:r>
            <w:r w:rsidR="00E4127E" w:rsidRPr="00730B1E">
              <w:rPr>
                <w:rFonts w:eastAsia="Times New Roman"/>
                <w:szCs w:val="24"/>
                <w:lang w:eastAsia="cs-CZ"/>
              </w:rPr>
              <w:t xml:space="preserve"> </w:t>
            </w:r>
            <w:r w:rsidRPr="00730B1E">
              <w:rPr>
                <w:rFonts w:eastAsia="Times New Roman"/>
                <w:szCs w:val="24"/>
                <w:lang w:eastAsia="cs-CZ"/>
              </w:rPr>
              <w:t>445</w:t>
            </w:r>
          </w:p>
        </w:tc>
        <w:tc>
          <w:tcPr>
            <w:tcW w:w="1038" w:type="dxa"/>
            <w:tcBorders>
              <w:top w:val="nil"/>
              <w:left w:val="nil"/>
              <w:bottom w:val="single" w:sz="4" w:space="0" w:color="auto"/>
              <w:right w:val="single" w:sz="4" w:space="0" w:color="auto"/>
            </w:tcBorders>
            <w:shd w:val="clear" w:color="auto" w:fill="auto"/>
            <w:noWrap/>
            <w:vAlign w:val="center"/>
            <w:hideMark/>
          </w:tcPr>
          <w:p w14:paraId="7B4FF1DF"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849" w:type="dxa"/>
            <w:tcBorders>
              <w:top w:val="nil"/>
              <w:left w:val="nil"/>
              <w:bottom w:val="single" w:sz="4" w:space="0" w:color="auto"/>
              <w:right w:val="nil"/>
            </w:tcBorders>
            <w:shd w:val="clear" w:color="auto" w:fill="auto"/>
            <w:noWrap/>
            <w:vAlign w:val="bottom"/>
            <w:hideMark/>
          </w:tcPr>
          <w:p w14:paraId="44FEE050"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203</w:t>
            </w:r>
          </w:p>
        </w:tc>
        <w:tc>
          <w:tcPr>
            <w:tcW w:w="908" w:type="dxa"/>
            <w:tcBorders>
              <w:top w:val="nil"/>
              <w:left w:val="nil"/>
              <w:bottom w:val="single" w:sz="4" w:space="0" w:color="auto"/>
              <w:right w:val="single" w:sz="4" w:space="0" w:color="auto"/>
            </w:tcBorders>
            <w:shd w:val="clear" w:color="auto" w:fill="auto"/>
            <w:noWrap/>
            <w:vAlign w:val="center"/>
            <w:hideMark/>
          </w:tcPr>
          <w:p w14:paraId="00F030E9"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540" w:type="dxa"/>
            <w:tcBorders>
              <w:top w:val="nil"/>
              <w:left w:val="nil"/>
              <w:bottom w:val="single" w:sz="4" w:space="0" w:color="auto"/>
              <w:right w:val="nil"/>
            </w:tcBorders>
            <w:shd w:val="clear" w:color="auto" w:fill="auto"/>
            <w:noWrap/>
            <w:vAlign w:val="center"/>
            <w:hideMark/>
          </w:tcPr>
          <w:p w14:paraId="199117F0" w14:textId="19B9A62F"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101,2 %</w:t>
            </w:r>
          </w:p>
        </w:tc>
      </w:tr>
      <w:tr w:rsidR="00B64E96" w:rsidRPr="00730B1E" w14:paraId="364034AC" w14:textId="77777777" w:rsidTr="008635B9">
        <w:trPr>
          <w:trHeight w:val="330"/>
        </w:trPr>
        <w:tc>
          <w:tcPr>
            <w:tcW w:w="1820" w:type="dxa"/>
            <w:tcBorders>
              <w:top w:val="nil"/>
              <w:left w:val="nil"/>
              <w:bottom w:val="double" w:sz="6" w:space="0" w:color="auto"/>
              <w:right w:val="nil"/>
            </w:tcBorders>
            <w:shd w:val="clear" w:color="auto" w:fill="auto"/>
            <w:noWrap/>
            <w:vAlign w:val="bottom"/>
            <w:hideMark/>
          </w:tcPr>
          <w:p w14:paraId="124EC165"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Ostrava</w:t>
            </w:r>
          </w:p>
        </w:tc>
        <w:tc>
          <w:tcPr>
            <w:tcW w:w="1023" w:type="dxa"/>
            <w:tcBorders>
              <w:top w:val="nil"/>
              <w:left w:val="nil"/>
              <w:bottom w:val="double" w:sz="6" w:space="0" w:color="auto"/>
              <w:right w:val="nil"/>
            </w:tcBorders>
            <w:shd w:val="clear" w:color="auto" w:fill="auto"/>
            <w:noWrap/>
            <w:vAlign w:val="bottom"/>
            <w:hideMark/>
          </w:tcPr>
          <w:p w14:paraId="725E00F4" w14:textId="70E0E75A"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w:t>
            </w:r>
            <w:r w:rsidR="00E4127E" w:rsidRPr="00730B1E">
              <w:rPr>
                <w:rFonts w:eastAsia="Times New Roman"/>
                <w:szCs w:val="24"/>
                <w:lang w:eastAsia="cs-CZ"/>
              </w:rPr>
              <w:t xml:space="preserve"> </w:t>
            </w:r>
            <w:r w:rsidRPr="00730B1E">
              <w:rPr>
                <w:rFonts w:eastAsia="Times New Roman"/>
                <w:szCs w:val="24"/>
                <w:lang w:eastAsia="cs-CZ"/>
              </w:rPr>
              <w:t>893</w:t>
            </w:r>
          </w:p>
        </w:tc>
        <w:tc>
          <w:tcPr>
            <w:tcW w:w="866" w:type="dxa"/>
            <w:tcBorders>
              <w:top w:val="nil"/>
              <w:left w:val="nil"/>
              <w:bottom w:val="double" w:sz="6" w:space="0" w:color="auto"/>
              <w:right w:val="nil"/>
            </w:tcBorders>
            <w:shd w:val="clear" w:color="auto" w:fill="auto"/>
            <w:noWrap/>
            <w:vAlign w:val="center"/>
            <w:hideMark/>
          </w:tcPr>
          <w:p w14:paraId="1B577280"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56" w:type="dxa"/>
            <w:tcBorders>
              <w:top w:val="nil"/>
              <w:left w:val="single" w:sz="4" w:space="0" w:color="auto"/>
              <w:bottom w:val="double" w:sz="6" w:space="0" w:color="auto"/>
              <w:right w:val="nil"/>
            </w:tcBorders>
            <w:shd w:val="clear" w:color="auto" w:fill="auto"/>
            <w:noWrap/>
            <w:vAlign w:val="bottom"/>
            <w:hideMark/>
          </w:tcPr>
          <w:p w14:paraId="04D054AC" w14:textId="4BC267FF"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w:t>
            </w:r>
            <w:r w:rsidR="00E4127E" w:rsidRPr="00730B1E">
              <w:rPr>
                <w:rFonts w:eastAsia="Times New Roman"/>
                <w:szCs w:val="24"/>
                <w:lang w:eastAsia="cs-CZ"/>
              </w:rPr>
              <w:t xml:space="preserve"> </w:t>
            </w:r>
            <w:r w:rsidRPr="00730B1E">
              <w:rPr>
                <w:rFonts w:eastAsia="Times New Roman"/>
                <w:szCs w:val="24"/>
                <w:lang w:eastAsia="cs-CZ"/>
              </w:rPr>
              <w:t>900</w:t>
            </w:r>
          </w:p>
        </w:tc>
        <w:tc>
          <w:tcPr>
            <w:tcW w:w="1038" w:type="dxa"/>
            <w:tcBorders>
              <w:top w:val="nil"/>
              <w:left w:val="nil"/>
              <w:bottom w:val="double" w:sz="6" w:space="0" w:color="auto"/>
              <w:right w:val="single" w:sz="4" w:space="0" w:color="auto"/>
            </w:tcBorders>
            <w:shd w:val="clear" w:color="auto" w:fill="auto"/>
            <w:noWrap/>
            <w:vAlign w:val="center"/>
            <w:hideMark/>
          </w:tcPr>
          <w:p w14:paraId="474CF87D"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849" w:type="dxa"/>
            <w:tcBorders>
              <w:top w:val="nil"/>
              <w:left w:val="nil"/>
              <w:bottom w:val="double" w:sz="6" w:space="0" w:color="auto"/>
              <w:right w:val="nil"/>
            </w:tcBorders>
            <w:shd w:val="clear" w:color="auto" w:fill="auto"/>
            <w:noWrap/>
            <w:vAlign w:val="bottom"/>
            <w:hideMark/>
          </w:tcPr>
          <w:p w14:paraId="6EE5C17A"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342</w:t>
            </w:r>
          </w:p>
        </w:tc>
        <w:tc>
          <w:tcPr>
            <w:tcW w:w="908" w:type="dxa"/>
            <w:tcBorders>
              <w:top w:val="nil"/>
              <w:left w:val="nil"/>
              <w:bottom w:val="double" w:sz="6" w:space="0" w:color="auto"/>
              <w:right w:val="single" w:sz="4" w:space="0" w:color="auto"/>
            </w:tcBorders>
            <w:shd w:val="clear" w:color="auto" w:fill="auto"/>
            <w:noWrap/>
            <w:vAlign w:val="center"/>
            <w:hideMark/>
          </w:tcPr>
          <w:p w14:paraId="7F3C5F00"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540" w:type="dxa"/>
            <w:tcBorders>
              <w:top w:val="nil"/>
              <w:left w:val="nil"/>
              <w:bottom w:val="nil"/>
              <w:right w:val="nil"/>
            </w:tcBorders>
            <w:shd w:val="clear" w:color="auto" w:fill="auto"/>
            <w:noWrap/>
            <w:vAlign w:val="center"/>
            <w:hideMark/>
          </w:tcPr>
          <w:p w14:paraId="4A15829A" w14:textId="7FD2A0DA"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100,2 %</w:t>
            </w:r>
          </w:p>
        </w:tc>
      </w:tr>
      <w:tr w:rsidR="00B64E96" w:rsidRPr="00730B1E" w14:paraId="0B4F26BF" w14:textId="77777777" w:rsidTr="008635B9">
        <w:trPr>
          <w:trHeight w:val="345"/>
        </w:trPr>
        <w:tc>
          <w:tcPr>
            <w:tcW w:w="1820" w:type="dxa"/>
            <w:tcBorders>
              <w:top w:val="nil"/>
              <w:left w:val="nil"/>
              <w:bottom w:val="double" w:sz="6" w:space="0" w:color="auto"/>
              <w:right w:val="nil"/>
            </w:tcBorders>
            <w:shd w:val="clear" w:color="auto" w:fill="auto"/>
            <w:noWrap/>
            <w:vAlign w:val="bottom"/>
            <w:hideMark/>
          </w:tcPr>
          <w:p w14:paraId="58318572" w14:textId="77777777" w:rsidR="008635B9" w:rsidRPr="00730B1E" w:rsidRDefault="008635B9" w:rsidP="008635B9">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23" w:type="dxa"/>
            <w:tcBorders>
              <w:top w:val="nil"/>
              <w:left w:val="nil"/>
              <w:bottom w:val="double" w:sz="6" w:space="0" w:color="auto"/>
              <w:right w:val="nil"/>
            </w:tcBorders>
            <w:shd w:val="clear" w:color="auto" w:fill="auto"/>
            <w:noWrap/>
            <w:vAlign w:val="bottom"/>
            <w:hideMark/>
          </w:tcPr>
          <w:p w14:paraId="7ED953E1" w14:textId="3E138585"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18</w:t>
            </w:r>
            <w:r w:rsidR="00E4127E" w:rsidRPr="00730B1E">
              <w:rPr>
                <w:rFonts w:eastAsia="Times New Roman"/>
                <w:b/>
                <w:bCs/>
                <w:szCs w:val="24"/>
                <w:lang w:eastAsia="cs-CZ"/>
              </w:rPr>
              <w:t xml:space="preserve"> </w:t>
            </w:r>
            <w:r w:rsidRPr="00730B1E">
              <w:rPr>
                <w:rFonts w:eastAsia="Times New Roman"/>
                <w:b/>
                <w:bCs/>
                <w:szCs w:val="24"/>
                <w:lang w:eastAsia="cs-CZ"/>
              </w:rPr>
              <w:t>160</w:t>
            </w:r>
          </w:p>
        </w:tc>
        <w:tc>
          <w:tcPr>
            <w:tcW w:w="866" w:type="dxa"/>
            <w:tcBorders>
              <w:top w:val="nil"/>
              <w:left w:val="nil"/>
              <w:bottom w:val="double" w:sz="6" w:space="0" w:color="auto"/>
              <w:right w:val="nil"/>
            </w:tcBorders>
            <w:shd w:val="clear" w:color="auto" w:fill="auto"/>
            <w:noWrap/>
            <w:vAlign w:val="center"/>
            <w:hideMark/>
          </w:tcPr>
          <w:p w14:paraId="7273ED66" w14:textId="77777777" w:rsidR="008635B9" w:rsidRPr="00730B1E" w:rsidRDefault="008635B9" w:rsidP="008635B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-2 %  </w:t>
            </w:r>
          </w:p>
        </w:tc>
        <w:tc>
          <w:tcPr>
            <w:tcW w:w="1056" w:type="dxa"/>
            <w:tcBorders>
              <w:top w:val="nil"/>
              <w:left w:val="single" w:sz="4" w:space="0" w:color="auto"/>
              <w:bottom w:val="double" w:sz="6" w:space="0" w:color="auto"/>
              <w:right w:val="nil"/>
            </w:tcBorders>
            <w:shd w:val="clear" w:color="auto" w:fill="auto"/>
            <w:noWrap/>
            <w:vAlign w:val="bottom"/>
            <w:hideMark/>
          </w:tcPr>
          <w:p w14:paraId="64675C43" w14:textId="198C9872"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18</w:t>
            </w:r>
            <w:r w:rsidR="00E4127E" w:rsidRPr="00730B1E">
              <w:rPr>
                <w:rFonts w:eastAsia="Times New Roman"/>
                <w:b/>
                <w:bCs/>
                <w:szCs w:val="24"/>
                <w:lang w:eastAsia="cs-CZ"/>
              </w:rPr>
              <w:t xml:space="preserve"> </w:t>
            </w:r>
            <w:r w:rsidRPr="00730B1E">
              <w:rPr>
                <w:rFonts w:eastAsia="Times New Roman"/>
                <w:b/>
                <w:bCs/>
                <w:szCs w:val="24"/>
                <w:lang w:eastAsia="cs-CZ"/>
              </w:rPr>
              <w:t>240</w:t>
            </w:r>
          </w:p>
        </w:tc>
        <w:tc>
          <w:tcPr>
            <w:tcW w:w="1038" w:type="dxa"/>
            <w:tcBorders>
              <w:top w:val="nil"/>
              <w:left w:val="nil"/>
              <w:bottom w:val="double" w:sz="6" w:space="0" w:color="auto"/>
              <w:right w:val="single" w:sz="4" w:space="0" w:color="auto"/>
            </w:tcBorders>
            <w:shd w:val="clear" w:color="auto" w:fill="auto"/>
            <w:noWrap/>
            <w:vAlign w:val="center"/>
            <w:hideMark/>
          </w:tcPr>
          <w:p w14:paraId="6C4B5A11" w14:textId="77777777" w:rsidR="008635B9" w:rsidRPr="00730B1E" w:rsidRDefault="008635B9" w:rsidP="008635B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-2 %  </w:t>
            </w:r>
          </w:p>
        </w:tc>
        <w:tc>
          <w:tcPr>
            <w:tcW w:w="849" w:type="dxa"/>
            <w:tcBorders>
              <w:top w:val="nil"/>
              <w:left w:val="nil"/>
              <w:bottom w:val="double" w:sz="6" w:space="0" w:color="auto"/>
              <w:right w:val="nil"/>
            </w:tcBorders>
            <w:shd w:val="clear" w:color="auto" w:fill="auto"/>
            <w:noWrap/>
            <w:vAlign w:val="bottom"/>
            <w:hideMark/>
          </w:tcPr>
          <w:p w14:paraId="21CB3550" w14:textId="11549C7E"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1</w:t>
            </w:r>
            <w:r w:rsidR="00E4127E" w:rsidRPr="00730B1E">
              <w:rPr>
                <w:rFonts w:eastAsia="Times New Roman"/>
                <w:b/>
                <w:bCs/>
                <w:szCs w:val="24"/>
                <w:lang w:eastAsia="cs-CZ"/>
              </w:rPr>
              <w:t xml:space="preserve"> </w:t>
            </w:r>
            <w:r w:rsidRPr="00730B1E">
              <w:rPr>
                <w:rFonts w:eastAsia="Times New Roman"/>
                <w:b/>
                <w:bCs/>
                <w:szCs w:val="24"/>
                <w:lang w:eastAsia="cs-CZ"/>
              </w:rPr>
              <w:t>277</w:t>
            </w:r>
          </w:p>
        </w:tc>
        <w:tc>
          <w:tcPr>
            <w:tcW w:w="908" w:type="dxa"/>
            <w:tcBorders>
              <w:top w:val="nil"/>
              <w:left w:val="nil"/>
              <w:bottom w:val="double" w:sz="6" w:space="0" w:color="auto"/>
              <w:right w:val="single" w:sz="4" w:space="0" w:color="auto"/>
            </w:tcBorders>
            <w:shd w:val="clear" w:color="auto" w:fill="auto"/>
            <w:noWrap/>
            <w:vAlign w:val="center"/>
            <w:hideMark/>
          </w:tcPr>
          <w:p w14:paraId="0BC910B6" w14:textId="77777777" w:rsidR="008635B9" w:rsidRPr="00730B1E" w:rsidRDefault="008635B9" w:rsidP="008635B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-6 %  </w:t>
            </w:r>
          </w:p>
        </w:tc>
        <w:tc>
          <w:tcPr>
            <w:tcW w:w="1540" w:type="dxa"/>
            <w:tcBorders>
              <w:top w:val="double" w:sz="6" w:space="0" w:color="auto"/>
              <w:left w:val="nil"/>
              <w:bottom w:val="double" w:sz="6" w:space="0" w:color="auto"/>
              <w:right w:val="nil"/>
            </w:tcBorders>
            <w:shd w:val="clear" w:color="auto" w:fill="auto"/>
            <w:noWrap/>
            <w:vAlign w:val="center"/>
            <w:hideMark/>
          </w:tcPr>
          <w:p w14:paraId="3B92D701" w14:textId="7D1F418A"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100,4 %</w:t>
            </w:r>
          </w:p>
        </w:tc>
      </w:tr>
      <w:tr w:rsidR="00B64E96" w:rsidRPr="00730B1E" w14:paraId="5F6F3E6F" w14:textId="77777777" w:rsidTr="008635B9">
        <w:trPr>
          <w:trHeight w:val="330"/>
        </w:trPr>
        <w:tc>
          <w:tcPr>
            <w:tcW w:w="1820" w:type="dxa"/>
            <w:tcBorders>
              <w:top w:val="nil"/>
              <w:left w:val="nil"/>
              <w:bottom w:val="nil"/>
              <w:right w:val="nil"/>
            </w:tcBorders>
            <w:shd w:val="clear" w:color="auto" w:fill="auto"/>
            <w:noWrap/>
            <w:vAlign w:val="bottom"/>
            <w:hideMark/>
          </w:tcPr>
          <w:p w14:paraId="768E17A5" w14:textId="77777777" w:rsidR="008635B9" w:rsidRPr="00730B1E" w:rsidRDefault="008635B9" w:rsidP="008635B9">
            <w:pPr>
              <w:spacing w:line="240" w:lineRule="auto"/>
              <w:jc w:val="center"/>
              <w:rPr>
                <w:rFonts w:eastAsia="Times New Roman"/>
                <w:b/>
                <w:bCs/>
                <w:szCs w:val="24"/>
                <w:lang w:eastAsia="cs-CZ"/>
              </w:rPr>
            </w:pPr>
          </w:p>
        </w:tc>
        <w:tc>
          <w:tcPr>
            <w:tcW w:w="1023" w:type="dxa"/>
            <w:tcBorders>
              <w:top w:val="nil"/>
              <w:left w:val="nil"/>
              <w:bottom w:val="nil"/>
              <w:right w:val="nil"/>
            </w:tcBorders>
            <w:shd w:val="clear" w:color="auto" w:fill="auto"/>
            <w:noWrap/>
            <w:vAlign w:val="bottom"/>
            <w:hideMark/>
          </w:tcPr>
          <w:p w14:paraId="442DFFDD" w14:textId="77777777" w:rsidR="008635B9" w:rsidRPr="00DF07F3" w:rsidRDefault="008635B9" w:rsidP="008635B9">
            <w:pPr>
              <w:spacing w:line="240" w:lineRule="auto"/>
              <w:jc w:val="left"/>
              <w:rPr>
                <w:sz w:val="20"/>
              </w:rPr>
            </w:pPr>
          </w:p>
        </w:tc>
        <w:tc>
          <w:tcPr>
            <w:tcW w:w="866" w:type="dxa"/>
            <w:tcBorders>
              <w:top w:val="nil"/>
              <w:left w:val="nil"/>
              <w:bottom w:val="nil"/>
              <w:right w:val="nil"/>
            </w:tcBorders>
            <w:shd w:val="clear" w:color="auto" w:fill="auto"/>
            <w:noWrap/>
            <w:vAlign w:val="bottom"/>
            <w:hideMark/>
          </w:tcPr>
          <w:p w14:paraId="33BDA2EB" w14:textId="77777777" w:rsidR="008635B9" w:rsidRPr="00DF07F3" w:rsidRDefault="008635B9" w:rsidP="008635B9">
            <w:pPr>
              <w:spacing w:line="240" w:lineRule="auto"/>
              <w:jc w:val="left"/>
              <w:rPr>
                <w:sz w:val="20"/>
              </w:rPr>
            </w:pPr>
          </w:p>
        </w:tc>
        <w:tc>
          <w:tcPr>
            <w:tcW w:w="1056" w:type="dxa"/>
            <w:tcBorders>
              <w:top w:val="nil"/>
              <w:left w:val="nil"/>
              <w:bottom w:val="nil"/>
              <w:right w:val="nil"/>
            </w:tcBorders>
            <w:shd w:val="clear" w:color="auto" w:fill="auto"/>
            <w:noWrap/>
            <w:vAlign w:val="bottom"/>
            <w:hideMark/>
          </w:tcPr>
          <w:p w14:paraId="0D1FDEDA" w14:textId="77777777" w:rsidR="008635B9" w:rsidRPr="00DF07F3" w:rsidRDefault="008635B9" w:rsidP="008635B9">
            <w:pPr>
              <w:spacing w:line="240" w:lineRule="auto"/>
              <w:jc w:val="left"/>
              <w:rPr>
                <w:sz w:val="20"/>
              </w:rPr>
            </w:pPr>
          </w:p>
        </w:tc>
        <w:tc>
          <w:tcPr>
            <w:tcW w:w="1038" w:type="dxa"/>
            <w:tcBorders>
              <w:top w:val="nil"/>
              <w:left w:val="nil"/>
              <w:bottom w:val="nil"/>
              <w:right w:val="nil"/>
            </w:tcBorders>
            <w:shd w:val="clear" w:color="auto" w:fill="auto"/>
            <w:noWrap/>
            <w:vAlign w:val="bottom"/>
            <w:hideMark/>
          </w:tcPr>
          <w:p w14:paraId="1AB4FDA1" w14:textId="77777777" w:rsidR="008635B9" w:rsidRPr="00DF07F3" w:rsidRDefault="008635B9" w:rsidP="008635B9">
            <w:pPr>
              <w:spacing w:line="240" w:lineRule="auto"/>
              <w:jc w:val="left"/>
              <w:rPr>
                <w:sz w:val="20"/>
              </w:rPr>
            </w:pPr>
          </w:p>
        </w:tc>
        <w:tc>
          <w:tcPr>
            <w:tcW w:w="849" w:type="dxa"/>
            <w:tcBorders>
              <w:top w:val="nil"/>
              <w:left w:val="nil"/>
              <w:bottom w:val="nil"/>
              <w:right w:val="nil"/>
            </w:tcBorders>
            <w:shd w:val="clear" w:color="auto" w:fill="auto"/>
            <w:noWrap/>
            <w:vAlign w:val="bottom"/>
            <w:hideMark/>
          </w:tcPr>
          <w:p w14:paraId="2C72D850" w14:textId="77777777" w:rsidR="008635B9" w:rsidRPr="00DF07F3" w:rsidRDefault="008635B9" w:rsidP="008635B9">
            <w:pPr>
              <w:spacing w:line="240" w:lineRule="auto"/>
              <w:jc w:val="left"/>
              <w:rPr>
                <w:sz w:val="20"/>
              </w:rPr>
            </w:pPr>
          </w:p>
        </w:tc>
        <w:tc>
          <w:tcPr>
            <w:tcW w:w="908" w:type="dxa"/>
            <w:tcBorders>
              <w:top w:val="nil"/>
              <w:left w:val="nil"/>
              <w:bottom w:val="nil"/>
              <w:right w:val="nil"/>
            </w:tcBorders>
            <w:shd w:val="clear" w:color="auto" w:fill="auto"/>
            <w:noWrap/>
            <w:vAlign w:val="bottom"/>
            <w:hideMark/>
          </w:tcPr>
          <w:p w14:paraId="4CE15233" w14:textId="77777777" w:rsidR="008635B9" w:rsidRPr="00DF07F3" w:rsidRDefault="008635B9" w:rsidP="008635B9">
            <w:pPr>
              <w:spacing w:line="240" w:lineRule="auto"/>
              <w:jc w:val="left"/>
              <w:rPr>
                <w:sz w:val="20"/>
              </w:rPr>
            </w:pPr>
          </w:p>
        </w:tc>
        <w:tc>
          <w:tcPr>
            <w:tcW w:w="1540" w:type="dxa"/>
            <w:tcBorders>
              <w:top w:val="nil"/>
              <w:left w:val="nil"/>
              <w:bottom w:val="nil"/>
              <w:right w:val="nil"/>
            </w:tcBorders>
            <w:shd w:val="clear" w:color="auto" w:fill="auto"/>
            <w:noWrap/>
            <w:vAlign w:val="bottom"/>
            <w:hideMark/>
          </w:tcPr>
          <w:p w14:paraId="7B1B3FE5" w14:textId="77777777" w:rsidR="008635B9" w:rsidRPr="00DF07F3" w:rsidRDefault="008635B9" w:rsidP="008635B9">
            <w:pPr>
              <w:spacing w:line="240" w:lineRule="auto"/>
              <w:jc w:val="left"/>
              <w:rPr>
                <w:sz w:val="20"/>
              </w:rPr>
            </w:pPr>
          </w:p>
        </w:tc>
      </w:tr>
    </w:tbl>
    <w:p w14:paraId="13FD4A7E" w14:textId="77777777" w:rsidR="00E77F6B" w:rsidRPr="00730B1E" w:rsidRDefault="00E77F6B" w:rsidP="00E77F6B">
      <w:pPr>
        <w:pStyle w:val="Nadpis3"/>
        <w:numPr>
          <w:ilvl w:val="2"/>
          <w:numId w:val="1"/>
        </w:numPr>
        <w:rPr>
          <w:color w:val="auto"/>
        </w:rPr>
      </w:pPr>
      <w:bookmarkStart w:id="1063" w:name="_Toc109801383"/>
      <w:bookmarkStart w:id="1064" w:name="_Toc169250848"/>
      <w:bookmarkStart w:id="1065" w:name="_Toc174080884"/>
      <w:r w:rsidRPr="00730B1E">
        <w:rPr>
          <w:color w:val="auto"/>
        </w:rPr>
        <w:t>Vyřizování v přepočtu na soudce</w:t>
      </w:r>
      <w:bookmarkEnd w:id="1063"/>
      <w:bookmarkEnd w:id="1064"/>
      <w:bookmarkEnd w:id="1065"/>
    </w:p>
    <w:p w14:paraId="423927B8" w14:textId="77777777" w:rsidR="008635B9" w:rsidRPr="00730B1E" w:rsidRDefault="008635B9" w:rsidP="008635B9">
      <w:r w:rsidRPr="00730B1E">
        <w:t>Tabulka opět uvádí přepočet na skutečný úvazek dle dostupných dat. V počtu vyřízených a příchozích věcí na soudce (míněno na skutečný úvazek) vidíme, že mezi soudy jsou určité rozdíly, ale žádný soud extrémně nevybočuje. Suverénně nejméně nevyřízených věcí na soudce má KS Praha, nejvíce jich pak má KS Ostrava (dříve to bylo Ústí nad Labem).</w:t>
      </w:r>
    </w:p>
    <w:p w14:paraId="25B58BFF" w14:textId="3A0BC7CB" w:rsidR="008635B9" w:rsidRPr="00730B1E" w:rsidRDefault="008635B9" w:rsidP="008635B9">
      <w:pPr>
        <w:pStyle w:val="Podnadpis"/>
        <w:numPr>
          <w:ilvl w:val="0"/>
          <w:numId w:val="0"/>
        </w:numPr>
        <w:rPr>
          <w:color w:val="auto"/>
        </w:rPr>
      </w:pPr>
      <w:bookmarkStart w:id="1066" w:name="_Toc43931234"/>
      <w:bookmarkStart w:id="1067" w:name="_Toc75952367"/>
      <w:bookmarkStart w:id="1068" w:name="_Toc106106822"/>
      <w:bookmarkStart w:id="1069" w:name="_Toc109802145"/>
      <w:bookmarkStart w:id="1070" w:name="_Toc144104304"/>
      <w:bookmarkStart w:id="1071" w:name="_Toc169251119"/>
      <w:bookmarkStart w:id="1072" w:name="_Toc174080805"/>
      <w:bookmarkStart w:id="1073" w:name="_Hlk137211257"/>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62</w:t>
      </w:r>
      <w:r w:rsidRPr="00730B1E">
        <w:rPr>
          <w:noProof/>
          <w:color w:val="auto"/>
        </w:rPr>
        <w:fldChar w:fldCharType="end"/>
      </w:r>
      <w:r w:rsidRPr="00730B1E">
        <w:rPr>
          <w:color w:val="auto"/>
        </w:rPr>
        <w:t>: KS – vyřiz. odvolacích tr. věcí na skutečný úvazek dle soudů</w:t>
      </w:r>
      <w:bookmarkEnd w:id="1066"/>
      <w:bookmarkEnd w:id="1067"/>
      <w:bookmarkEnd w:id="1068"/>
      <w:bookmarkEnd w:id="1069"/>
      <w:bookmarkEnd w:id="1070"/>
      <w:r w:rsidR="009B49AA" w:rsidRPr="00730B1E">
        <w:rPr>
          <w:color w:val="auto"/>
        </w:rPr>
        <w:t>, 2023</w:t>
      </w:r>
      <w:bookmarkEnd w:id="1071"/>
      <w:bookmarkEnd w:id="1072"/>
    </w:p>
    <w:tbl>
      <w:tblPr>
        <w:tblW w:w="9240" w:type="dxa"/>
        <w:tblCellMar>
          <w:left w:w="70" w:type="dxa"/>
          <w:right w:w="70" w:type="dxa"/>
        </w:tblCellMar>
        <w:tblLook w:val="04A0" w:firstRow="1" w:lastRow="0" w:firstColumn="1" w:lastColumn="0" w:noHBand="0" w:noVBand="1"/>
      </w:tblPr>
      <w:tblGrid>
        <w:gridCol w:w="2060"/>
        <w:gridCol w:w="1060"/>
        <w:gridCol w:w="1121"/>
        <w:gridCol w:w="984"/>
        <w:gridCol w:w="1121"/>
        <w:gridCol w:w="984"/>
        <w:gridCol w:w="926"/>
        <w:gridCol w:w="984"/>
      </w:tblGrid>
      <w:tr w:rsidR="00B64E96" w:rsidRPr="00730B1E" w14:paraId="486927A7" w14:textId="77777777" w:rsidTr="008635B9">
        <w:trPr>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5BDC6059" w14:textId="6CA4C5DD" w:rsidR="008635B9" w:rsidRPr="00730B1E" w:rsidRDefault="00E4127E" w:rsidP="008635B9">
            <w:pPr>
              <w:spacing w:line="240" w:lineRule="auto"/>
              <w:jc w:val="center"/>
              <w:rPr>
                <w:rFonts w:eastAsia="Times New Roman"/>
                <w:b/>
                <w:bCs/>
                <w:szCs w:val="24"/>
                <w:lang w:eastAsia="cs-CZ"/>
              </w:rPr>
            </w:pPr>
            <w:r w:rsidRPr="00730B1E">
              <w:rPr>
                <w:rFonts w:eastAsia="Times New Roman"/>
                <w:b/>
                <w:bCs/>
                <w:szCs w:val="24"/>
                <w:lang w:eastAsia="cs-CZ"/>
              </w:rPr>
              <w:t>S</w:t>
            </w:r>
            <w:r w:rsidR="008635B9" w:rsidRPr="00730B1E">
              <w:rPr>
                <w:rFonts w:eastAsia="Times New Roman"/>
                <w:b/>
                <w:bCs/>
                <w:szCs w:val="24"/>
                <w:lang w:eastAsia="cs-CZ"/>
              </w:rPr>
              <w:t>oud</w:t>
            </w:r>
          </w:p>
        </w:tc>
        <w:tc>
          <w:tcPr>
            <w:tcW w:w="1060" w:type="dxa"/>
            <w:vMerge w:val="restart"/>
            <w:tcBorders>
              <w:top w:val="double" w:sz="6" w:space="0" w:color="auto"/>
              <w:left w:val="nil"/>
              <w:bottom w:val="double" w:sz="6" w:space="0" w:color="000000"/>
              <w:right w:val="nil"/>
            </w:tcBorders>
            <w:shd w:val="clear" w:color="auto" w:fill="auto"/>
            <w:vAlign w:val="center"/>
            <w:hideMark/>
          </w:tcPr>
          <w:p w14:paraId="30690BE7" w14:textId="77777777"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6120" w:type="dxa"/>
            <w:gridSpan w:val="6"/>
            <w:tcBorders>
              <w:top w:val="double" w:sz="6" w:space="0" w:color="auto"/>
              <w:left w:val="nil"/>
              <w:bottom w:val="nil"/>
              <w:right w:val="nil"/>
            </w:tcBorders>
            <w:shd w:val="clear" w:color="auto" w:fill="auto"/>
            <w:noWrap/>
            <w:vAlign w:val="center"/>
            <w:hideMark/>
          </w:tcPr>
          <w:p w14:paraId="48FA6107" w14:textId="77777777"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0C5FE5A0" w14:textId="77777777" w:rsidTr="008635B9">
        <w:trPr>
          <w:trHeight w:val="330"/>
        </w:trPr>
        <w:tc>
          <w:tcPr>
            <w:tcW w:w="2060" w:type="dxa"/>
            <w:vMerge/>
            <w:tcBorders>
              <w:top w:val="double" w:sz="6" w:space="0" w:color="auto"/>
              <w:left w:val="nil"/>
              <w:bottom w:val="double" w:sz="6" w:space="0" w:color="000000"/>
              <w:right w:val="nil"/>
            </w:tcBorders>
            <w:vAlign w:val="center"/>
            <w:hideMark/>
          </w:tcPr>
          <w:p w14:paraId="052310E8" w14:textId="77777777" w:rsidR="008635B9" w:rsidRPr="00730B1E" w:rsidRDefault="008635B9" w:rsidP="008635B9">
            <w:pPr>
              <w:spacing w:line="240" w:lineRule="auto"/>
              <w:jc w:val="left"/>
              <w:rPr>
                <w:rFonts w:eastAsia="Times New Roman"/>
                <w:b/>
                <w:bCs/>
                <w:szCs w:val="24"/>
                <w:lang w:eastAsia="cs-CZ"/>
              </w:rPr>
            </w:pPr>
          </w:p>
        </w:tc>
        <w:tc>
          <w:tcPr>
            <w:tcW w:w="1060" w:type="dxa"/>
            <w:vMerge/>
            <w:tcBorders>
              <w:top w:val="double" w:sz="6" w:space="0" w:color="auto"/>
              <w:left w:val="nil"/>
              <w:bottom w:val="double" w:sz="6" w:space="0" w:color="000000"/>
              <w:right w:val="nil"/>
            </w:tcBorders>
            <w:vAlign w:val="center"/>
            <w:hideMark/>
          </w:tcPr>
          <w:p w14:paraId="2D4C4297" w14:textId="77777777" w:rsidR="008635B9" w:rsidRPr="00730B1E" w:rsidRDefault="008635B9" w:rsidP="008635B9">
            <w:pPr>
              <w:spacing w:line="240" w:lineRule="auto"/>
              <w:jc w:val="left"/>
              <w:rPr>
                <w:rFonts w:eastAsia="Times New Roman"/>
                <w:b/>
                <w:bCs/>
                <w:szCs w:val="24"/>
                <w:lang w:eastAsia="cs-CZ"/>
              </w:rPr>
            </w:pPr>
          </w:p>
        </w:tc>
        <w:tc>
          <w:tcPr>
            <w:tcW w:w="2105" w:type="dxa"/>
            <w:gridSpan w:val="2"/>
            <w:tcBorders>
              <w:top w:val="nil"/>
              <w:left w:val="nil"/>
              <w:bottom w:val="double" w:sz="6" w:space="0" w:color="auto"/>
              <w:right w:val="nil"/>
            </w:tcBorders>
            <w:shd w:val="clear" w:color="auto" w:fill="auto"/>
            <w:noWrap/>
            <w:vAlign w:val="center"/>
            <w:hideMark/>
          </w:tcPr>
          <w:p w14:paraId="61A35812" w14:textId="6C97C319"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210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27693BD" w14:textId="77777777"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910" w:type="dxa"/>
            <w:gridSpan w:val="2"/>
            <w:tcBorders>
              <w:top w:val="nil"/>
              <w:left w:val="nil"/>
              <w:bottom w:val="double" w:sz="6" w:space="0" w:color="auto"/>
              <w:right w:val="nil"/>
            </w:tcBorders>
            <w:shd w:val="clear" w:color="auto" w:fill="auto"/>
            <w:noWrap/>
            <w:vAlign w:val="center"/>
            <w:hideMark/>
          </w:tcPr>
          <w:p w14:paraId="2A0E9466" w14:textId="77777777"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5D087669" w14:textId="77777777" w:rsidTr="008635B9">
        <w:trPr>
          <w:trHeight w:val="330"/>
        </w:trPr>
        <w:tc>
          <w:tcPr>
            <w:tcW w:w="2060" w:type="dxa"/>
            <w:tcBorders>
              <w:top w:val="single" w:sz="4" w:space="0" w:color="auto"/>
              <w:left w:val="nil"/>
              <w:bottom w:val="single" w:sz="4" w:space="0" w:color="auto"/>
              <w:right w:val="nil"/>
            </w:tcBorders>
            <w:shd w:val="clear" w:color="auto" w:fill="auto"/>
            <w:noWrap/>
            <w:vAlign w:val="bottom"/>
            <w:hideMark/>
          </w:tcPr>
          <w:p w14:paraId="55F8D310"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MS Praha</w:t>
            </w:r>
          </w:p>
        </w:tc>
        <w:tc>
          <w:tcPr>
            <w:tcW w:w="1060" w:type="dxa"/>
            <w:tcBorders>
              <w:top w:val="single" w:sz="4" w:space="0" w:color="auto"/>
              <w:left w:val="nil"/>
              <w:bottom w:val="single" w:sz="4" w:space="0" w:color="auto"/>
              <w:right w:val="nil"/>
            </w:tcBorders>
            <w:shd w:val="clear" w:color="auto" w:fill="auto"/>
            <w:noWrap/>
            <w:vAlign w:val="bottom"/>
            <w:hideMark/>
          </w:tcPr>
          <w:p w14:paraId="45C5DF89" w14:textId="4170E2B0"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21,3</w:t>
            </w:r>
          </w:p>
        </w:tc>
        <w:tc>
          <w:tcPr>
            <w:tcW w:w="1121" w:type="dxa"/>
            <w:tcBorders>
              <w:top w:val="single" w:sz="4" w:space="0" w:color="auto"/>
              <w:left w:val="nil"/>
              <w:bottom w:val="single" w:sz="4" w:space="0" w:color="auto"/>
              <w:right w:val="nil"/>
            </w:tcBorders>
            <w:shd w:val="clear" w:color="auto" w:fill="auto"/>
            <w:noWrap/>
            <w:vAlign w:val="bottom"/>
            <w:hideMark/>
          </w:tcPr>
          <w:p w14:paraId="531D52A0" w14:textId="1F2E240E"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162,30</w:t>
            </w:r>
          </w:p>
        </w:tc>
        <w:tc>
          <w:tcPr>
            <w:tcW w:w="984" w:type="dxa"/>
            <w:tcBorders>
              <w:top w:val="single" w:sz="4" w:space="0" w:color="auto"/>
              <w:left w:val="nil"/>
              <w:bottom w:val="single" w:sz="4" w:space="0" w:color="auto"/>
              <w:right w:val="nil"/>
            </w:tcBorders>
            <w:shd w:val="clear" w:color="auto" w:fill="auto"/>
            <w:noWrap/>
            <w:vAlign w:val="center"/>
            <w:hideMark/>
          </w:tcPr>
          <w:p w14:paraId="26F7A562"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121" w:type="dxa"/>
            <w:tcBorders>
              <w:top w:val="nil"/>
              <w:left w:val="single" w:sz="4" w:space="0" w:color="auto"/>
              <w:bottom w:val="single" w:sz="4" w:space="0" w:color="auto"/>
              <w:right w:val="nil"/>
            </w:tcBorders>
            <w:shd w:val="clear" w:color="auto" w:fill="auto"/>
            <w:noWrap/>
            <w:vAlign w:val="bottom"/>
            <w:hideMark/>
          </w:tcPr>
          <w:p w14:paraId="0590719A" w14:textId="0E5B8F2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163,71</w:t>
            </w:r>
          </w:p>
        </w:tc>
        <w:tc>
          <w:tcPr>
            <w:tcW w:w="984" w:type="dxa"/>
            <w:tcBorders>
              <w:top w:val="nil"/>
              <w:left w:val="nil"/>
              <w:bottom w:val="single" w:sz="4" w:space="0" w:color="auto"/>
              <w:right w:val="single" w:sz="4" w:space="0" w:color="auto"/>
            </w:tcBorders>
            <w:shd w:val="clear" w:color="auto" w:fill="auto"/>
            <w:noWrap/>
            <w:vAlign w:val="center"/>
            <w:hideMark/>
          </w:tcPr>
          <w:p w14:paraId="1162E1FC"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c>
          <w:tcPr>
            <w:tcW w:w="926" w:type="dxa"/>
            <w:tcBorders>
              <w:top w:val="single" w:sz="4" w:space="0" w:color="auto"/>
              <w:left w:val="nil"/>
              <w:bottom w:val="single" w:sz="4" w:space="0" w:color="auto"/>
              <w:right w:val="nil"/>
            </w:tcBorders>
            <w:shd w:val="clear" w:color="auto" w:fill="auto"/>
            <w:noWrap/>
            <w:vAlign w:val="bottom"/>
            <w:hideMark/>
          </w:tcPr>
          <w:p w14:paraId="19844D80" w14:textId="4383F463"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7,04</w:t>
            </w:r>
          </w:p>
        </w:tc>
        <w:tc>
          <w:tcPr>
            <w:tcW w:w="984" w:type="dxa"/>
            <w:tcBorders>
              <w:top w:val="single" w:sz="4" w:space="0" w:color="auto"/>
              <w:left w:val="nil"/>
              <w:bottom w:val="single" w:sz="4" w:space="0" w:color="auto"/>
              <w:right w:val="nil"/>
            </w:tcBorders>
            <w:shd w:val="clear" w:color="auto" w:fill="auto"/>
            <w:noWrap/>
            <w:vAlign w:val="center"/>
            <w:hideMark/>
          </w:tcPr>
          <w:p w14:paraId="039DEFE2"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r>
      <w:tr w:rsidR="00B64E96" w:rsidRPr="00730B1E" w14:paraId="22A36A17" w14:textId="77777777" w:rsidTr="008635B9">
        <w:trPr>
          <w:trHeight w:val="315"/>
        </w:trPr>
        <w:tc>
          <w:tcPr>
            <w:tcW w:w="2060" w:type="dxa"/>
            <w:tcBorders>
              <w:top w:val="nil"/>
              <w:left w:val="nil"/>
              <w:bottom w:val="single" w:sz="4" w:space="0" w:color="auto"/>
              <w:right w:val="nil"/>
            </w:tcBorders>
            <w:shd w:val="clear" w:color="auto" w:fill="auto"/>
            <w:noWrap/>
            <w:vAlign w:val="bottom"/>
            <w:hideMark/>
          </w:tcPr>
          <w:p w14:paraId="28B374A9"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Praha</w:t>
            </w:r>
          </w:p>
        </w:tc>
        <w:tc>
          <w:tcPr>
            <w:tcW w:w="1060" w:type="dxa"/>
            <w:tcBorders>
              <w:top w:val="nil"/>
              <w:left w:val="nil"/>
              <w:bottom w:val="single" w:sz="4" w:space="0" w:color="auto"/>
              <w:right w:val="nil"/>
            </w:tcBorders>
            <w:shd w:val="clear" w:color="auto" w:fill="auto"/>
            <w:noWrap/>
            <w:vAlign w:val="bottom"/>
            <w:hideMark/>
          </w:tcPr>
          <w:p w14:paraId="078F3B0F"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18</w:t>
            </w:r>
          </w:p>
        </w:tc>
        <w:tc>
          <w:tcPr>
            <w:tcW w:w="1121" w:type="dxa"/>
            <w:tcBorders>
              <w:top w:val="nil"/>
              <w:left w:val="nil"/>
              <w:bottom w:val="single" w:sz="4" w:space="0" w:color="auto"/>
              <w:right w:val="nil"/>
            </w:tcBorders>
            <w:shd w:val="clear" w:color="auto" w:fill="auto"/>
            <w:noWrap/>
            <w:vAlign w:val="bottom"/>
            <w:hideMark/>
          </w:tcPr>
          <w:p w14:paraId="1CD962C0" w14:textId="08496AA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126,39</w:t>
            </w:r>
          </w:p>
        </w:tc>
        <w:tc>
          <w:tcPr>
            <w:tcW w:w="984" w:type="dxa"/>
            <w:tcBorders>
              <w:top w:val="nil"/>
              <w:left w:val="nil"/>
              <w:bottom w:val="single" w:sz="4" w:space="0" w:color="auto"/>
              <w:right w:val="nil"/>
            </w:tcBorders>
            <w:shd w:val="clear" w:color="auto" w:fill="auto"/>
            <w:noWrap/>
            <w:vAlign w:val="center"/>
            <w:hideMark/>
          </w:tcPr>
          <w:p w14:paraId="5AAE3158"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121" w:type="dxa"/>
            <w:tcBorders>
              <w:top w:val="nil"/>
              <w:left w:val="single" w:sz="4" w:space="0" w:color="auto"/>
              <w:bottom w:val="single" w:sz="4" w:space="0" w:color="auto"/>
              <w:right w:val="nil"/>
            </w:tcBorders>
            <w:shd w:val="clear" w:color="auto" w:fill="auto"/>
            <w:noWrap/>
            <w:vAlign w:val="bottom"/>
            <w:hideMark/>
          </w:tcPr>
          <w:p w14:paraId="67A7F5C0" w14:textId="5BA2709D"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126,22</w:t>
            </w:r>
          </w:p>
        </w:tc>
        <w:tc>
          <w:tcPr>
            <w:tcW w:w="984" w:type="dxa"/>
            <w:tcBorders>
              <w:top w:val="nil"/>
              <w:left w:val="nil"/>
              <w:bottom w:val="single" w:sz="4" w:space="0" w:color="auto"/>
              <w:right w:val="single" w:sz="4" w:space="0" w:color="auto"/>
            </w:tcBorders>
            <w:shd w:val="clear" w:color="auto" w:fill="auto"/>
            <w:noWrap/>
            <w:vAlign w:val="center"/>
            <w:hideMark/>
          </w:tcPr>
          <w:p w14:paraId="318BBF76"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26" w:type="dxa"/>
            <w:tcBorders>
              <w:top w:val="nil"/>
              <w:left w:val="nil"/>
              <w:bottom w:val="single" w:sz="4" w:space="0" w:color="auto"/>
              <w:right w:val="nil"/>
            </w:tcBorders>
            <w:shd w:val="clear" w:color="auto" w:fill="auto"/>
            <w:noWrap/>
            <w:vAlign w:val="bottom"/>
            <w:hideMark/>
          </w:tcPr>
          <w:p w14:paraId="593CDD3E" w14:textId="4E212490"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2,00</w:t>
            </w:r>
          </w:p>
        </w:tc>
        <w:tc>
          <w:tcPr>
            <w:tcW w:w="984" w:type="dxa"/>
            <w:tcBorders>
              <w:top w:val="nil"/>
              <w:left w:val="nil"/>
              <w:bottom w:val="single" w:sz="4" w:space="0" w:color="auto"/>
              <w:right w:val="nil"/>
            </w:tcBorders>
            <w:shd w:val="clear" w:color="auto" w:fill="auto"/>
            <w:noWrap/>
            <w:vAlign w:val="center"/>
            <w:hideMark/>
          </w:tcPr>
          <w:p w14:paraId="0F008964"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r>
      <w:tr w:rsidR="00B64E96" w:rsidRPr="00730B1E" w14:paraId="1107D576" w14:textId="77777777" w:rsidTr="008635B9">
        <w:trPr>
          <w:trHeight w:val="315"/>
        </w:trPr>
        <w:tc>
          <w:tcPr>
            <w:tcW w:w="2060" w:type="dxa"/>
            <w:tcBorders>
              <w:top w:val="nil"/>
              <w:left w:val="nil"/>
              <w:bottom w:val="single" w:sz="4" w:space="0" w:color="auto"/>
              <w:right w:val="nil"/>
            </w:tcBorders>
            <w:shd w:val="clear" w:color="auto" w:fill="auto"/>
            <w:noWrap/>
            <w:vAlign w:val="bottom"/>
            <w:hideMark/>
          </w:tcPr>
          <w:p w14:paraId="7229C700"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Č. Budějovice</w:t>
            </w:r>
          </w:p>
        </w:tc>
        <w:tc>
          <w:tcPr>
            <w:tcW w:w="1060" w:type="dxa"/>
            <w:tcBorders>
              <w:top w:val="nil"/>
              <w:left w:val="nil"/>
              <w:bottom w:val="single" w:sz="4" w:space="0" w:color="auto"/>
              <w:right w:val="nil"/>
            </w:tcBorders>
            <w:shd w:val="clear" w:color="auto" w:fill="auto"/>
            <w:noWrap/>
            <w:vAlign w:val="bottom"/>
            <w:hideMark/>
          </w:tcPr>
          <w:p w14:paraId="47C43240" w14:textId="3E42BDB0"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9,8</w:t>
            </w:r>
          </w:p>
        </w:tc>
        <w:tc>
          <w:tcPr>
            <w:tcW w:w="1121" w:type="dxa"/>
            <w:tcBorders>
              <w:top w:val="nil"/>
              <w:left w:val="nil"/>
              <w:bottom w:val="single" w:sz="4" w:space="0" w:color="auto"/>
              <w:right w:val="nil"/>
            </w:tcBorders>
            <w:shd w:val="clear" w:color="auto" w:fill="auto"/>
            <w:noWrap/>
            <w:vAlign w:val="bottom"/>
            <w:hideMark/>
          </w:tcPr>
          <w:p w14:paraId="4CC8A6C7" w14:textId="76795655"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90,20</w:t>
            </w:r>
          </w:p>
        </w:tc>
        <w:tc>
          <w:tcPr>
            <w:tcW w:w="984" w:type="dxa"/>
            <w:tcBorders>
              <w:top w:val="nil"/>
              <w:left w:val="nil"/>
              <w:bottom w:val="single" w:sz="4" w:space="0" w:color="auto"/>
              <w:right w:val="nil"/>
            </w:tcBorders>
            <w:shd w:val="clear" w:color="auto" w:fill="auto"/>
            <w:noWrap/>
            <w:vAlign w:val="center"/>
            <w:hideMark/>
          </w:tcPr>
          <w:p w14:paraId="48B2FEDA"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1121" w:type="dxa"/>
            <w:tcBorders>
              <w:top w:val="nil"/>
              <w:left w:val="single" w:sz="4" w:space="0" w:color="auto"/>
              <w:bottom w:val="single" w:sz="4" w:space="0" w:color="auto"/>
              <w:right w:val="nil"/>
            </w:tcBorders>
            <w:shd w:val="clear" w:color="auto" w:fill="auto"/>
            <w:noWrap/>
            <w:vAlign w:val="bottom"/>
            <w:hideMark/>
          </w:tcPr>
          <w:p w14:paraId="15E7D3E1" w14:textId="07379D74"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91,33</w:t>
            </w:r>
          </w:p>
        </w:tc>
        <w:tc>
          <w:tcPr>
            <w:tcW w:w="984" w:type="dxa"/>
            <w:tcBorders>
              <w:top w:val="nil"/>
              <w:left w:val="nil"/>
              <w:bottom w:val="single" w:sz="4" w:space="0" w:color="auto"/>
              <w:right w:val="single" w:sz="4" w:space="0" w:color="auto"/>
            </w:tcBorders>
            <w:shd w:val="clear" w:color="auto" w:fill="auto"/>
            <w:noWrap/>
            <w:vAlign w:val="center"/>
            <w:hideMark/>
          </w:tcPr>
          <w:p w14:paraId="79B81AAD"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926" w:type="dxa"/>
            <w:tcBorders>
              <w:top w:val="nil"/>
              <w:left w:val="nil"/>
              <w:bottom w:val="single" w:sz="4" w:space="0" w:color="auto"/>
              <w:right w:val="nil"/>
            </w:tcBorders>
            <w:shd w:val="clear" w:color="auto" w:fill="auto"/>
            <w:noWrap/>
            <w:vAlign w:val="bottom"/>
            <w:hideMark/>
          </w:tcPr>
          <w:p w14:paraId="26E46B0A" w14:textId="4A0276B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8,37</w:t>
            </w:r>
          </w:p>
        </w:tc>
        <w:tc>
          <w:tcPr>
            <w:tcW w:w="984" w:type="dxa"/>
            <w:tcBorders>
              <w:top w:val="nil"/>
              <w:left w:val="nil"/>
              <w:bottom w:val="single" w:sz="4" w:space="0" w:color="auto"/>
              <w:right w:val="nil"/>
            </w:tcBorders>
            <w:shd w:val="clear" w:color="auto" w:fill="auto"/>
            <w:noWrap/>
            <w:vAlign w:val="center"/>
            <w:hideMark/>
          </w:tcPr>
          <w:p w14:paraId="23EB32C8"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459E3334" w14:textId="77777777" w:rsidTr="008635B9">
        <w:trPr>
          <w:trHeight w:val="315"/>
        </w:trPr>
        <w:tc>
          <w:tcPr>
            <w:tcW w:w="2060" w:type="dxa"/>
            <w:tcBorders>
              <w:top w:val="nil"/>
              <w:left w:val="nil"/>
              <w:bottom w:val="single" w:sz="4" w:space="0" w:color="auto"/>
              <w:right w:val="nil"/>
            </w:tcBorders>
            <w:shd w:val="clear" w:color="auto" w:fill="auto"/>
            <w:noWrap/>
            <w:vAlign w:val="bottom"/>
            <w:hideMark/>
          </w:tcPr>
          <w:p w14:paraId="7494C92F"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Plzeň</w:t>
            </w:r>
          </w:p>
        </w:tc>
        <w:tc>
          <w:tcPr>
            <w:tcW w:w="1060" w:type="dxa"/>
            <w:tcBorders>
              <w:top w:val="nil"/>
              <w:left w:val="nil"/>
              <w:bottom w:val="single" w:sz="4" w:space="0" w:color="auto"/>
              <w:right w:val="nil"/>
            </w:tcBorders>
            <w:shd w:val="clear" w:color="auto" w:fill="auto"/>
            <w:noWrap/>
            <w:vAlign w:val="bottom"/>
            <w:hideMark/>
          </w:tcPr>
          <w:p w14:paraId="0AF70E8F" w14:textId="6A8CEB10"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17,3</w:t>
            </w:r>
          </w:p>
        </w:tc>
        <w:tc>
          <w:tcPr>
            <w:tcW w:w="1121" w:type="dxa"/>
            <w:tcBorders>
              <w:top w:val="nil"/>
              <w:left w:val="nil"/>
              <w:bottom w:val="single" w:sz="4" w:space="0" w:color="auto"/>
              <w:right w:val="nil"/>
            </w:tcBorders>
            <w:shd w:val="clear" w:color="auto" w:fill="auto"/>
            <w:noWrap/>
            <w:vAlign w:val="bottom"/>
            <w:hideMark/>
          </w:tcPr>
          <w:p w14:paraId="42F62870" w14:textId="3C1BA819"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100,46</w:t>
            </w:r>
          </w:p>
        </w:tc>
        <w:tc>
          <w:tcPr>
            <w:tcW w:w="984" w:type="dxa"/>
            <w:tcBorders>
              <w:top w:val="nil"/>
              <w:left w:val="nil"/>
              <w:bottom w:val="single" w:sz="4" w:space="0" w:color="auto"/>
              <w:right w:val="nil"/>
            </w:tcBorders>
            <w:shd w:val="clear" w:color="auto" w:fill="auto"/>
            <w:noWrap/>
            <w:vAlign w:val="center"/>
            <w:hideMark/>
          </w:tcPr>
          <w:p w14:paraId="787A3C22"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1121" w:type="dxa"/>
            <w:tcBorders>
              <w:top w:val="nil"/>
              <w:left w:val="single" w:sz="4" w:space="0" w:color="auto"/>
              <w:bottom w:val="single" w:sz="4" w:space="0" w:color="auto"/>
              <w:right w:val="nil"/>
            </w:tcBorders>
            <w:shd w:val="clear" w:color="auto" w:fill="auto"/>
            <w:noWrap/>
            <w:vAlign w:val="bottom"/>
            <w:hideMark/>
          </w:tcPr>
          <w:p w14:paraId="0461D054" w14:textId="58B7AFBD"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101,04</w:t>
            </w:r>
          </w:p>
        </w:tc>
        <w:tc>
          <w:tcPr>
            <w:tcW w:w="984" w:type="dxa"/>
            <w:tcBorders>
              <w:top w:val="nil"/>
              <w:left w:val="nil"/>
              <w:bottom w:val="single" w:sz="4" w:space="0" w:color="auto"/>
              <w:right w:val="single" w:sz="4" w:space="0" w:color="auto"/>
            </w:tcBorders>
            <w:shd w:val="clear" w:color="auto" w:fill="auto"/>
            <w:noWrap/>
            <w:vAlign w:val="center"/>
            <w:hideMark/>
          </w:tcPr>
          <w:p w14:paraId="3781D040"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926" w:type="dxa"/>
            <w:tcBorders>
              <w:top w:val="nil"/>
              <w:left w:val="nil"/>
              <w:bottom w:val="single" w:sz="4" w:space="0" w:color="auto"/>
              <w:right w:val="nil"/>
            </w:tcBorders>
            <w:shd w:val="clear" w:color="auto" w:fill="auto"/>
            <w:noWrap/>
            <w:vAlign w:val="bottom"/>
            <w:hideMark/>
          </w:tcPr>
          <w:p w14:paraId="0A1F07C3" w14:textId="6A226D84"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6,36</w:t>
            </w:r>
          </w:p>
        </w:tc>
        <w:tc>
          <w:tcPr>
            <w:tcW w:w="984" w:type="dxa"/>
            <w:tcBorders>
              <w:top w:val="nil"/>
              <w:left w:val="nil"/>
              <w:bottom w:val="single" w:sz="4" w:space="0" w:color="auto"/>
              <w:right w:val="nil"/>
            </w:tcBorders>
            <w:shd w:val="clear" w:color="auto" w:fill="auto"/>
            <w:noWrap/>
            <w:vAlign w:val="center"/>
            <w:hideMark/>
          </w:tcPr>
          <w:p w14:paraId="63797584"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r>
      <w:tr w:rsidR="00B64E96" w:rsidRPr="00730B1E" w14:paraId="7E1F7D5D" w14:textId="77777777" w:rsidTr="008635B9">
        <w:trPr>
          <w:trHeight w:val="315"/>
        </w:trPr>
        <w:tc>
          <w:tcPr>
            <w:tcW w:w="2060" w:type="dxa"/>
            <w:tcBorders>
              <w:top w:val="nil"/>
              <w:left w:val="nil"/>
              <w:bottom w:val="single" w:sz="4" w:space="0" w:color="auto"/>
              <w:right w:val="nil"/>
            </w:tcBorders>
            <w:shd w:val="clear" w:color="auto" w:fill="auto"/>
            <w:noWrap/>
            <w:vAlign w:val="bottom"/>
            <w:hideMark/>
          </w:tcPr>
          <w:p w14:paraId="611F1B18"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Ústí n. Labem</w:t>
            </w:r>
          </w:p>
        </w:tc>
        <w:tc>
          <w:tcPr>
            <w:tcW w:w="1060" w:type="dxa"/>
            <w:tcBorders>
              <w:top w:val="nil"/>
              <w:left w:val="nil"/>
              <w:bottom w:val="single" w:sz="4" w:space="0" w:color="auto"/>
              <w:right w:val="nil"/>
            </w:tcBorders>
            <w:shd w:val="clear" w:color="auto" w:fill="auto"/>
            <w:noWrap/>
            <w:vAlign w:val="bottom"/>
            <w:hideMark/>
          </w:tcPr>
          <w:p w14:paraId="015F5352" w14:textId="63C4E8E1"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22,8</w:t>
            </w:r>
          </w:p>
        </w:tc>
        <w:tc>
          <w:tcPr>
            <w:tcW w:w="1121" w:type="dxa"/>
            <w:tcBorders>
              <w:top w:val="nil"/>
              <w:left w:val="nil"/>
              <w:bottom w:val="single" w:sz="4" w:space="0" w:color="auto"/>
              <w:right w:val="nil"/>
            </w:tcBorders>
            <w:shd w:val="clear" w:color="auto" w:fill="auto"/>
            <w:noWrap/>
            <w:vAlign w:val="bottom"/>
            <w:hideMark/>
          </w:tcPr>
          <w:p w14:paraId="410C1DF9" w14:textId="315355FE"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124,43</w:t>
            </w:r>
          </w:p>
        </w:tc>
        <w:tc>
          <w:tcPr>
            <w:tcW w:w="984" w:type="dxa"/>
            <w:tcBorders>
              <w:top w:val="nil"/>
              <w:left w:val="nil"/>
              <w:bottom w:val="single" w:sz="4" w:space="0" w:color="auto"/>
              <w:right w:val="nil"/>
            </w:tcBorders>
            <w:shd w:val="clear" w:color="auto" w:fill="auto"/>
            <w:noWrap/>
            <w:vAlign w:val="center"/>
            <w:hideMark/>
          </w:tcPr>
          <w:p w14:paraId="08E6A13E"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121" w:type="dxa"/>
            <w:tcBorders>
              <w:top w:val="nil"/>
              <w:left w:val="single" w:sz="4" w:space="0" w:color="auto"/>
              <w:bottom w:val="single" w:sz="4" w:space="0" w:color="auto"/>
              <w:right w:val="nil"/>
            </w:tcBorders>
            <w:shd w:val="clear" w:color="auto" w:fill="auto"/>
            <w:noWrap/>
            <w:vAlign w:val="bottom"/>
            <w:hideMark/>
          </w:tcPr>
          <w:p w14:paraId="12C486EA" w14:textId="3253590F"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123,77</w:t>
            </w:r>
          </w:p>
        </w:tc>
        <w:tc>
          <w:tcPr>
            <w:tcW w:w="984" w:type="dxa"/>
            <w:tcBorders>
              <w:top w:val="nil"/>
              <w:left w:val="nil"/>
              <w:bottom w:val="single" w:sz="4" w:space="0" w:color="auto"/>
              <w:right w:val="single" w:sz="4" w:space="0" w:color="auto"/>
            </w:tcBorders>
            <w:shd w:val="clear" w:color="auto" w:fill="auto"/>
            <w:noWrap/>
            <w:vAlign w:val="center"/>
            <w:hideMark/>
          </w:tcPr>
          <w:p w14:paraId="18788C1D"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926" w:type="dxa"/>
            <w:tcBorders>
              <w:top w:val="nil"/>
              <w:left w:val="nil"/>
              <w:bottom w:val="single" w:sz="4" w:space="0" w:color="auto"/>
              <w:right w:val="nil"/>
            </w:tcBorders>
            <w:shd w:val="clear" w:color="auto" w:fill="auto"/>
            <w:noWrap/>
            <w:vAlign w:val="bottom"/>
            <w:hideMark/>
          </w:tcPr>
          <w:p w14:paraId="63A3E47D" w14:textId="1EE8F025"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12,37</w:t>
            </w:r>
          </w:p>
        </w:tc>
        <w:tc>
          <w:tcPr>
            <w:tcW w:w="984" w:type="dxa"/>
            <w:tcBorders>
              <w:top w:val="nil"/>
              <w:left w:val="nil"/>
              <w:bottom w:val="single" w:sz="4" w:space="0" w:color="auto"/>
              <w:right w:val="nil"/>
            </w:tcBorders>
            <w:shd w:val="clear" w:color="auto" w:fill="auto"/>
            <w:noWrap/>
            <w:vAlign w:val="center"/>
            <w:hideMark/>
          </w:tcPr>
          <w:p w14:paraId="218172D8"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145B63E0" w14:textId="77777777" w:rsidTr="008635B9">
        <w:trPr>
          <w:trHeight w:val="315"/>
        </w:trPr>
        <w:tc>
          <w:tcPr>
            <w:tcW w:w="2060" w:type="dxa"/>
            <w:tcBorders>
              <w:top w:val="nil"/>
              <w:left w:val="nil"/>
              <w:bottom w:val="single" w:sz="4" w:space="0" w:color="auto"/>
              <w:right w:val="nil"/>
            </w:tcBorders>
            <w:shd w:val="clear" w:color="auto" w:fill="auto"/>
            <w:noWrap/>
            <w:vAlign w:val="bottom"/>
            <w:hideMark/>
          </w:tcPr>
          <w:p w14:paraId="19196222"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Hr. Králové</w:t>
            </w:r>
          </w:p>
        </w:tc>
        <w:tc>
          <w:tcPr>
            <w:tcW w:w="1060" w:type="dxa"/>
            <w:tcBorders>
              <w:top w:val="nil"/>
              <w:left w:val="nil"/>
              <w:bottom w:val="single" w:sz="4" w:space="0" w:color="auto"/>
              <w:right w:val="nil"/>
            </w:tcBorders>
            <w:shd w:val="clear" w:color="auto" w:fill="auto"/>
            <w:noWrap/>
            <w:vAlign w:val="bottom"/>
            <w:hideMark/>
          </w:tcPr>
          <w:p w14:paraId="7DD663E0"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14</w:t>
            </w:r>
          </w:p>
        </w:tc>
        <w:tc>
          <w:tcPr>
            <w:tcW w:w="1121" w:type="dxa"/>
            <w:tcBorders>
              <w:top w:val="nil"/>
              <w:left w:val="nil"/>
              <w:bottom w:val="single" w:sz="4" w:space="0" w:color="auto"/>
              <w:right w:val="nil"/>
            </w:tcBorders>
            <w:shd w:val="clear" w:color="auto" w:fill="auto"/>
            <w:noWrap/>
            <w:vAlign w:val="bottom"/>
            <w:hideMark/>
          </w:tcPr>
          <w:p w14:paraId="24C28B0D" w14:textId="77889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118,50</w:t>
            </w:r>
          </w:p>
        </w:tc>
        <w:tc>
          <w:tcPr>
            <w:tcW w:w="984" w:type="dxa"/>
            <w:tcBorders>
              <w:top w:val="nil"/>
              <w:left w:val="nil"/>
              <w:bottom w:val="single" w:sz="4" w:space="0" w:color="auto"/>
              <w:right w:val="nil"/>
            </w:tcBorders>
            <w:shd w:val="clear" w:color="auto" w:fill="auto"/>
            <w:noWrap/>
            <w:vAlign w:val="center"/>
            <w:hideMark/>
          </w:tcPr>
          <w:p w14:paraId="565D432B"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-21 %  </w:t>
            </w:r>
          </w:p>
        </w:tc>
        <w:tc>
          <w:tcPr>
            <w:tcW w:w="1121" w:type="dxa"/>
            <w:tcBorders>
              <w:top w:val="nil"/>
              <w:left w:val="single" w:sz="4" w:space="0" w:color="auto"/>
              <w:bottom w:val="single" w:sz="4" w:space="0" w:color="auto"/>
              <w:right w:val="nil"/>
            </w:tcBorders>
            <w:shd w:val="clear" w:color="auto" w:fill="auto"/>
            <w:noWrap/>
            <w:vAlign w:val="bottom"/>
            <w:hideMark/>
          </w:tcPr>
          <w:p w14:paraId="52E6B378" w14:textId="6454DC4F"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119,36</w:t>
            </w:r>
          </w:p>
        </w:tc>
        <w:tc>
          <w:tcPr>
            <w:tcW w:w="984" w:type="dxa"/>
            <w:tcBorders>
              <w:top w:val="nil"/>
              <w:left w:val="nil"/>
              <w:bottom w:val="single" w:sz="4" w:space="0" w:color="auto"/>
              <w:right w:val="single" w:sz="4" w:space="0" w:color="auto"/>
            </w:tcBorders>
            <w:shd w:val="clear" w:color="auto" w:fill="auto"/>
            <w:noWrap/>
            <w:vAlign w:val="center"/>
            <w:hideMark/>
          </w:tcPr>
          <w:p w14:paraId="777FDD2E"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-20 %  </w:t>
            </w:r>
          </w:p>
        </w:tc>
        <w:tc>
          <w:tcPr>
            <w:tcW w:w="926" w:type="dxa"/>
            <w:tcBorders>
              <w:top w:val="nil"/>
              <w:left w:val="nil"/>
              <w:bottom w:val="single" w:sz="4" w:space="0" w:color="auto"/>
              <w:right w:val="nil"/>
            </w:tcBorders>
            <w:shd w:val="clear" w:color="auto" w:fill="auto"/>
            <w:noWrap/>
            <w:vAlign w:val="bottom"/>
            <w:hideMark/>
          </w:tcPr>
          <w:p w14:paraId="7F551EB3" w14:textId="32709BD3"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5,14</w:t>
            </w:r>
          </w:p>
        </w:tc>
        <w:tc>
          <w:tcPr>
            <w:tcW w:w="984" w:type="dxa"/>
            <w:tcBorders>
              <w:top w:val="nil"/>
              <w:left w:val="nil"/>
              <w:bottom w:val="single" w:sz="4" w:space="0" w:color="auto"/>
              <w:right w:val="nil"/>
            </w:tcBorders>
            <w:shd w:val="clear" w:color="auto" w:fill="auto"/>
            <w:noWrap/>
            <w:vAlign w:val="center"/>
            <w:hideMark/>
          </w:tcPr>
          <w:p w14:paraId="7F87B5EE"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-27 %  </w:t>
            </w:r>
          </w:p>
        </w:tc>
      </w:tr>
      <w:tr w:rsidR="00B64E96" w:rsidRPr="00730B1E" w14:paraId="278EAB0A" w14:textId="77777777" w:rsidTr="008635B9">
        <w:trPr>
          <w:trHeight w:val="315"/>
        </w:trPr>
        <w:tc>
          <w:tcPr>
            <w:tcW w:w="2060" w:type="dxa"/>
            <w:tcBorders>
              <w:top w:val="nil"/>
              <w:left w:val="nil"/>
              <w:bottom w:val="single" w:sz="4" w:space="0" w:color="auto"/>
              <w:right w:val="nil"/>
            </w:tcBorders>
            <w:shd w:val="clear" w:color="auto" w:fill="auto"/>
            <w:noWrap/>
            <w:vAlign w:val="bottom"/>
            <w:hideMark/>
          </w:tcPr>
          <w:p w14:paraId="111337F5"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Brno</w:t>
            </w:r>
          </w:p>
        </w:tc>
        <w:tc>
          <w:tcPr>
            <w:tcW w:w="1060" w:type="dxa"/>
            <w:tcBorders>
              <w:top w:val="nil"/>
              <w:left w:val="nil"/>
              <w:bottom w:val="single" w:sz="4" w:space="0" w:color="auto"/>
              <w:right w:val="nil"/>
            </w:tcBorders>
            <w:shd w:val="clear" w:color="auto" w:fill="auto"/>
            <w:noWrap/>
            <w:vAlign w:val="bottom"/>
            <w:hideMark/>
          </w:tcPr>
          <w:p w14:paraId="29567298"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22</w:t>
            </w:r>
          </w:p>
        </w:tc>
        <w:tc>
          <w:tcPr>
            <w:tcW w:w="1121" w:type="dxa"/>
            <w:tcBorders>
              <w:top w:val="nil"/>
              <w:left w:val="nil"/>
              <w:bottom w:val="single" w:sz="4" w:space="0" w:color="auto"/>
              <w:right w:val="nil"/>
            </w:tcBorders>
            <w:shd w:val="clear" w:color="auto" w:fill="auto"/>
            <w:noWrap/>
            <w:vAlign w:val="bottom"/>
            <w:hideMark/>
          </w:tcPr>
          <w:p w14:paraId="7476FAB8" w14:textId="76B65585"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109,86</w:t>
            </w:r>
          </w:p>
        </w:tc>
        <w:tc>
          <w:tcPr>
            <w:tcW w:w="984" w:type="dxa"/>
            <w:tcBorders>
              <w:top w:val="nil"/>
              <w:left w:val="nil"/>
              <w:bottom w:val="single" w:sz="4" w:space="0" w:color="auto"/>
              <w:right w:val="nil"/>
            </w:tcBorders>
            <w:shd w:val="clear" w:color="auto" w:fill="auto"/>
            <w:noWrap/>
            <w:vAlign w:val="center"/>
            <w:hideMark/>
          </w:tcPr>
          <w:p w14:paraId="137D6C51"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c>
          <w:tcPr>
            <w:tcW w:w="1121" w:type="dxa"/>
            <w:tcBorders>
              <w:top w:val="nil"/>
              <w:left w:val="single" w:sz="4" w:space="0" w:color="auto"/>
              <w:bottom w:val="single" w:sz="4" w:space="0" w:color="auto"/>
              <w:right w:val="nil"/>
            </w:tcBorders>
            <w:shd w:val="clear" w:color="auto" w:fill="auto"/>
            <w:noWrap/>
            <w:vAlign w:val="bottom"/>
            <w:hideMark/>
          </w:tcPr>
          <w:p w14:paraId="4DB1227C" w14:textId="13E52F34"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111,14</w:t>
            </w:r>
          </w:p>
        </w:tc>
        <w:tc>
          <w:tcPr>
            <w:tcW w:w="984" w:type="dxa"/>
            <w:tcBorders>
              <w:top w:val="nil"/>
              <w:left w:val="nil"/>
              <w:bottom w:val="single" w:sz="4" w:space="0" w:color="auto"/>
              <w:right w:val="single" w:sz="4" w:space="0" w:color="auto"/>
            </w:tcBorders>
            <w:shd w:val="clear" w:color="auto" w:fill="auto"/>
            <w:noWrap/>
            <w:vAlign w:val="center"/>
            <w:hideMark/>
          </w:tcPr>
          <w:p w14:paraId="1F84DEB1"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-21 %  </w:t>
            </w:r>
          </w:p>
        </w:tc>
        <w:tc>
          <w:tcPr>
            <w:tcW w:w="926" w:type="dxa"/>
            <w:tcBorders>
              <w:top w:val="nil"/>
              <w:left w:val="nil"/>
              <w:bottom w:val="single" w:sz="4" w:space="0" w:color="auto"/>
              <w:right w:val="nil"/>
            </w:tcBorders>
            <w:shd w:val="clear" w:color="auto" w:fill="auto"/>
            <w:noWrap/>
            <w:vAlign w:val="bottom"/>
            <w:hideMark/>
          </w:tcPr>
          <w:p w14:paraId="475FF881" w14:textId="63B408FA"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9,23</w:t>
            </w:r>
          </w:p>
        </w:tc>
        <w:tc>
          <w:tcPr>
            <w:tcW w:w="984" w:type="dxa"/>
            <w:tcBorders>
              <w:top w:val="nil"/>
              <w:left w:val="nil"/>
              <w:bottom w:val="single" w:sz="4" w:space="0" w:color="auto"/>
              <w:right w:val="nil"/>
            </w:tcBorders>
            <w:shd w:val="clear" w:color="auto" w:fill="auto"/>
            <w:noWrap/>
            <w:vAlign w:val="center"/>
            <w:hideMark/>
          </w:tcPr>
          <w:p w14:paraId="47CD3C4A"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-28 %  </w:t>
            </w:r>
          </w:p>
        </w:tc>
      </w:tr>
      <w:tr w:rsidR="00B64E96" w:rsidRPr="00730B1E" w14:paraId="07F0E9D1" w14:textId="77777777" w:rsidTr="008635B9">
        <w:trPr>
          <w:trHeight w:val="330"/>
        </w:trPr>
        <w:tc>
          <w:tcPr>
            <w:tcW w:w="2060" w:type="dxa"/>
            <w:tcBorders>
              <w:top w:val="nil"/>
              <w:left w:val="nil"/>
              <w:bottom w:val="double" w:sz="6" w:space="0" w:color="auto"/>
              <w:right w:val="nil"/>
            </w:tcBorders>
            <w:shd w:val="clear" w:color="auto" w:fill="auto"/>
            <w:noWrap/>
            <w:vAlign w:val="bottom"/>
            <w:hideMark/>
          </w:tcPr>
          <w:p w14:paraId="27447567" w14:textId="77777777" w:rsidR="008635B9" w:rsidRPr="00730B1E" w:rsidRDefault="008635B9" w:rsidP="008635B9">
            <w:pPr>
              <w:spacing w:line="240" w:lineRule="auto"/>
              <w:jc w:val="left"/>
              <w:rPr>
                <w:rFonts w:eastAsia="Times New Roman"/>
                <w:szCs w:val="24"/>
                <w:lang w:eastAsia="cs-CZ"/>
              </w:rPr>
            </w:pPr>
            <w:r w:rsidRPr="00730B1E">
              <w:rPr>
                <w:rFonts w:eastAsia="Times New Roman"/>
                <w:szCs w:val="24"/>
                <w:lang w:eastAsia="cs-CZ"/>
              </w:rPr>
              <w:t>KS Ostrava</w:t>
            </w:r>
          </w:p>
        </w:tc>
        <w:tc>
          <w:tcPr>
            <w:tcW w:w="1060" w:type="dxa"/>
            <w:tcBorders>
              <w:top w:val="nil"/>
              <w:left w:val="nil"/>
              <w:bottom w:val="double" w:sz="6" w:space="0" w:color="auto"/>
              <w:right w:val="nil"/>
            </w:tcBorders>
            <w:shd w:val="clear" w:color="auto" w:fill="auto"/>
            <w:noWrap/>
            <w:vAlign w:val="bottom"/>
            <w:hideMark/>
          </w:tcPr>
          <w:p w14:paraId="0858B0EF" w14:textId="77777777"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26</w:t>
            </w:r>
          </w:p>
        </w:tc>
        <w:tc>
          <w:tcPr>
            <w:tcW w:w="1121" w:type="dxa"/>
            <w:tcBorders>
              <w:top w:val="nil"/>
              <w:left w:val="nil"/>
              <w:bottom w:val="double" w:sz="6" w:space="0" w:color="auto"/>
              <w:right w:val="nil"/>
            </w:tcBorders>
            <w:shd w:val="clear" w:color="auto" w:fill="auto"/>
            <w:noWrap/>
            <w:vAlign w:val="bottom"/>
            <w:hideMark/>
          </w:tcPr>
          <w:p w14:paraId="4D88835C" w14:textId="21D9B72D"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111,27</w:t>
            </w:r>
          </w:p>
        </w:tc>
        <w:tc>
          <w:tcPr>
            <w:tcW w:w="984" w:type="dxa"/>
            <w:tcBorders>
              <w:top w:val="nil"/>
              <w:left w:val="nil"/>
              <w:bottom w:val="double" w:sz="6" w:space="0" w:color="auto"/>
              <w:right w:val="nil"/>
            </w:tcBorders>
            <w:shd w:val="clear" w:color="auto" w:fill="auto"/>
            <w:noWrap/>
            <w:vAlign w:val="center"/>
            <w:hideMark/>
          </w:tcPr>
          <w:p w14:paraId="092445A7"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1121" w:type="dxa"/>
            <w:tcBorders>
              <w:top w:val="nil"/>
              <w:left w:val="single" w:sz="4" w:space="0" w:color="auto"/>
              <w:bottom w:val="double" w:sz="6" w:space="0" w:color="auto"/>
              <w:right w:val="nil"/>
            </w:tcBorders>
            <w:shd w:val="clear" w:color="auto" w:fill="auto"/>
            <w:noWrap/>
            <w:vAlign w:val="bottom"/>
            <w:hideMark/>
          </w:tcPr>
          <w:p w14:paraId="4F90DA5B" w14:textId="30022A50"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111,54</w:t>
            </w:r>
          </w:p>
        </w:tc>
        <w:tc>
          <w:tcPr>
            <w:tcW w:w="984" w:type="dxa"/>
            <w:tcBorders>
              <w:top w:val="nil"/>
              <w:left w:val="nil"/>
              <w:bottom w:val="double" w:sz="6" w:space="0" w:color="auto"/>
              <w:right w:val="single" w:sz="4" w:space="0" w:color="auto"/>
            </w:tcBorders>
            <w:shd w:val="clear" w:color="auto" w:fill="auto"/>
            <w:noWrap/>
            <w:vAlign w:val="center"/>
            <w:hideMark/>
          </w:tcPr>
          <w:p w14:paraId="0315A1DD"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926" w:type="dxa"/>
            <w:tcBorders>
              <w:top w:val="nil"/>
              <w:left w:val="nil"/>
              <w:bottom w:val="double" w:sz="6" w:space="0" w:color="auto"/>
              <w:right w:val="nil"/>
            </w:tcBorders>
            <w:shd w:val="clear" w:color="auto" w:fill="auto"/>
            <w:noWrap/>
            <w:vAlign w:val="bottom"/>
            <w:hideMark/>
          </w:tcPr>
          <w:p w14:paraId="6FEF55BA" w14:textId="422A190D" w:rsidR="008635B9" w:rsidRPr="00730B1E" w:rsidRDefault="008635B9" w:rsidP="008635B9">
            <w:pPr>
              <w:spacing w:line="240" w:lineRule="auto"/>
              <w:jc w:val="center"/>
              <w:rPr>
                <w:rFonts w:eastAsia="Times New Roman"/>
                <w:szCs w:val="24"/>
                <w:lang w:eastAsia="cs-CZ"/>
              </w:rPr>
            </w:pPr>
            <w:r w:rsidRPr="00730B1E">
              <w:rPr>
                <w:rFonts w:eastAsia="Times New Roman"/>
                <w:szCs w:val="24"/>
                <w:lang w:eastAsia="cs-CZ"/>
              </w:rPr>
              <w:t>13,15</w:t>
            </w:r>
          </w:p>
        </w:tc>
        <w:tc>
          <w:tcPr>
            <w:tcW w:w="984" w:type="dxa"/>
            <w:tcBorders>
              <w:top w:val="nil"/>
              <w:left w:val="nil"/>
              <w:bottom w:val="double" w:sz="6" w:space="0" w:color="auto"/>
              <w:right w:val="nil"/>
            </w:tcBorders>
            <w:shd w:val="clear" w:color="auto" w:fill="auto"/>
            <w:noWrap/>
            <w:vAlign w:val="center"/>
            <w:hideMark/>
          </w:tcPr>
          <w:p w14:paraId="4BB8B47D" w14:textId="77777777" w:rsidR="008635B9" w:rsidRPr="00730B1E" w:rsidRDefault="008635B9" w:rsidP="008635B9">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7CE5013C" w14:textId="77777777" w:rsidTr="008635B9">
        <w:trPr>
          <w:trHeight w:val="345"/>
        </w:trPr>
        <w:tc>
          <w:tcPr>
            <w:tcW w:w="2060" w:type="dxa"/>
            <w:tcBorders>
              <w:top w:val="nil"/>
              <w:left w:val="nil"/>
              <w:bottom w:val="double" w:sz="6" w:space="0" w:color="auto"/>
              <w:right w:val="nil"/>
            </w:tcBorders>
            <w:shd w:val="clear" w:color="auto" w:fill="auto"/>
            <w:noWrap/>
            <w:vAlign w:val="bottom"/>
            <w:hideMark/>
          </w:tcPr>
          <w:p w14:paraId="4046B890" w14:textId="77777777" w:rsidR="008635B9" w:rsidRPr="00730B1E" w:rsidRDefault="008635B9" w:rsidP="008635B9">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60" w:type="dxa"/>
            <w:tcBorders>
              <w:top w:val="nil"/>
              <w:left w:val="nil"/>
              <w:bottom w:val="double" w:sz="6" w:space="0" w:color="auto"/>
              <w:right w:val="nil"/>
            </w:tcBorders>
            <w:shd w:val="clear" w:color="auto" w:fill="auto"/>
            <w:noWrap/>
            <w:vAlign w:val="bottom"/>
            <w:hideMark/>
          </w:tcPr>
          <w:p w14:paraId="74234AA5" w14:textId="4D5EE4BD"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151,2</w:t>
            </w:r>
          </w:p>
        </w:tc>
        <w:tc>
          <w:tcPr>
            <w:tcW w:w="1121" w:type="dxa"/>
            <w:tcBorders>
              <w:top w:val="nil"/>
              <w:left w:val="nil"/>
              <w:bottom w:val="double" w:sz="6" w:space="0" w:color="auto"/>
              <w:right w:val="nil"/>
            </w:tcBorders>
            <w:shd w:val="clear" w:color="auto" w:fill="auto"/>
            <w:noWrap/>
            <w:vAlign w:val="bottom"/>
            <w:hideMark/>
          </w:tcPr>
          <w:p w14:paraId="08F39015" w14:textId="7F975E7D"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120,11</w:t>
            </w:r>
          </w:p>
        </w:tc>
        <w:tc>
          <w:tcPr>
            <w:tcW w:w="984" w:type="dxa"/>
            <w:tcBorders>
              <w:top w:val="nil"/>
              <w:left w:val="nil"/>
              <w:bottom w:val="double" w:sz="6" w:space="0" w:color="auto"/>
              <w:right w:val="nil"/>
            </w:tcBorders>
            <w:shd w:val="clear" w:color="auto" w:fill="auto"/>
            <w:noWrap/>
            <w:vAlign w:val="center"/>
            <w:hideMark/>
          </w:tcPr>
          <w:p w14:paraId="02EB3E17" w14:textId="77777777" w:rsidR="008635B9" w:rsidRPr="00730B1E" w:rsidRDefault="008635B9" w:rsidP="008635B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-3 %  </w:t>
            </w:r>
          </w:p>
        </w:tc>
        <w:tc>
          <w:tcPr>
            <w:tcW w:w="1121" w:type="dxa"/>
            <w:tcBorders>
              <w:top w:val="nil"/>
              <w:left w:val="single" w:sz="4" w:space="0" w:color="auto"/>
              <w:bottom w:val="double" w:sz="6" w:space="0" w:color="auto"/>
              <w:right w:val="nil"/>
            </w:tcBorders>
            <w:shd w:val="clear" w:color="auto" w:fill="auto"/>
            <w:noWrap/>
            <w:vAlign w:val="bottom"/>
            <w:hideMark/>
          </w:tcPr>
          <w:p w14:paraId="15B99E46" w14:textId="395350E3"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120,63</w:t>
            </w:r>
          </w:p>
        </w:tc>
        <w:tc>
          <w:tcPr>
            <w:tcW w:w="984" w:type="dxa"/>
            <w:tcBorders>
              <w:top w:val="nil"/>
              <w:left w:val="nil"/>
              <w:bottom w:val="double" w:sz="6" w:space="0" w:color="auto"/>
              <w:right w:val="single" w:sz="4" w:space="0" w:color="auto"/>
            </w:tcBorders>
            <w:shd w:val="clear" w:color="auto" w:fill="auto"/>
            <w:noWrap/>
            <w:vAlign w:val="center"/>
            <w:hideMark/>
          </w:tcPr>
          <w:p w14:paraId="0CF99377" w14:textId="77777777" w:rsidR="008635B9" w:rsidRPr="00730B1E" w:rsidRDefault="008635B9" w:rsidP="008635B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-4 %  </w:t>
            </w:r>
          </w:p>
        </w:tc>
        <w:tc>
          <w:tcPr>
            <w:tcW w:w="926" w:type="dxa"/>
            <w:tcBorders>
              <w:top w:val="nil"/>
              <w:left w:val="nil"/>
              <w:bottom w:val="double" w:sz="6" w:space="0" w:color="auto"/>
              <w:right w:val="nil"/>
            </w:tcBorders>
            <w:shd w:val="clear" w:color="auto" w:fill="auto"/>
            <w:noWrap/>
            <w:vAlign w:val="bottom"/>
            <w:hideMark/>
          </w:tcPr>
          <w:p w14:paraId="5D9AF0E7" w14:textId="236D84F1" w:rsidR="008635B9" w:rsidRPr="00730B1E" w:rsidRDefault="008635B9" w:rsidP="008635B9">
            <w:pPr>
              <w:spacing w:line="240" w:lineRule="auto"/>
              <w:jc w:val="center"/>
              <w:rPr>
                <w:rFonts w:eastAsia="Times New Roman"/>
                <w:b/>
                <w:bCs/>
                <w:szCs w:val="24"/>
                <w:lang w:eastAsia="cs-CZ"/>
              </w:rPr>
            </w:pPr>
            <w:r w:rsidRPr="00730B1E">
              <w:rPr>
                <w:rFonts w:eastAsia="Times New Roman"/>
                <w:b/>
                <w:bCs/>
                <w:szCs w:val="24"/>
                <w:lang w:eastAsia="cs-CZ"/>
              </w:rPr>
              <w:t>8,45</w:t>
            </w:r>
          </w:p>
        </w:tc>
        <w:tc>
          <w:tcPr>
            <w:tcW w:w="984" w:type="dxa"/>
            <w:tcBorders>
              <w:top w:val="nil"/>
              <w:left w:val="nil"/>
              <w:bottom w:val="double" w:sz="6" w:space="0" w:color="auto"/>
              <w:right w:val="nil"/>
            </w:tcBorders>
            <w:shd w:val="clear" w:color="auto" w:fill="auto"/>
            <w:noWrap/>
            <w:vAlign w:val="center"/>
            <w:hideMark/>
          </w:tcPr>
          <w:p w14:paraId="1C18C25C" w14:textId="77777777" w:rsidR="008635B9" w:rsidRPr="00730B1E" w:rsidRDefault="008635B9" w:rsidP="008635B9">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-8 %  </w:t>
            </w:r>
          </w:p>
        </w:tc>
      </w:tr>
      <w:tr w:rsidR="00B64E96" w:rsidRPr="00730B1E" w14:paraId="6A766CBD" w14:textId="77777777" w:rsidTr="008635B9">
        <w:trPr>
          <w:trHeight w:val="330"/>
        </w:trPr>
        <w:tc>
          <w:tcPr>
            <w:tcW w:w="2060" w:type="dxa"/>
            <w:tcBorders>
              <w:top w:val="nil"/>
              <w:left w:val="nil"/>
              <w:bottom w:val="nil"/>
              <w:right w:val="nil"/>
            </w:tcBorders>
            <w:shd w:val="clear" w:color="auto" w:fill="auto"/>
            <w:noWrap/>
            <w:vAlign w:val="bottom"/>
            <w:hideMark/>
          </w:tcPr>
          <w:p w14:paraId="786D5560" w14:textId="77777777" w:rsidR="008635B9" w:rsidRPr="00730B1E" w:rsidRDefault="008635B9" w:rsidP="008635B9">
            <w:pPr>
              <w:spacing w:line="240" w:lineRule="auto"/>
              <w:jc w:val="center"/>
              <w:rPr>
                <w:rFonts w:eastAsia="Times New Roman"/>
                <w:b/>
                <w:bCs/>
                <w:sz w:val="20"/>
                <w:szCs w:val="20"/>
                <w:lang w:eastAsia="cs-CZ"/>
              </w:rPr>
            </w:pPr>
          </w:p>
        </w:tc>
        <w:tc>
          <w:tcPr>
            <w:tcW w:w="1060" w:type="dxa"/>
            <w:tcBorders>
              <w:top w:val="nil"/>
              <w:left w:val="nil"/>
              <w:bottom w:val="nil"/>
              <w:right w:val="nil"/>
            </w:tcBorders>
            <w:shd w:val="clear" w:color="auto" w:fill="auto"/>
            <w:noWrap/>
            <w:vAlign w:val="bottom"/>
            <w:hideMark/>
          </w:tcPr>
          <w:p w14:paraId="15714A60" w14:textId="77777777" w:rsidR="008635B9" w:rsidRPr="00DF07F3" w:rsidRDefault="008635B9" w:rsidP="008635B9">
            <w:pPr>
              <w:spacing w:line="240" w:lineRule="auto"/>
              <w:jc w:val="left"/>
              <w:rPr>
                <w:sz w:val="20"/>
              </w:rPr>
            </w:pPr>
          </w:p>
        </w:tc>
        <w:tc>
          <w:tcPr>
            <w:tcW w:w="1121" w:type="dxa"/>
            <w:tcBorders>
              <w:top w:val="nil"/>
              <w:left w:val="nil"/>
              <w:bottom w:val="nil"/>
              <w:right w:val="nil"/>
            </w:tcBorders>
            <w:shd w:val="clear" w:color="auto" w:fill="auto"/>
            <w:noWrap/>
            <w:vAlign w:val="bottom"/>
            <w:hideMark/>
          </w:tcPr>
          <w:p w14:paraId="363EFA26" w14:textId="77777777" w:rsidR="008635B9" w:rsidRPr="00DF07F3" w:rsidRDefault="008635B9" w:rsidP="008635B9">
            <w:pPr>
              <w:spacing w:line="240" w:lineRule="auto"/>
              <w:jc w:val="left"/>
              <w:rPr>
                <w:sz w:val="20"/>
              </w:rPr>
            </w:pPr>
          </w:p>
        </w:tc>
        <w:tc>
          <w:tcPr>
            <w:tcW w:w="984" w:type="dxa"/>
            <w:tcBorders>
              <w:top w:val="nil"/>
              <w:left w:val="nil"/>
              <w:bottom w:val="nil"/>
              <w:right w:val="nil"/>
            </w:tcBorders>
            <w:shd w:val="clear" w:color="auto" w:fill="auto"/>
            <w:noWrap/>
            <w:vAlign w:val="bottom"/>
            <w:hideMark/>
          </w:tcPr>
          <w:p w14:paraId="290F6344" w14:textId="77777777" w:rsidR="008635B9" w:rsidRPr="00DF07F3" w:rsidRDefault="008635B9" w:rsidP="008635B9">
            <w:pPr>
              <w:spacing w:line="240" w:lineRule="auto"/>
              <w:jc w:val="left"/>
              <w:rPr>
                <w:sz w:val="20"/>
              </w:rPr>
            </w:pPr>
          </w:p>
        </w:tc>
        <w:tc>
          <w:tcPr>
            <w:tcW w:w="1121" w:type="dxa"/>
            <w:tcBorders>
              <w:top w:val="nil"/>
              <w:left w:val="nil"/>
              <w:bottom w:val="nil"/>
              <w:right w:val="nil"/>
            </w:tcBorders>
            <w:shd w:val="clear" w:color="auto" w:fill="auto"/>
            <w:noWrap/>
            <w:vAlign w:val="bottom"/>
            <w:hideMark/>
          </w:tcPr>
          <w:p w14:paraId="4E5FEAEA" w14:textId="77777777" w:rsidR="008635B9" w:rsidRPr="00DF07F3" w:rsidRDefault="008635B9" w:rsidP="008635B9">
            <w:pPr>
              <w:spacing w:line="240" w:lineRule="auto"/>
              <w:jc w:val="left"/>
              <w:rPr>
                <w:sz w:val="20"/>
              </w:rPr>
            </w:pPr>
          </w:p>
        </w:tc>
        <w:tc>
          <w:tcPr>
            <w:tcW w:w="984" w:type="dxa"/>
            <w:tcBorders>
              <w:top w:val="nil"/>
              <w:left w:val="nil"/>
              <w:bottom w:val="nil"/>
              <w:right w:val="nil"/>
            </w:tcBorders>
            <w:shd w:val="clear" w:color="auto" w:fill="auto"/>
            <w:noWrap/>
            <w:vAlign w:val="bottom"/>
            <w:hideMark/>
          </w:tcPr>
          <w:p w14:paraId="50C3EA39" w14:textId="77777777" w:rsidR="008635B9" w:rsidRPr="00DF07F3" w:rsidRDefault="008635B9" w:rsidP="008635B9">
            <w:pPr>
              <w:spacing w:line="240" w:lineRule="auto"/>
              <w:jc w:val="left"/>
              <w:rPr>
                <w:sz w:val="20"/>
              </w:rPr>
            </w:pPr>
          </w:p>
        </w:tc>
        <w:tc>
          <w:tcPr>
            <w:tcW w:w="926" w:type="dxa"/>
            <w:tcBorders>
              <w:top w:val="nil"/>
              <w:left w:val="nil"/>
              <w:bottom w:val="nil"/>
              <w:right w:val="nil"/>
            </w:tcBorders>
            <w:shd w:val="clear" w:color="auto" w:fill="auto"/>
            <w:noWrap/>
            <w:vAlign w:val="bottom"/>
            <w:hideMark/>
          </w:tcPr>
          <w:p w14:paraId="06FD7709" w14:textId="77777777" w:rsidR="008635B9" w:rsidRPr="00DF07F3" w:rsidRDefault="008635B9" w:rsidP="008635B9">
            <w:pPr>
              <w:spacing w:line="240" w:lineRule="auto"/>
              <w:jc w:val="left"/>
              <w:rPr>
                <w:sz w:val="20"/>
              </w:rPr>
            </w:pPr>
          </w:p>
        </w:tc>
        <w:tc>
          <w:tcPr>
            <w:tcW w:w="984" w:type="dxa"/>
            <w:tcBorders>
              <w:top w:val="nil"/>
              <w:left w:val="nil"/>
              <w:bottom w:val="nil"/>
              <w:right w:val="nil"/>
            </w:tcBorders>
            <w:shd w:val="clear" w:color="auto" w:fill="auto"/>
            <w:noWrap/>
            <w:vAlign w:val="bottom"/>
            <w:hideMark/>
          </w:tcPr>
          <w:p w14:paraId="44CC3E14" w14:textId="77777777" w:rsidR="008635B9" w:rsidRPr="00DF07F3" w:rsidRDefault="008635B9" w:rsidP="008635B9">
            <w:pPr>
              <w:spacing w:line="240" w:lineRule="auto"/>
              <w:jc w:val="left"/>
              <w:rPr>
                <w:sz w:val="20"/>
              </w:rPr>
            </w:pPr>
          </w:p>
        </w:tc>
      </w:tr>
    </w:tbl>
    <w:p w14:paraId="77D61D7A" w14:textId="7E3D01CE" w:rsidR="008635B9" w:rsidRPr="00730B1E" w:rsidRDefault="008635B9" w:rsidP="008635B9">
      <w:pPr>
        <w:pStyle w:val="OdstavecASR"/>
      </w:pPr>
      <w:bookmarkStart w:id="1074" w:name="_Hlk137210836"/>
      <w:bookmarkStart w:id="1075" w:name="_Toc75952366"/>
      <w:bookmarkStart w:id="1076" w:name="_Toc106106821"/>
      <w:bookmarkStart w:id="1077" w:name="_Toc109802144"/>
      <w:r w:rsidRPr="00730B1E">
        <w:t>Oproti loňskému roku se zvýšil skutečný počet soudců (úvazků) o 4 (ze 147 na 151).</w:t>
      </w:r>
    </w:p>
    <w:p w14:paraId="53C74A62" w14:textId="7C4FB8CF" w:rsidR="00A47A03" w:rsidRPr="00730B1E" w:rsidRDefault="008430BD" w:rsidP="008430BD">
      <w:pPr>
        <w:pStyle w:val="Nadpis3"/>
        <w:numPr>
          <w:ilvl w:val="2"/>
          <w:numId w:val="1"/>
        </w:numPr>
        <w:rPr>
          <w:color w:val="auto"/>
        </w:rPr>
      </w:pPr>
      <w:bookmarkStart w:id="1078" w:name="_Toc515871265"/>
      <w:bookmarkStart w:id="1079" w:name="_Toc106092773"/>
      <w:bookmarkStart w:id="1080" w:name="_Toc169250849"/>
      <w:bookmarkStart w:id="1081" w:name="_Toc174080885"/>
      <w:bookmarkEnd w:id="1073"/>
      <w:bookmarkEnd w:id="1074"/>
      <w:bookmarkEnd w:id="1075"/>
      <w:bookmarkEnd w:id="1076"/>
      <w:bookmarkEnd w:id="1077"/>
      <w:r w:rsidRPr="00730B1E">
        <w:rPr>
          <w:color w:val="auto"/>
        </w:rPr>
        <w:t>Disposition time</w:t>
      </w:r>
      <w:bookmarkEnd w:id="1078"/>
      <w:r w:rsidRPr="00730B1E">
        <w:rPr>
          <w:color w:val="auto"/>
        </w:rPr>
        <w:t xml:space="preserve"> (dispoziční čas)</w:t>
      </w:r>
      <w:bookmarkEnd w:id="1079"/>
      <w:bookmarkEnd w:id="1080"/>
      <w:bookmarkEnd w:id="1081"/>
    </w:p>
    <w:p w14:paraId="144E078B" w14:textId="7732CA05" w:rsidR="00FB291B" w:rsidRPr="00730B1E" w:rsidRDefault="00FB291B" w:rsidP="00FB291B">
      <w:r w:rsidRPr="00730B1E">
        <w:t xml:space="preserve">Z grafu je patrné, že DT je opravdu nízký a z dlouhodobého hlediska poměrně neměnný, což vyplývá z poměru vyřízených a nevyřízených věcí a z toho, že jsou tyto ukazatele také </w:t>
      </w:r>
      <w:r w:rsidR="00ED04BA" w:rsidRPr="00730B1E">
        <w:t>stabilní</w:t>
      </w:r>
      <w:r w:rsidRPr="00730B1E">
        <w:t xml:space="preserve">. Vzhledem k poklesu nápadu </w:t>
      </w:r>
      <w:r w:rsidR="00ED04BA" w:rsidRPr="00730B1E">
        <w:t>a</w:t>
      </w:r>
      <w:r w:rsidRPr="00730B1E">
        <w:t xml:space="preserve"> </w:t>
      </w:r>
      <w:r w:rsidR="00ED04BA" w:rsidRPr="00730B1E">
        <w:t xml:space="preserve">počtu </w:t>
      </w:r>
      <w:r w:rsidRPr="00730B1E">
        <w:t xml:space="preserve">vyřízených věcí </w:t>
      </w:r>
      <w:r w:rsidR="00ED04BA" w:rsidRPr="00730B1E">
        <w:t>a</w:t>
      </w:r>
      <w:r w:rsidRPr="00730B1E">
        <w:t xml:space="preserve"> mírnému růstu počtu nevyřízených věcí DT v roce 2020 vzrostl. Nárůst činil 7 dnů, což ale představuje 29 %. Následně v roce 2021 DT opět o něco klesl. V letech 2022 a 2023 došlo k naprosto minimální změně – DT poklesl </w:t>
      </w:r>
      <w:r w:rsidR="00ED04BA" w:rsidRPr="00730B1E">
        <w:t xml:space="preserve">vždy </w:t>
      </w:r>
      <w:r w:rsidR="00ED04BA" w:rsidRPr="00730B1E">
        <w:lastRenderedPageBreak/>
        <w:t>o </w:t>
      </w:r>
      <w:r w:rsidRPr="00730B1E">
        <w:t>1</w:t>
      </w:r>
      <w:r w:rsidR="00ED04BA" w:rsidRPr="00730B1E">
        <w:t> </w:t>
      </w:r>
      <w:r w:rsidR="002804CF" w:rsidRPr="00730B1E">
        <w:t>kal</w:t>
      </w:r>
      <w:r w:rsidR="00ED04BA" w:rsidRPr="00730B1E">
        <w:t>endářní</w:t>
      </w:r>
      <w:r w:rsidR="002804CF" w:rsidRPr="00730B1E">
        <w:t xml:space="preserve"> den</w:t>
      </w:r>
      <w:r w:rsidRPr="00730B1E">
        <w:t>.</w:t>
      </w:r>
      <w:r w:rsidR="00ED04BA" w:rsidRPr="00730B1E">
        <w:t xml:space="preserve"> </w:t>
      </w:r>
      <w:r w:rsidRPr="00730B1E">
        <w:t xml:space="preserve">Z reálného hlediska však nejsou takto nevýznamné statistické změny </w:t>
      </w:r>
      <w:r w:rsidR="00ED04BA" w:rsidRPr="00730B1E">
        <w:t>ani dvoudenní rozdíl oproti DT v roce 2020</w:t>
      </w:r>
      <w:r w:rsidRPr="00730B1E">
        <w:t xml:space="preserve"> důležité.</w:t>
      </w:r>
    </w:p>
    <w:p w14:paraId="10841573" w14:textId="167CD758" w:rsidR="00FB291B" w:rsidRPr="00730B1E" w:rsidRDefault="00FB291B" w:rsidP="00FB291B">
      <w:pPr>
        <w:pStyle w:val="Podnadpis"/>
        <w:numPr>
          <w:ilvl w:val="0"/>
          <w:numId w:val="0"/>
        </w:numPr>
        <w:rPr>
          <w:color w:val="auto"/>
        </w:rPr>
      </w:pPr>
      <w:bookmarkStart w:id="1082" w:name="_Toc515871396"/>
      <w:bookmarkStart w:id="1083" w:name="_Toc11135127"/>
      <w:bookmarkStart w:id="1084" w:name="_Toc43841446"/>
      <w:bookmarkStart w:id="1085" w:name="_Toc75952248"/>
      <w:bookmarkStart w:id="1086" w:name="_Toc106106707"/>
      <w:bookmarkStart w:id="1087" w:name="_Toc109802031"/>
      <w:bookmarkStart w:id="1088" w:name="_Toc144104181"/>
      <w:bookmarkStart w:id="1089" w:name="_Toc169250994"/>
      <w:bookmarkStart w:id="1090" w:name="_Toc17408068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75</w:t>
      </w:r>
      <w:r w:rsidRPr="00730B1E">
        <w:rPr>
          <w:color w:val="auto"/>
        </w:rPr>
        <w:fldChar w:fldCharType="end"/>
      </w:r>
      <w:r w:rsidRPr="00730B1E">
        <w:rPr>
          <w:color w:val="auto"/>
        </w:rPr>
        <w:t>: KS – DT odvolacího trestního řízení v letech 2014–</w:t>
      </w:r>
      <w:bookmarkEnd w:id="1082"/>
      <w:r w:rsidRPr="00730B1E">
        <w:rPr>
          <w:color w:val="auto"/>
        </w:rPr>
        <w:t>20</w:t>
      </w:r>
      <w:bookmarkEnd w:id="1083"/>
      <w:bookmarkEnd w:id="1084"/>
      <w:r w:rsidRPr="00730B1E">
        <w:rPr>
          <w:color w:val="auto"/>
        </w:rPr>
        <w:t>2</w:t>
      </w:r>
      <w:bookmarkEnd w:id="1085"/>
      <w:bookmarkEnd w:id="1086"/>
      <w:bookmarkEnd w:id="1087"/>
      <w:bookmarkEnd w:id="1088"/>
      <w:r w:rsidRPr="00730B1E">
        <w:rPr>
          <w:color w:val="auto"/>
        </w:rPr>
        <w:t>3</w:t>
      </w:r>
      <w:bookmarkEnd w:id="1089"/>
      <w:bookmarkEnd w:id="1090"/>
    </w:p>
    <w:p w14:paraId="6FD09AC3" w14:textId="1E709C63" w:rsidR="00351E91" w:rsidRPr="00730B1E" w:rsidRDefault="00FB291B" w:rsidP="00351E91">
      <w:r w:rsidRPr="00730B1E">
        <w:rPr>
          <w:noProof/>
          <w:lang w:eastAsia="cs-CZ"/>
        </w:rPr>
        <w:drawing>
          <wp:inline distT="0" distB="0" distL="0" distR="0" wp14:anchorId="0C80FDF8" wp14:editId="7C7B3A18">
            <wp:extent cx="5029200" cy="3657600"/>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41737DE" w14:textId="7FB31308" w:rsidR="004F0D9D" w:rsidRPr="00730B1E" w:rsidRDefault="004F0D9D">
      <w:pPr>
        <w:spacing w:after="160" w:line="259" w:lineRule="auto"/>
        <w:jc w:val="left"/>
      </w:pPr>
    </w:p>
    <w:p w14:paraId="3C31C188" w14:textId="2551284A" w:rsidR="00FB291B" w:rsidRPr="00730B1E" w:rsidRDefault="00FB291B" w:rsidP="00FB291B">
      <w:pPr>
        <w:pStyle w:val="Podnadpis"/>
        <w:rPr>
          <w:color w:val="auto"/>
        </w:rPr>
      </w:pPr>
      <w:bookmarkStart w:id="1091" w:name="_Toc11133256"/>
      <w:bookmarkStart w:id="1092" w:name="_Toc43931235"/>
      <w:bookmarkStart w:id="1093" w:name="_Toc75952368"/>
      <w:bookmarkStart w:id="1094" w:name="_Toc106106823"/>
      <w:bookmarkStart w:id="1095" w:name="_Toc109802146"/>
      <w:bookmarkStart w:id="1096" w:name="_Toc144104305"/>
      <w:bookmarkStart w:id="1097" w:name="_Toc169251120"/>
      <w:bookmarkStart w:id="1098" w:name="_Toc174080806"/>
      <w:bookmarkStart w:id="1099" w:name="_Toc515871266"/>
      <w:bookmarkStart w:id="1100" w:name="_Ref70586663"/>
      <w:bookmarkStart w:id="1101" w:name="_Toc106092774"/>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63</w:t>
      </w:r>
      <w:r w:rsidRPr="00730B1E">
        <w:rPr>
          <w:noProof/>
          <w:color w:val="auto"/>
        </w:rPr>
        <w:fldChar w:fldCharType="end"/>
      </w:r>
      <w:r w:rsidRPr="00730B1E">
        <w:rPr>
          <w:color w:val="auto"/>
        </w:rPr>
        <w:t>: KS – DT odvolacího trestního řízení dle soudů</w:t>
      </w:r>
      <w:bookmarkEnd w:id="1091"/>
      <w:bookmarkEnd w:id="1092"/>
      <w:bookmarkEnd w:id="1093"/>
      <w:bookmarkEnd w:id="1094"/>
      <w:bookmarkEnd w:id="1095"/>
      <w:bookmarkEnd w:id="1096"/>
      <w:bookmarkEnd w:id="1097"/>
      <w:bookmarkEnd w:id="1098"/>
    </w:p>
    <w:tbl>
      <w:tblPr>
        <w:tblW w:w="5960" w:type="dxa"/>
        <w:tblCellMar>
          <w:left w:w="70" w:type="dxa"/>
          <w:right w:w="70" w:type="dxa"/>
        </w:tblCellMar>
        <w:tblLook w:val="04A0" w:firstRow="1" w:lastRow="0" w:firstColumn="1" w:lastColumn="0" w:noHBand="0" w:noVBand="1"/>
      </w:tblPr>
      <w:tblGrid>
        <w:gridCol w:w="2780"/>
        <w:gridCol w:w="988"/>
        <w:gridCol w:w="2192"/>
      </w:tblGrid>
      <w:tr w:rsidR="00B64E96" w:rsidRPr="00730B1E" w14:paraId="328B9DE2" w14:textId="77777777" w:rsidTr="00FB291B">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2DAFE38" w14:textId="77777777" w:rsidR="00FB291B" w:rsidRPr="00730B1E" w:rsidRDefault="00FB291B" w:rsidP="00FB291B">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16576A09" w14:textId="77777777" w:rsidR="00FB291B" w:rsidRPr="00730B1E" w:rsidRDefault="00FB291B" w:rsidP="00FB291B">
            <w:pPr>
              <w:spacing w:line="240" w:lineRule="auto"/>
              <w:jc w:val="center"/>
              <w:rPr>
                <w:rFonts w:eastAsia="Times New Roman"/>
                <w:b/>
                <w:bCs/>
                <w:szCs w:val="24"/>
                <w:lang w:eastAsia="cs-CZ"/>
              </w:rPr>
            </w:pPr>
            <w:r w:rsidRPr="00730B1E">
              <w:rPr>
                <w:rFonts w:eastAsia="Times New Roman"/>
                <w:b/>
                <w:bCs/>
                <w:szCs w:val="24"/>
                <w:lang w:eastAsia="cs-CZ"/>
              </w:rPr>
              <w:t>Disposition time</w:t>
            </w:r>
          </w:p>
        </w:tc>
      </w:tr>
      <w:tr w:rsidR="00B64E96" w:rsidRPr="00730B1E" w14:paraId="64FCA22B" w14:textId="77777777" w:rsidTr="00FB291B">
        <w:trPr>
          <w:trHeight w:val="330"/>
        </w:trPr>
        <w:tc>
          <w:tcPr>
            <w:tcW w:w="2780" w:type="dxa"/>
            <w:tcBorders>
              <w:top w:val="nil"/>
              <w:left w:val="nil"/>
              <w:bottom w:val="single" w:sz="4" w:space="0" w:color="auto"/>
              <w:right w:val="nil"/>
            </w:tcBorders>
            <w:shd w:val="clear" w:color="auto" w:fill="auto"/>
            <w:noWrap/>
            <w:vAlign w:val="bottom"/>
            <w:hideMark/>
          </w:tcPr>
          <w:p w14:paraId="3134ACF0" w14:textId="77777777" w:rsidR="00FB291B" w:rsidRPr="00730B1E" w:rsidRDefault="00FB291B" w:rsidP="00FB291B">
            <w:pPr>
              <w:spacing w:line="240" w:lineRule="auto"/>
              <w:jc w:val="left"/>
              <w:rPr>
                <w:rFonts w:eastAsia="Times New Roman"/>
                <w:szCs w:val="24"/>
                <w:lang w:eastAsia="cs-CZ"/>
              </w:rPr>
            </w:pPr>
            <w:r w:rsidRPr="00730B1E">
              <w:rPr>
                <w:rFonts w:eastAsia="Times New Roman"/>
                <w:szCs w:val="24"/>
                <w:lang w:eastAsia="cs-CZ"/>
              </w:rPr>
              <w:t>MS Praha</w:t>
            </w:r>
          </w:p>
        </w:tc>
        <w:tc>
          <w:tcPr>
            <w:tcW w:w="988" w:type="dxa"/>
            <w:tcBorders>
              <w:top w:val="nil"/>
              <w:left w:val="nil"/>
              <w:bottom w:val="single" w:sz="4" w:space="0" w:color="auto"/>
              <w:right w:val="nil"/>
            </w:tcBorders>
            <w:shd w:val="clear" w:color="auto" w:fill="auto"/>
            <w:noWrap/>
            <w:vAlign w:val="bottom"/>
            <w:hideMark/>
          </w:tcPr>
          <w:p w14:paraId="4CDB31C1" w14:textId="77777777" w:rsidR="00FB291B" w:rsidRPr="00730B1E" w:rsidRDefault="00FB291B" w:rsidP="00FB291B">
            <w:pPr>
              <w:spacing w:line="240" w:lineRule="auto"/>
              <w:jc w:val="center"/>
              <w:rPr>
                <w:rFonts w:eastAsia="Times New Roman"/>
                <w:szCs w:val="24"/>
                <w:lang w:eastAsia="cs-CZ"/>
              </w:rPr>
            </w:pPr>
            <w:r w:rsidRPr="00730B1E">
              <w:rPr>
                <w:rFonts w:eastAsia="Times New Roman"/>
                <w:szCs w:val="24"/>
                <w:lang w:eastAsia="cs-CZ"/>
              </w:rPr>
              <w:t>16</w:t>
            </w:r>
          </w:p>
        </w:tc>
        <w:tc>
          <w:tcPr>
            <w:tcW w:w="2192" w:type="dxa"/>
            <w:tcBorders>
              <w:top w:val="nil"/>
              <w:left w:val="nil"/>
              <w:bottom w:val="single" w:sz="4" w:space="0" w:color="auto"/>
              <w:right w:val="nil"/>
            </w:tcBorders>
            <w:shd w:val="clear" w:color="auto" w:fill="auto"/>
            <w:noWrap/>
            <w:vAlign w:val="center"/>
            <w:hideMark/>
          </w:tcPr>
          <w:p w14:paraId="1010864B" w14:textId="77777777" w:rsidR="00FB291B" w:rsidRPr="00730B1E" w:rsidRDefault="00FB291B" w:rsidP="00FB291B">
            <w:pPr>
              <w:spacing w:line="240" w:lineRule="auto"/>
              <w:jc w:val="center"/>
              <w:rPr>
                <w:rFonts w:eastAsia="Times New Roman"/>
                <w:sz w:val="20"/>
                <w:szCs w:val="20"/>
                <w:lang w:eastAsia="cs-CZ"/>
              </w:rPr>
            </w:pPr>
            <w:r w:rsidRPr="00730B1E">
              <w:rPr>
                <w:rFonts w:eastAsia="Times New Roman"/>
                <w:sz w:val="20"/>
                <w:szCs w:val="20"/>
                <w:lang w:eastAsia="cs-CZ"/>
              </w:rPr>
              <w:t xml:space="preserve">-24 %  </w:t>
            </w:r>
          </w:p>
        </w:tc>
      </w:tr>
      <w:tr w:rsidR="00B64E96" w:rsidRPr="00730B1E" w14:paraId="72F505DB" w14:textId="77777777" w:rsidTr="00FB291B">
        <w:trPr>
          <w:trHeight w:val="315"/>
        </w:trPr>
        <w:tc>
          <w:tcPr>
            <w:tcW w:w="2780" w:type="dxa"/>
            <w:tcBorders>
              <w:top w:val="nil"/>
              <w:left w:val="nil"/>
              <w:bottom w:val="single" w:sz="4" w:space="0" w:color="auto"/>
              <w:right w:val="nil"/>
            </w:tcBorders>
            <w:shd w:val="clear" w:color="auto" w:fill="auto"/>
            <w:noWrap/>
            <w:vAlign w:val="bottom"/>
            <w:hideMark/>
          </w:tcPr>
          <w:p w14:paraId="4AE62AEE" w14:textId="77777777" w:rsidR="00FB291B" w:rsidRPr="00730B1E" w:rsidRDefault="00FB291B" w:rsidP="00FB291B">
            <w:pPr>
              <w:spacing w:line="240" w:lineRule="auto"/>
              <w:jc w:val="left"/>
              <w:rPr>
                <w:rFonts w:eastAsia="Times New Roman"/>
                <w:szCs w:val="24"/>
                <w:lang w:eastAsia="cs-CZ"/>
              </w:rPr>
            </w:pPr>
            <w:r w:rsidRPr="00730B1E">
              <w:rPr>
                <w:rFonts w:eastAsia="Times New Roman"/>
                <w:szCs w:val="24"/>
                <w:lang w:eastAsia="cs-CZ"/>
              </w:rPr>
              <w:t>KS Praha</w:t>
            </w:r>
          </w:p>
        </w:tc>
        <w:tc>
          <w:tcPr>
            <w:tcW w:w="988" w:type="dxa"/>
            <w:tcBorders>
              <w:top w:val="nil"/>
              <w:left w:val="nil"/>
              <w:bottom w:val="single" w:sz="4" w:space="0" w:color="auto"/>
              <w:right w:val="nil"/>
            </w:tcBorders>
            <w:shd w:val="clear" w:color="auto" w:fill="auto"/>
            <w:noWrap/>
            <w:vAlign w:val="bottom"/>
            <w:hideMark/>
          </w:tcPr>
          <w:p w14:paraId="7B09C818" w14:textId="77777777" w:rsidR="00FB291B" w:rsidRPr="00730B1E" w:rsidRDefault="00FB291B" w:rsidP="00FB291B">
            <w:pPr>
              <w:spacing w:line="240" w:lineRule="auto"/>
              <w:jc w:val="center"/>
              <w:rPr>
                <w:rFonts w:eastAsia="Times New Roman"/>
                <w:szCs w:val="24"/>
                <w:lang w:eastAsia="cs-CZ"/>
              </w:rPr>
            </w:pPr>
            <w:r w:rsidRPr="00730B1E">
              <w:rPr>
                <w:rFonts w:eastAsia="Times New Roman"/>
                <w:szCs w:val="24"/>
                <w:lang w:eastAsia="cs-CZ"/>
              </w:rPr>
              <w:t>6</w:t>
            </w:r>
          </w:p>
        </w:tc>
        <w:tc>
          <w:tcPr>
            <w:tcW w:w="2192" w:type="dxa"/>
            <w:tcBorders>
              <w:top w:val="nil"/>
              <w:left w:val="nil"/>
              <w:bottom w:val="single" w:sz="4" w:space="0" w:color="auto"/>
              <w:right w:val="nil"/>
            </w:tcBorders>
            <w:shd w:val="clear" w:color="auto" w:fill="auto"/>
            <w:noWrap/>
            <w:vAlign w:val="center"/>
            <w:hideMark/>
          </w:tcPr>
          <w:p w14:paraId="414E468A" w14:textId="77777777" w:rsidR="00FB291B" w:rsidRPr="00730B1E" w:rsidRDefault="00FB291B" w:rsidP="00FB291B">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r>
      <w:tr w:rsidR="00B64E96" w:rsidRPr="00730B1E" w14:paraId="76A77BFD" w14:textId="77777777" w:rsidTr="00FB291B">
        <w:trPr>
          <w:trHeight w:val="315"/>
        </w:trPr>
        <w:tc>
          <w:tcPr>
            <w:tcW w:w="2780" w:type="dxa"/>
            <w:tcBorders>
              <w:top w:val="nil"/>
              <w:left w:val="nil"/>
              <w:bottom w:val="single" w:sz="4" w:space="0" w:color="auto"/>
              <w:right w:val="nil"/>
            </w:tcBorders>
            <w:shd w:val="clear" w:color="auto" w:fill="auto"/>
            <w:noWrap/>
            <w:vAlign w:val="bottom"/>
            <w:hideMark/>
          </w:tcPr>
          <w:p w14:paraId="3CEE87B6" w14:textId="77777777" w:rsidR="00FB291B" w:rsidRPr="00730B1E" w:rsidRDefault="00FB291B" w:rsidP="00FB291B">
            <w:pPr>
              <w:spacing w:line="240" w:lineRule="auto"/>
              <w:jc w:val="left"/>
              <w:rPr>
                <w:rFonts w:eastAsia="Times New Roman"/>
                <w:szCs w:val="24"/>
                <w:lang w:eastAsia="cs-CZ"/>
              </w:rPr>
            </w:pPr>
            <w:r w:rsidRPr="00730B1E">
              <w:rPr>
                <w:rFonts w:eastAsia="Times New Roman"/>
                <w:szCs w:val="24"/>
                <w:lang w:eastAsia="cs-CZ"/>
              </w:rPr>
              <w:t>KS Č. Budějovice</w:t>
            </w:r>
          </w:p>
        </w:tc>
        <w:tc>
          <w:tcPr>
            <w:tcW w:w="988" w:type="dxa"/>
            <w:tcBorders>
              <w:top w:val="nil"/>
              <w:left w:val="nil"/>
              <w:bottom w:val="single" w:sz="4" w:space="0" w:color="auto"/>
              <w:right w:val="nil"/>
            </w:tcBorders>
            <w:shd w:val="clear" w:color="auto" w:fill="auto"/>
            <w:noWrap/>
            <w:vAlign w:val="bottom"/>
            <w:hideMark/>
          </w:tcPr>
          <w:p w14:paraId="25D9335A" w14:textId="77777777" w:rsidR="00FB291B" w:rsidRPr="00730B1E" w:rsidRDefault="00FB291B" w:rsidP="00FB291B">
            <w:pPr>
              <w:spacing w:line="240" w:lineRule="auto"/>
              <w:jc w:val="center"/>
              <w:rPr>
                <w:rFonts w:eastAsia="Times New Roman"/>
                <w:szCs w:val="24"/>
                <w:lang w:eastAsia="cs-CZ"/>
              </w:rPr>
            </w:pPr>
            <w:r w:rsidRPr="00730B1E">
              <w:rPr>
                <w:rFonts w:eastAsia="Times New Roman"/>
                <w:szCs w:val="24"/>
                <w:lang w:eastAsia="cs-CZ"/>
              </w:rPr>
              <w:t>33</w:t>
            </w:r>
          </w:p>
        </w:tc>
        <w:tc>
          <w:tcPr>
            <w:tcW w:w="2192" w:type="dxa"/>
            <w:tcBorders>
              <w:top w:val="nil"/>
              <w:left w:val="nil"/>
              <w:bottom w:val="single" w:sz="4" w:space="0" w:color="auto"/>
              <w:right w:val="nil"/>
            </w:tcBorders>
            <w:shd w:val="clear" w:color="auto" w:fill="auto"/>
            <w:noWrap/>
            <w:vAlign w:val="center"/>
            <w:hideMark/>
          </w:tcPr>
          <w:p w14:paraId="1893BC32" w14:textId="77777777" w:rsidR="00FB291B" w:rsidRPr="00730B1E" w:rsidRDefault="00FB291B" w:rsidP="00FB291B">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r>
      <w:tr w:rsidR="00B64E96" w:rsidRPr="00730B1E" w14:paraId="374C5B79" w14:textId="77777777" w:rsidTr="00FB291B">
        <w:trPr>
          <w:trHeight w:val="315"/>
        </w:trPr>
        <w:tc>
          <w:tcPr>
            <w:tcW w:w="2780" w:type="dxa"/>
            <w:tcBorders>
              <w:top w:val="nil"/>
              <w:left w:val="nil"/>
              <w:bottom w:val="single" w:sz="4" w:space="0" w:color="auto"/>
              <w:right w:val="nil"/>
            </w:tcBorders>
            <w:shd w:val="clear" w:color="auto" w:fill="auto"/>
            <w:noWrap/>
            <w:vAlign w:val="bottom"/>
            <w:hideMark/>
          </w:tcPr>
          <w:p w14:paraId="124C9119" w14:textId="77777777" w:rsidR="00FB291B" w:rsidRPr="00730B1E" w:rsidRDefault="00FB291B" w:rsidP="00FB291B">
            <w:pPr>
              <w:spacing w:line="240" w:lineRule="auto"/>
              <w:jc w:val="left"/>
              <w:rPr>
                <w:rFonts w:eastAsia="Times New Roman"/>
                <w:szCs w:val="24"/>
                <w:lang w:eastAsia="cs-CZ"/>
              </w:rPr>
            </w:pPr>
            <w:r w:rsidRPr="00730B1E">
              <w:rPr>
                <w:rFonts w:eastAsia="Times New Roman"/>
                <w:szCs w:val="24"/>
                <w:lang w:eastAsia="cs-CZ"/>
              </w:rPr>
              <w:t>KS Plzeň</w:t>
            </w:r>
          </w:p>
        </w:tc>
        <w:tc>
          <w:tcPr>
            <w:tcW w:w="988" w:type="dxa"/>
            <w:tcBorders>
              <w:top w:val="nil"/>
              <w:left w:val="nil"/>
              <w:bottom w:val="single" w:sz="4" w:space="0" w:color="auto"/>
              <w:right w:val="nil"/>
            </w:tcBorders>
            <w:shd w:val="clear" w:color="auto" w:fill="auto"/>
            <w:noWrap/>
            <w:vAlign w:val="bottom"/>
            <w:hideMark/>
          </w:tcPr>
          <w:p w14:paraId="1E672D0C" w14:textId="77777777" w:rsidR="00FB291B" w:rsidRPr="00730B1E" w:rsidRDefault="00FB291B" w:rsidP="00FB291B">
            <w:pPr>
              <w:spacing w:line="240" w:lineRule="auto"/>
              <w:jc w:val="center"/>
              <w:rPr>
                <w:rFonts w:eastAsia="Times New Roman"/>
                <w:szCs w:val="24"/>
                <w:lang w:eastAsia="cs-CZ"/>
              </w:rPr>
            </w:pPr>
            <w:r w:rsidRPr="00730B1E">
              <w:rPr>
                <w:rFonts w:eastAsia="Times New Roman"/>
                <w:szCs w:val="24"/>
                <w:lang w:eastAsia="cs-CZ"/>
              </w:rPr>
              <w:t>23</w:t>
            </w:r>
          </w:p>
        </w:tc>
        <w:tc>
          <w:tcPr>
            <w:tcW w:w="2192" w:type="dxa"/>
            <w:tcBorders>
              <w:top w:val="nil"/>
              <w:left w:val="nil"/>
              <w:bottom w:val="single" w:sz="4" w:space="0" w:color="auto"/>
              <w:right w:val="nil"/>
            </w:tcBorders>
            <w:shd w:val="clear" w:color="auto" w:fill="auto"/>
            <w:noWrap/>
            <w:vAlign w:val="center"/>
            <w:hideMark/>
          </w:tcPr>
          <w:p w14:paraId="7737EB57" w14:textId="77777777" w:rsidR="00FB291B" w:rsidRPr="00730B1E" w:rsidRDefault="00FB291B" w:rsidP="00FB291B">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54B7B937" w14:textId="77777777" w:rsidTr="00FB291B">
        <w:trPr>
          <w:trHeight w:val="315"/>
        </w:trPr>
        <w:tc>
          <w:tcPr>
            <w:tcW w:w="2780" w:type="dxa"/>
            <w:tcBorders>
              <w:top w:val="nil"/>
              <w:left w:val="nil"/>
              <w:bottom w:val="single" w:sz="4" w:space="0" w:color="auto"/>
              <w:right w:val="nil"/>
            </w:tcBorders>
            <w:shd w:val="clear" w:color="auto" w:fill="auto"/>
            <w:noWrap/>
            <w:vAlign w:val="bottom"/>
            <w:hideMark/>
          </w:tcPr>
          <w:p w14:paraId="075DF5F8" w14:textId="77777777" w:rsidR="00FB291B" w:rsidRPr="00730B1E" w:rsidRDefault="00FB291B" w:rsidP="00FB291B">
            <w:pPr>
              <w:spacing w:line="240" w:lineRule="auto"/>
              <w:jc w:val="left"/>
              <w:rPr>
                <w:rFonts w:eastAsia="Times New Roman"/>
                <w:szCs w:val="24"/>
                <w:lang w:eastAsia="cs-CZ"/>
              </w:rPr>
            </w:pPr>
            <w:r w:rsidRPr="00730B1E">
              <w:rPr>
                <w:rFonts w:eastAsia="Times New Roman"/>
                <w:szCs w:val="24"/>
                <w:lang w:eastAsia="cs-CZ"/>
              </w:rPr>
              <w:t>KS Ústí n. Labem</w:t>
            </w:r>
          </w:p>
        </w:tc>
        <w:tc>
          <w:tcPr>
            <w:tcW w:w="988" w:type="dxa"/>
            <w:tcBorders>
              <w:top w:val="nil"/>
              <w:left w:val="nil"/>
              <w:bottom w:val="single" w:sz="4" w:space="0" w:color="auto"/>
              <w:right w:val="nil"/>
            </w:tcBorders>
            <w:shd w:val="clear" w:color="auto" w:fill="auto"/>
            <w:noWrap/>
            <w:vAlign w:val="bottom"/>
            <w:hideMark/>
          </w:tcPr>
          <w:p w14:paraId="3AB1E9BC" w14:textId="77777777" w:rsidR="00FB291B" w:rsidRPr="00730B1E" w:rsidRDefault="00FB291B" w:rsidP="00FB291B">
            <w:pPr>
              <w:spacing w:line="240" w:lineRule="auto"/>
              <w:jc w:val="center"/>
              <w:rPr>
                <w:rFonts w:eastAsia="Times New Roman"/>
                <w:szCs w:val="24"/>
                <w:lang w:eastAsia="cs-CZ"/>
              </w:rPr>
            </w:pPr>
            <w:r w:rsidRPr="00730B1E">
              <w:rPr>
                <w:rFonts w:eastAsia="Times New Roman"/>
                <w:szCs w:val="24"/>
                <w:lang w:eastAsia="cs-CZ"/>
              </w:rPr>
              <w:t>36</w:t>
            </w:r>
          </w:p>
        </w:tc>
        <w:tc>
          <w:tcPr>
            <w:tcW w:w="2192" w:type="dxa"/>
            <w:tcBorders>
              <w:top w:val="nil"/>
              <w:left w:val="nil"/>
              <w:bottom w:val="single" w:sz="4" w:space="0" w:color="auto"/>
              <w:right w:val="nil"/>
            </w:tcBorders>
            <w:shd w:val="clear" w:color="auto" w:fill="auto"/>
            <w:noWrap/>
            <w:vAlign w:val="center"/>
            <w:hideMark/>
          </w:tcPr>
          <w:p w14:paraId="5660A571" w14:textId="77777777" w:rsidR="00FB291B" w:rsidRPr="00730B1E" w:rsidRDefault="00FB291B" w:rsidP="00FB291B">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08F63B85" w14:textId="77777777" w:rsidTr="00FB291B">
        <w:trPr>
          <w:trHeight w:val="315"/>
        </w:trPr>
        <w:tc>
          <w:tcPr>
            <w:tcW w:w="2780" w:type="dxa"/>
            <w:tcBorders>
              <w:top w:val="nil"/>
              <w:left w:val="nil"/>
              <w:bottom w:val="single" w:sz="4" w:space="0" w:color="auto"/>
              <w:right w:val="nil"/>
            </w:tcBorders>
            <w:shd w:val="clear" w:color="auto" w:fill="auto"/>
            <w:noWrap/>
            <w:vAlign w:val="bottom"/>
            <w:hideMark/>
          </w:tcPr>
          <w:p w14:paraId="274952AA" w14:textId="77777777" w:rsidR="00FB291B" w:rsidRPr="00730B1E" w:rsidRDefault="00FB291B" w:rsidP="00FB291B">
            <w:pPr>
              <w:spacing w:line="240" w:lineRule="auto"/>
              <w:jc w:val="left"/>
              <w:rPr>
                <w:rFonts w:eastAsia="Times New Roman"/>
                <w:szCs w:val="24"/>
                <w:lang w:eastAsia="cs-CZ"/>
              </w:rPr>
            </w:pPr>
            <w:r w:rsidRPr="00730B1E">
              <w:rPr>
                <w:rFonts w:eastAsia="Times New Roman"/>
                <w:szCs w:val="24"/>
                <w:lang w:eastAsia="cs-CZ"/>
              </w:rPr>
              <w:t>KS Hr. Králové</w:t>
            </w:r>
          </w:p>
        </w:tc>
        <w:tc>
          <w:tcPr>
            <w:tcW w:w="988" w:type="dxa"/>
            <w:tcBorders>
              <w:top w:val="nil"/>
              <w:left w:val="nil"/>
              <w:bottom w:val="single" w:sz="4" w:space="0" w:color="auto"/>
              <w:right w:val="nil"/>
            </w:tcBorders>
            <w:shd w:val="clear" w:color="auto" w:fill="auto"/>
            <w:noWrap/>
            <w:vAlign w:val="bottom"/>
            <w:hideMark/>
          </w:tcPr>
          <w:p w14:paraId="42F51BE0" w14:textId="77777777" w:rsidR="00FB291B" w:rsidRPr="00730B1E" w:rsidRDefault="00FB291B" w:rsidP="00FB291B">
            <w:pPr>
              <w:spacing w:line="240" w:lineRule="auto"/>
              <w:jc w:val="center"/>
              <w:rPr>
                <w:rFonts w:eastAsia="Times New Roman"/>
                <w:szCs w:val="24"/>
                <w:lang w:eastAsia="cs-CZ"/>
              </w:rPr>
            </w:pPr>
            <w:r w:rsidRPr="00730B1E">
              <w:rPr>
                <w:rFonts w:eastAsia="Times New Roman"/>
                <w:szCs w:val="24"/>
                <w:lang w:eastAsia="cs-CZ"/>
              </w:rPr>
              <w:t>16</w:t>
            </w:r>
          </w:p>
        </w:tc>
        <w:tc>
          <w:tcPr>
            <w:tcW w:w="2192" w:type="dxa"/>
            <w:tcBorders>
              <w:top w:val="nil"/>
              <w:left w:val="nil"/>
              <w:bottom w:val="single" w:sz="4" w:space="0" w:color="auto"/>
              <w:right w:val="nil"/>
            </w:tcBorders>
            <w:shd w:val="clear" w:color="auto" w:fill="auto"/>
            <w:noWrap/>
            <w:vAlign w:val="center"/>
            <w:hideMark/>
          </w:tcPr>
          <w:p w14:paraId="503B2B3A" w14:textId="77777777" w:rsidR="00FB291B" w:rsidRPr="00730B1E" w:rsidRDefault="00FB291B" w:rsidP="00FB291B">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1B6EF8A3" w14:textId="77777777" w:rsidTr="00FB291B">
        <w:trPr>
          <w:trHeight w:val="315"/>
        </w:trPr>
        <w:tc>
          <w:tcPr>
            <w:tcW w:w="2780" w:type="dxa"/>
            <w:tcBorders>
              <w:top w:val="nil"/>
              <w:left w:val="nil"/>
              <w:bottom w:val="single" w:sz="4" w:space="0" w:color="auto"/>
              <w:right w:val="nil"/>
            </w:tcBorders>
            <w:shd w:val="clear" w:color="auto" w:fill="auto"/>
            <w:noWrap/>
            <w:vAlign w:val="bottom"/>
            <w:hideMark/>
          </w:tcPr>
          <w:p w14:paraId="695622EC" w14:textId="77777777" w:rsidR="00FB291B" w:rsidRPr="00730B1E" w:rsidRDefault="00FB291B" w:rsidP="00FB291B">
            <w:pPr>
              <w:spacing w:line="240" w:lineRule="auto"/>
              <w:jc w:val="left"/>
              <w:rPr>
                <w:rFonts w:eastAsia="Times New Roman"/>
                <w:szCs w:val="24"/>
                <w:lang w:eastAsia="cs-CZ"/>
              </w:rPr>
            </w:pPr>
            <w:r w:rsidRPr="00730B1E">
              <w:rPr>
                <w:rFonts w:eastAsia="Times New Roman"/>
                <w:szCs w:val="24"/>
                <w:lang w:eastAsia="cs-CZ"/>
              </w:rPr>
              <w:t>KS Brno</w:t>
            </w:r>
          </w:p>
        </w:tc>
        <w:tc>
          <w:tcPr>
            <w:tcW w:w="988" w:type="dxa"/>
            <w:tcBorders>
              <w:top w:val="nil"/>
              <w:left w:val="nil"/>
              <w:bottom w:val="single" w:sz="4" w:space="0" w:color="auto"/>
              <w:right w:val="nil"/>
            </w:tcBorders>
            <w:shd w:val="clear" w:color="auto" w:fill="auto"/>
            <w:noWrap/>
            <w:vAlign w:val="bottom"/>
            <w:hideMark/>
          </w:tcPr>
          <w:p w14:paraId="2886AE1F" w14:textId="77777777" w:rsidR="00FB291B" w:rsidRPr="00730B1E" w:rsidRDefault="00FB291B" w:rsidP="00FB291B">
            <w:pPr>
              <w:spacing w:line="240" w:lineRule="auto"/>
              <w:jc w:val="center"/>
              <w:rPr>
                <w:rFonts w:eastAsia="Times New Roman"/>
                <w:szCs w:val="24"/>
                <w:lang w:eastAsia="cs-CZ"/>
              </w:rPr>
            </w:pPr>
            <w:r w:rsidRPr="00730B1E">
              <w:rPr>
                <w:rFonts w:eastAsia="Times New Roman"/>
                <w:szCs w:val="24"/>
                <w:lang w:eastAsia="cs-CZ"/>
              </w:rPr>
              <w:t>30</w:t>
            </w:r>
          </w:p>
        </w:tc>
        <w:tc>
          <w:tcPr>
            <w:tcW w:w="2192" w:type="dxa"/>
            <w:tcBorders>
              <w:top w:val="nil"/>
              <w:left w:val="nil"/>
              <w:bottom w:val="single" w:sz="4" w:space="0" w:color="auto"/>
              <w:right w:val="nil"/>
            </w:tcBorders>
            <w:shd w:val="clear" w:color="auto" w:fill="auto"/>
            <w:noWrap/>
            <w:vAlign w:val="center"/>
            <w:hideMark/>
          </w:tcPr>
          <w:p w14:paraId="51D2B4CD" w14:textId="77777777" w:rsidR="00FB291B" w:rsidRPr="00730B1E" w:rsidRDefault="00FB291B" w:rsidP="00FB291B">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6A7FAA86" w14:textId="77777777" w:rsidTr="00FB291B">
        <w:trPr>
          <w:trHeight w:val="330"/>
        </w:trPr>
        <w:tc>
          <w:tcPr>
            <w:tcW w:w="2780" w:type="dxa"/>
            <w:tcBorders>
              <w:top w:val="nil"/>
              <w:left w:val="nil"/>
              <w:bottom w:val="double" w:sz="6" w:space="0" w:color="auto"/>
              <w:right w:val="nil"/>
            </w:tcBorders>
            <w:shd w:val="clear" w:color="auto" w:fill="auto"/>
            <w:noWrap/>
            <w:vAlign w:val="bottom"/>
            <w:hideMark/>
          </w:tcPr>
          <w:p w14:paraId="0B4548BB" w14:textId="77777777" w:rsidR="00FB291B" w:rsidRPr="00730B1E" w:rsidRDefault="00FB291B" w:rsidP="00FB291B">
            <w:pPr>
              <w:spacing w:line="240" w:lineRule="auto"/>
              <w:jc w:val="left"/>
              <w:rPr>
                <w:rFonts w:eastAsia="Times New Roman"/>
                <w:szCs w:val="24"/>
                <w:lang w:eastAsia="cs-CZ"/>
              </w:rPr>
            </w:pPr>
            <w:r w:rsidRPr="00730B1E">
              <w:rPr>
                <w:rFonts w:eastAsia="Times New Roman"/>
                <w:szCs w:val="24"/>
                <w:lang w:eastAsia="cs-CZ"/>
              </w:rPr>
              <w:t>KS Ostrava</w:t>
            </w:r>
          </w:p>
        </w:tc>
        <w:tc>
          <w:tcPr>
            <w:tcW w:w="988" w:type="dxa"/>
            <w:tcBorders>
              <w:top w:val="nil"/>
              <w:left w:val="nil"/>
              <w:bottom w:val="double" w:sz="6" w:space="0" w:color="auto"/>
              <w:right w:val="nil"/>
            </w:tcBorders>
            <w:shd w:val="clear" w:color="auto" w:fill="auto"/>
            <w:noWrap/>
            <w:vAlign w:val="bottom"/>
            <w:hideMark/>
          </w:tcPr>
          <w:p w14:paraId="7C03D44B" w14:textId="77777777" w:rsidR="00FB291B" w:rsidRPr="00730B1E" w:rsidRDefault="00FB291B" w:rsidP="00FB291B">
            <w:pPr>
              <w:spacing w:line="240" w:lineRule="auto"/>
              <w:jc w:val="center"/>
              <w:rPr>
                <w:rFonts w:eastAsia="Times New Roman"/>
                <w:szCs w:val="24"/>
                <w:lang w:eastAsia="cs-CZ"/>
              </w:rPr>
            </w:pPr>
            <w:r w:rsidRPr="00730B1E">
              <w:rPr>
                <w:rFonts w:eastAsia="Times New Roman"/>
                <w:szCs w:val="24"/>
                <w:lang w:eastAsia="cs-CZ"/>
              </w:rPr>
              <w:t>43</w:t>
            </w:r>
          </w:p>
        </w:tc>
        <w:tc>
          <w:tcPr>
            <w:tcW w:w="2192" w:type="dxa"/>
            <w:tcBorders>
              <w:top w:val="nil"/>
              <w:left w:val="nil"/>
              <w:bottom w:val="double" w:sz="6" w:space="0" w:color="auto"/>
              <w:right w:val="nil"/>
            </w:tcBorders>
            <w:shd w:val="clear" w:color="auto" w:fill="auto"/>
            <w:noWrap/>
            <w:vAlign w:val="center"/>
            <w:hideMark/>
          </w:tcPr>
          <w:p w14:paraId="39F44173" w14:textId="77777777" w:rsidR="00FB291B" w:rsidRPr="00730B1E" w:rsidRDefault="00FB291B" w:rsidP="00FB291B">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1A57D7D7" w14:textId="77777777" w:rsidTr="00FB291B">
        <w:trPr>
          <w:trHeight w:val="345"/>
        </w:trPr>
        <w:tc>
          <w:tcPr>
            <w:tcW w:w="2780" w:type="dxa"/>
            <w:tcBorders>
              <w:top w:val="nil"/>
              <w:left w:val="nil"/>
              <w:bottom w:val="double" w:sz="6" w:space="0" w:color="auto"/>
              <w:right w:val="nil"/>
            </w:tcBorders>
            <w:shd w:val="clear" w:color="auto" w:fill="auto"/>
            <w:noWrap/>
            <w:vAlign w:val="bottom"/>
            <w:hideMark/>
          </w:tcPr>
          <w:p w14:paraId="3EBDB70A" w14:textId="77777777" w:rsidR="00FB291B" w:rsidRPr="00730B1E" w:rsidRDefault="00FB291B" w:rsidP="00FB291B">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988" w:type="dxa"/>
            <w:tcBorders>
              <w:top w:val="nil"/>
              <w:left w:val="nil"/>
              <w:bottom w:val="double" w:sz="6" w:space="0" w:color="auto"/>
              <w:right w:val="nil"/>
            </w:tcBorders>
            <w:shd w:val="clear" w:color="auto" w:fill="auto"/>
            <w:noWrap/>
            <w:vAlign w:val="bottom"/>
            <w:hideMark/>
          </w:tcPr>
          <w:p w14:paraId="0F23C4BD" w14:textId="77777777" w:rsidR="00FB291B" w:rsidRPr="00730B1E" w:rsidRDefault="00FB291B" w:rsidP="00FB291B">
            <w:pPr>
              <w:spacing w:line="240" w:lineRule="auto"/>
              <w:jc w:val="center"/>
              <w:rPr>
                <w:rFonts w:eastAsia="Times New Roman"/>
                <w:b/>
                <w:bCs/>
                <w:szCs w:val="24"/>
                <w:lang w:eastAsia="cs-CZ"/>
              </w:rPr>
            </w:pPr>
            <w:r w:rsidRPr="00730B1E">
              <w:rPr>
                <w:rFonts w:eastAsia="Times New Roman"/>
                <w:b/>
                <w:bCs/>
                <w:szCs w:val="24"/>
                <w:lang w:eastAsia="cs-CZ"/>
              </w:rPr>
              <w:t>26</w:t>
            </w:r>
          </w:p>
        </w:tc>
        <w:tc>
          <w:tcPr>
            <w:tcW w:w="2192" w:type="dxa"/>
            <w:tcBorders>
              <w:top w:val="nil"/>
              <w:left w:val="nil"/>
              <w:bottom w:val="double" w:sz="6" w:space="0" w:color="auto"/>
              <w:right w:val="nil"/>
            </w:tcBorders>
            <w:shd w:val="clear" w:color="auto" w:fill="auto"/>
            <w:noWrap/>
            <w:vAlign w:val="center"/>
            <w:hideMark/>
          </w:tcPr>
          <w:p w14:paraId="6A3F52C9" w14:textId="77777777" w:rsidR="00FB291B" w:rsidRPr="00730B1E" w:rsidRDefault="00FB291B" w:rsidP="00FB291B">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-4 %  </w:t>
            </w:r>
          </w:p>
        </w:tc>
      </w:tr>
      <w:tr w:rsidR="00B64E96" w:rsidRPr="00730B1E" w14:paraId="1ACC77A1" w14:textId="77777777" w:rsidTr="00FB291B">
        <w:trPr>
          <w:trHeight w:val="330"/>
        </w:trPr>
        <w:tc>
          <w:tcPr>
            <w:tcW w:w="2780" w:type="dxa"/>
            <w:tcBorders>
              <w:top w:val="nil"/>
              <w:left w:val="nil"/>
              <w:bottom w:val="nil"/>
              <w:right w:val="nil"/>
            </w:tcBorders>
            <w:shd w:val="clear" w:color="auto" w:fill="auto"/>
            <w:noWrap/>
            <w:vAlign w:val="bottom"/>
            <w:hideMark/>
          </w:tcPr>
          <w:p w14:paraId="37001F62" w14:textId="77777777" w:rsidR="00FB291B" w:rsidRPr="00730B1E" w:rsidRDefault="00FB291B" w:rsidP="00FB291B">
            <w:pPr>
              <w:spacing w:line="240" w:lineRule="auto"/>
              <w:jc w:val="center"/>
              <w:rPr>
                <w:rFonts w:eastAsia="Times New Roman"/>
                <w:b/>
                <w:bCs/>
                <w:sz w:val="20"/>
                <w:szCs w:val="20"/>
                <w:lang w:eastAsia="cs-CZ"/>
              </w:rPr>
            </w:pPr>
          </w:p>
        </w:tc>
        <w:tc>
          <w:tcPr>
            <w:tcW w:w="988" w:type="dxa"/>
            <w:tcBorders>
              <w:top w:val="nil"/>
              <w:left w:val="nil"/>
              <w:bottom w:val="nil"/>
              <w:right w:val="nil"/>
            </w:tcBorders>
            <w:shd w:val="clear" w:color="auto" w:fill="auto"/>
            <w:noWrap/>
            <w:vAlign w:val="bottom"/>
            <w:hideMark/>
          </w:tcPr>
          <w:p w14:paraId="1AC0C8FF" w14:textId="77777777" w:rsidR="00FB291B" w:rsidRPr="00DF07F3" w:rsidRDefault="00FB291B" w:rsidP="00FB291B">
            <w:pPr>
              <w:spacing w:line="240" w:lineRule="auto"/>
              <w:jc w:val="left"/>
              <w:rPr>
                <w:sz w:val="20"/>
              </w:rPr>
            </w:pPr>
          </w:p>
        </w:tc>
        <w:tc>
          <w:tcPr>
            <w:tcW w:w="2192" w:type="dxa"/>
            <w:tcBorders>
              <w:top w:val="nil"/>
              <w:left w:val="nil"/>
              <w:bottom w:val="nil"/>
              <w:right w:val="nil"/>
            </w:tcBorders>
            <w:shd w:val="clear" w:color="auto" w:fill="auto"/>
            <w:noWrap/>
            <w:vAlign w:val="bottom"/>
            <w:hideMark/>
          </w:tcPr>
          <w:p w14:paraId="70EBA2AB" w14:textId="77777777" w:rsidR="00FB291B" w:rsidRPr="00DF07F3" w:rsidRDefault="00FB291B" w:rsidP="00FB291B">
            <w:pPr>
              <w:spacing w:line="240" w:lineRule="auto"/>
              <w:jc w:val="left"/>
              <w:rPr>
                <w:sz w:val="20"/>
              </w:rPr>
            </w:pPr>
          </w:p>
        </w:tc>
      </w:tr>
    </w:tbl>
    <w:p w14:paraId="3D7E9E85" w14:textId="37841711" w:rsidR="00FB291B" w:rsidRPr="00730B1E" w:rsidRDefault="00FB291B" w:rsidP="00FB291B">
      <w:pPr>
        <w:pStyle w:val="OdstavecASR"/>
      </w:pPr>
      <w:r w:rsidRPr="00730B1E">
        <w:t>V tabulce vidíme, že relativní změny jsou u některých soudů poměrně významné (o desítky procent). Absolutní změny jsou ale opět malé. Výsledky v této podkapitole korespondují s výsledky z podkapitol </w:t>
      </w:r>
      <w:r w:rsidRPr="00730B1E">
        <w:fldChar w:fldCharType="begin"/>
      </w:r>
      <w:r w:rsidRPr="00730B1E">
        <w:instrText xml:space="preserve"> REF _Ref511391169 \r \h  \* MERGEFORMAT </w:instrText>
      </w:r>
      <w:r w:rsidRPr="00730B1E">
        <w:fldChar w:fldCharType="separate"/>
      </w:r>
      <w:r w:rsidR="00056825">
        <w:t>3.5.1</w:t>
      </w:r>
      <w:r w:rsidRPr="00730B1E">
        <w:fldChar w:fldCharType="end"/>
      </w:r>
      <w:r w:rsidRPr="00730B1E">
        <w:t xml:space="preserve"> a </w:t>
      </w:r>
      <w:r w:rsidRPr="00730B1E">
        <w:fldChar w:fldCharType="begin"/>
      </w:r>
      <w:r w:rsidRPr="00730B1E">
        <w:instrText xml:space="preserve"> REF _Ref40897302 \r \h  \* MERGEFORMAT </w:instrText>
      </w:r>
      <w:r w:rsidRPr="00730B1E">
        <w:fldChar w:fldCharType="separate"/>
      </w:r>
      <w:r w:rsidR="00056825">
        <w:t>3.5.2</w:t>
      </w:r>
      <w:r w:rsidRPr="00730B1E">
        <w:fldChar w:fldCharType="end"/>
      </w:r>
      <w:r w:rsidRPr="00730B1E">
        <w:t>. Agenda je ze statistického hlediska na vyřizování v zásadě bezproblémová.</w:t>
      </w:r>
    </w:p>
    <w:p w14:paraId="72B0DCD6" w14:textId="16E9568D" w:rsidR="009B49AA" w:rsidRPr="00730B1E" w:rsidRDefault="009B49AA">
      <w:pPr>
        <w:spacing w:after="160" w:line="259" w:lineRule="auto"/>
        <w:jc w:val="left"/>
        <w:rPr>
          <w:rFonts w:eastAsiaTheme="majorEastAsia" w:cstheme="majorBidi"/>
          <w:b/>
          <w:sz w:val="28"/>
          <w:szCs w:val="26"/>
        </w:rPr>
      </w:pPr>
      <w:r w:rsidRPr="00730B1E">
        <w:rPr>
          <w:rFonts w:eastAsiaTheme="majorEastAsia" w:cstheme="majorBidi"/>
          <w:b/>
          <w:sz w:val="28"/>
          <w:szCs w:val="26"/>
        </w:rPr>
        <w:br w:type="page"/>
      </w:r>
    </w:p>
    <w:p w14:paraId="4C3CFCB6" w14:textId="24ABED07" w:rsidR="008430BD" w:rsidRPr="00730B1E" w:rsidRDefault="008430BD" w:rsidP="008430BD">
      <w:pPr>
        <w:pStyle w:val="Nadpis2"/>
        <w:numPr>
          <w:ilvl w:val="1"/>
          <w:numId w:val="1"/>
        </w:numPr>
        <w:spacing w:before="120"/>
        <w:rPr>
          <w:color w:val="auto"/>
        </w:rPr>
      </w:pPr>
      <w:bookmarkStart w:id="1102" w:name="_Toc169250850"/>
      <w:bookmarkStart w:id="1103" w:name="_Toc174080886"/>
      <w:r w:rsidRPr="00730B1E">
        <w:rPr>
          <w:color w:val="auto"/>
        </w:rPr>
        <w:lastRenderedPageBreak/>
        <w:t>Správní agenda</w:t>
      </w:r>
      <w:bookmarkEnd w:id="1099"/>
      <w:bookmarkEnd w:id="1100"/>
      <w:bookmarkEnd w:id="1101"/>
      <w:bookmarkEnd w:id="1102"/>
      <w:bookmarkEnd w:id="1103"/>
    </w:p>
    <w:p w14:paraId="71EC7F87" w14:textId="331549FF" w:rsidR="009F4322" w:rsidRPr="00730B1E" w:rsidRDefault="009F4322" w:rsidP="009F4322">
      <w:pPr>
        <w:pStyle w:val="OdstavecASR"/>
      </w:pPr>
      <w:r w:rsidRPr="00730B1E">
        <w:t>Správní agenda krajských soudů zahrnuje rejstříky A (všeobecná správní agenda), Af (agenda ve věcech finanční správy), Ad (sociální a důchodová agenda) a Az (azylová agenda).</w:t>
      </w:r>
    </w:p>
    <w:p w14:paraId="527DB0FD" w14:textId="79BDB71C" w:rsidR="008430BD" w:rsidRPr="00730B1E" w:rsidRDefault="008430BD" w:rsidP="008430BD">
      <w:pPr>
        <w:pStyle w:val="Nadpis3"/>
        <w:numPr>
          <w:ilvl w:val="2"/>
          <w:numId w:val="1"/>
        </w:numPr>
        <w:rPr>
          <w:color w:val="auto"/>
        </w:rPr>
      </w:pPr>
      <w:bookmarkStart w:id="1104" w:name="_Toc43903076"/>
      <w:bookmarkStart w:id="1105" w:name="_Toc106092775"/>
      <w:bookmarkStart w:id="1106" w:name="_Toc169250851"/>
      <w:bookmarkStart w:id="1107" w:name="_Toc174080887"/>
      <w:r w:rsidRPr="00730B1E">
        <w:rPr>
          <w:color w:val="auto"/>
        </w:rPr>
        <w:t>Délka řízení</w:t>
      </w:r>
      <w:bookmarkEnd w:id="1104"/>
      <w:bookmarkEnd w:id="1105"/>
      <w:bookmarkEnd w:id="1106"/>
      <w:bookmarkEnd w:id="1107"/>
    </w:p>
    <w:p w14:paraId="4E7F41BB" w14:textId="473CB27F" w:rsidR="00F0387D" w:rsidRPr="00730B1E" w:rsidRDefault="00CA66E1" w:rsidP="00F0387D">
      <w:pPr>
        <w:pStyle w:val="OdstavecASR"/>
      </w:pPr>
      <w:r w:rsidRPr="00730B1E">
        <w:t xml:space="preserve">V období zobrazeném na grafu </w:t>
      </w:r>
      <w:r w:rsidR="00ED04BA" w:rsidRPr="00730B1E">
        <w:t xml:space="preserve">jsou </w:t>
      </w:r>
      <w:r w:rsidRPr="00730B1E">
        <w:t>délky řízení relativně stabilní až do roku 2021</w:t>
      </w:r>
      <w:r w:rsidR="00F0387D" w:rsidRPr="00730B1E">
        <w:t xml:space="preserve">. </w:t>
      </w:r>
      <w:r w:rsidR="00ED04BA" w:rsidRPr="00730B1E">
        <w:t xml:space="preserve">Tato stabilní úroveň nicméně byla důsledkem výrazného nárůstu v letech </w:t>
      </w:r>
      <w:r w:rsidRPr="00730B1E">
        <w:t>2009 až 2014</w:t>
      </w:r>
      <w:r w:rsidR="00ED04BA" w:rsidRPr="00730B1E">
        <w:t xml:space="preserve"> a spolu </w:t>
      </w:r>
      <w:r w:rsidRPr="00730B1E">
        <w:t>s dalšími ukazateli</w:t>
      </w:r>
      <w:r w:rsidR="00ED04BA" w:rsidRPr="00730B1E">
        <w:t>,</w:t>
      </w:r>
      <w:r w:rsidRPr="00730B1E">
        <w:t xml:space="preserve"> jako je počet nevyřízených věcí</w:t>
      </w:r>
      <w:r w:rsidR="00ED04BA" w:rsidRPr="00730B1E">
        <w:t>, svědčila o relativně špatné situaci správního soudnictví</w:t>
      </w:r>
      <w:r w:rsidRPr="00730B1E">
        <w:t>.</w:t>
      </w:r>
      <w:r w:rsidR="00F94EAD" w:rsidRPr="00730B1E">
        <w:t xml:space="preserve"> </w:t>
      </w:r>
      <w:r w:rsidR="00ED04BA" w:rsidRPr="00730B1E">
        <w:t>O</w:t>
      </w:r>
      <w:r w:rsidR="00F94EAD" w:rsidRPr="00730B1E">
        <w:t xml:space="preserve">d roku 2019 </w:t>
      </w:r>
      <w:r w:rsidR="00ED04BA" w:rsidRPr="00730B1E">
        <w:t>nicméně</w:t>
      </w:r>
      <w:r w:rsidR="00F94EAD" w:rsidRPr="00730B1E">
        <w:t xml:space="preserve"> klesal počet nevyřízených věcí a také se</w:t>
      </w:r>
      <w:r w:rsidRPr="00730B1E">
        <w:t xml:space="preserve"> </w:t>
      </w:r>
      <w:r w:rsidR="00F0387D" w:rsidRPr="00730B1E">
        <w:t xml:space="preserve">měnilo složení portfolia vyřizovaných věcí </w:t>
      </w:r>
      <w:r w:rsidR="00B17F04" w:rsidRPr="00730B1E">
        <w:t xml:space="preserve">– </w:t>
      </w:r>
      <w:r w:rsidR="00F0387D" w:rsidRPr="00730B1E">
        <w:t>zvýšil podíl vyřízení dlouhodobě nevyřízených věcí</w:t>
      </w:r>
      <w:r w:rsidR="00B17F04" w:rsidRPr="00730B1E">
        <w:t xml:space="preserve">, což </w:t>
      </w:r>
      <w:r w:rsidR="00F0387D" w:rsidRPr="00730B1E">
        <w:t xml:space="preserve">naznačovalo, že ke zlepšení délek řízení by mělo dojít v dohledné době. </w:t>
      </w:r>
      <w:r w:rsidR="00B17F04" w:rsidRPr="00730B1E">
        <w:t xml:space="preserve">Stalo se tak </w:t>
      </w:r>
      <w:r w:rsidR="00F0387D" w:rsidRPr="00730B1E">
        <w:t xml:space="preserve">v roce 2022, kdy došlo k významnému poklesu v délkách řízení: medián klesl o 62 dnů a </w:t>
      </w:r>
      <w:r w:rsidR="00B17F04" w:rsidRPr="00730B1E">
        <w:t xml:space="preserve">byl </w:t>
      </w:r>
      <w:r w:rsidR="00F0387D" w:rsidRPr="00730B1E">
        <w:t xml:space="preserve">nejnižší od roku 2013, průměr klesl o 72 dnů a </w:t>
      </w:r>
      <w:r w:rsidR="00B17F04" w:rsidRPr="00730B1E">
        <w:t>byl</w:t>
      </w:r>
      <w:r w:rsidR="00F0387D" w:rsidRPr="00730B1E">
        <w:t xml:space="preserve"> nejnižší od roku 2012 a percentil 90 klesl o 190 dnů a </w:t>
      </w:r>
      <w:r w:rsidR="00B17F04" w:rsidRPr="00730B1E">
        <w:t xml:space="preserve">byl </w:t>
      </w:r>
      <w:r w:rsidR="00F0387D" w:rsidRPr="00730B1E">
        <w:t xml:space="preserve">nejnižší od roku 2011. Postupné vylepšování statistik nevyřízených věcí se tedy nakonec promítlo i do délek řízení, </w:t>
      </w:r>
      <w:r w:rsidR="00B17F04" w:rsidRPr="00730B1E">
        <w:t>zejména</w:t>
      </w:r>
      <w:r w:rsidR="00F0387D" w:rsidRPr="00730B1E">
        <w:t xml:space="preserve"> u nejvíce přetížených soudů.</w:t>
      </w:r>
      <w:r w:rsidR="00F94EAD" w:rsidRPr="00730B1E">
        <w:t xml:space="preserve"> </w:t>
      </w:r>
      <w:r w:rsidR="00B17F04" w:rsidRPr="00730B1E">
        <w:t>Výrazný p</w:t>
      </w:r>
      <w:r w:rsidR="00F94EAD" w:rsidRPr="00730B1E">
        <w:t xml:space="preserve">okles pokračoval i v roce 2023. Například medián </w:t>
      </w:r>
      <w:r w:rsidR="00B17F04" w:rsidRPr="00730B1E">
        <w:t xml:space="preserve">tak mezi roky </w:t>
      </w:r>
      <w:r w:rsidR="00F94EAD" w:rsidRPr="00730B1E">
        <w:t xml:space="preserve">2021 </w:t>
      </w:r>
      <w:r w:rsidR="00B17F04" w:rsidRPr="00730B1E">
        <w:t xml:space="preserve">a 2023 </w:t>
      </w:r>
      <w:r w:rsidR="00F94EAD" w:rsidRPr="00730B1E">
        <w:t>klesl o 131 dnů</w:t>
      </w:r>
      <w:r w:rsidR="00B17F04" w:rsidRPr="00730B1E">
        <w:t xml:space="preserve">, tedy </w:t>
      </w:r>
      <w:r w:rsidR="00F94EAD" w:rsidRPr="00730B1E">
        <w:t>32 %</w:t>
      </w:r>
      <w:r w:rsidR="00E604F1" w:rsidRPr="00730B1E">
        <w:t>.</w:t>
      </w:r>
    </w:p>
    <w:p w14:paraId="507B9974" w14:textId="3F5A6CE2" w:rsidR="00F0387D" w:rsidRPr="00730B1E" w:rsidRDefault="00F0387D" w:rsidP="00F0387D">
      <w:pPr>
        <w:pStyle w:val="Podnadpis"/>
        <w:numPr>
          <w:ilvl w:val="0"/>
          <w:numId w:val="0"/>
        </w:numPr>
        <w:rPr>
          <w:color w:val="auto"/>
        </w:rPr>
      </w:pPr>
      <w:bookmarkStart w:id="1108" w:name="_Toc75952249"/>
      <w:bookmarkStart w:id="1109" w:name="_Toc106106708"/>
      <w:bookmarkStart w:id="1110" w:name="_Toc109802032"/>
      <w:bookmarkStart w:id="1111" w:name="_Toc144104182"/>
      <w:bookmarkStart w:id="1112" w:name="_Toc169250995"/>
      <w:bookmarkStart w:id="1113" w:name="_Toc17408068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76</w:t>
      </w:r>
      <w:r w:rsidRPr="00730B1E">
        <w:rPr>
          <w:color w:val="auto"/>
        </w:rPr>
        <w:fldChar w:fldCharType="end"/>
      </w:r>
      <w:r w:rsidRPr="00730B1E">
        <w:rPr>
          <w:color w:val="auto"/>
        </w:rPr>
        <w:t>: KS – délka správního řízení u KS v letech 2014–202</w:t>
      </w:r>
      <w:bookmarkEnd w:id="1108"/>
      <w:bookmarkEnd w:id="1109"/>
      <w:bookmarkEnd w:id="1110"/>
      <w:bookmarkEnd w:id="1111"/>
      <w:r w:rsidRPr="00730B1E">
        <w:rPr>
          <w:color w:val="auto"/>
        </w:rPr>
        <w:t>3</w:t>
      </w:r>
      <w:bookmarkEnd w:id="1112"/>
      <w:bookmarkEnd w:id="1113"/>
    </w:p>
    <w:p w14:paraId="5DCD63F1" w14:textId="2BD76D98" w:rsidR="00F0387D" w:rsidRPr="00730B1E" w:rsidRDefault="00CA66E1" w:rsidP="00F0387D">
      <w:pPr>
        <w:rPr>
          <w:lang w:val="en-GB"/>
        </w:rPr>
      </w:pPr>
      <w:r w:rsidRPr="00730B1E">
        <w:rPr>
          <w:noProof/>
          <w:lang w:eastAsia="cs-CZ"/>
        </w:rPr>
        <w:drawing>
          <wp:inline distT="0" distB="0" distL="0" distR="0" wp14:anchorId="09F800C2" wp14:editId="4012C9E0">
            <wp:extent cx="5029200" cy="36576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CD47AFF" w14:textId="27CBB09E" w:rsidR="00F94EAD" w:rsidRPr="00730B1E" w:rsidRDefault="00F94EAD">
      <w:pPr>
        <w:spacing w:after="160" w:line="259" w:lineRule="auto"/>
        <w:jc w:val="left"/>
      </w:pPr>
      <w:r w:rsidRPr="00730B1E">
        <w:br w:type="page"/>
      </w:r>
    </w:p>
    <w:p w14:paraId="4DC5D200" w14:textId="1FC9E3A4" w:rsidR="00F94EAD" w:rsidRPr="00730B1E" w:rsidRDefault="00F94EAD" w:rsidP="00F94EAD">
      <w:pPr>
        <w:pStyle w:val="Podnadpis"/>
        <w:rPr>
          <w:color w:val="auto"/>
        </w:rPr>
      </w:pPr>
      <w:bookmarkStart w:id="1114" w:name="_Toc144104306"/>
      <w:bookmarkStart w:id="1115" w:name="_Toc169251121"/>
      <w:bookmarkStart w:id="1116" w:name="_Toc174080807"/>
      <w:r w:rsidRPr="00730B1E">
        <w:rPr>
          <w:color w:val="auto"/>
        </w:rPr>
        <w:lastRenderedPageBreak/>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64</w:t>
      </w:r>
      <w:r w:rsidRPr="00730B1E">
        <w:rPr>
          <w:noProof/>
          <w:color w:val="auto"/>
        </w:rPr>
        <w:fldChar w:fldCharType="end"/>
      </w:r>
      <w:r w:rsidRPr="00730B1E">
        <w:rPr>
          <w:color w:val="auto"/>
        </w:rPr>
        <w:t>: KS – délky správního řízení dle soudů</w:t>
      </w:r>
      <w:bookmarkEnd w:id="1114"/>
      <w:bookmarkEnd w:id="1115"/>
      <w:bookmarkEnd w:id="1116"/>
    </w:p>
    <w:tbl>
      <w:tblPr>
        <w:tblW w:w="7521" w:type="dxa"/>
        <w:tblCellMar>
          <w:left w:w="70" w:type="dxa"/>
          <w:right w:w="70" w:type="dxa"/>
        </w:tblCellMar>
        <w:tblLook w:val="04A0" w:firstRow="1" w:lastRow="0" w:firstColumn="1" w:lastColumn="0" w:noHBand="0" w:noVBand="1"/>
      </w:tblPr>
      <w:tblGrid>
        <w:gridCol w:w="2480"/>
        <w:gridCol w:w="685"/>
        <w:gridCol w:w="922"/>
        <w:gridCol w:w="685"/>
        <w:gridCol w:w="933"/>
        <w:gridCol w:w="894"/>
        <w:gridCol w:w="922"/>
      </w:tblGrid>
      <w:tr w:rsidR="00B64E96" w:rsidRPr="00730B1E" w14:paraId="340D903E" w14:textId="77777777" w:rsidTr="00C83F31">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B51A27C" w14:textId="63D2F5C0" w:rsidR="00C83F31" w:rsidRPr="00730B1E" w:rsidRDefault="00E4127E" w:rsidP="00C83F31">
            <w:pPr>
              <w:spacing w:line="240" w:lineRule="auto"/>
              <w:jc w:val="center"/>
              <w:rPr>
                <w:rFonts w:eastAsia="Times New Roman"/>
                <w:b/>
                <w:bCs/>
                <w:szCs w:val="24"/>
                <w:lang w:eastAsia="cs-CZ"/>
              </w:rPr>
            </w:pPr>
            <w:r w:rsidRPr="00730B1E">
              <w:rPr>
                <w:rFonts w:eastAsia="Times New Roman"/>
                <w:b/>
                <w:bCs/>
                <w:szCs w:val="24"/>
                <w:lang w:eastAsia="cs-CZ"/>
              </w:rPr>
              <w:t>S</w:t>
            </w:r>
            <w:r w:rsidR="00C83F31" w:rsidRPr="00730B1E">
              <w:rPr>
                <w:rFonts w:eastAsia="Times New Roman"/>
                <w:b/>
                <w:bCs/>
                <w:szCs w:val="24"/>
                <w:lang w:eastAsia="cs-CZ"/>
              </w:rPr>
              <w:t>oud</w:t>
            </w:r>
          </w:p>
        </w:tc>
        <w:tc>
          <w:tcPr>
            <w:tcW w:w="5041" w:type="dxa"/>
            <w:gridSpan w:val="6"/>
            <w:tcBorders>
              <w:top w:val="double" w:sz="6" w:space="0" w:color="auto"/>
              <w:left w:val="nil"/>
              <w:bottom w:val="nil"/>
              <w:right w:val="nil"/>
            </w:tcBorders>
            <w:shd w:val="clear" w:color="auto" w:fill="auto"/>
            <w:noWrap/>
            <w:vAlign w:val="center"/>
            <w:hideMark/>
          </w:tcPr>
          <w:p w14:paraId="25D33E66" w14:textId="77777777" w:rsidR="00C83F31" w:rsidRPr="00730B1E" w:rsidRDefault="00C83F31" w:rsidP="00C83F31">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7B4380C9" w14:textId="77777777" w:rsidTr="00C83F31">
        <w:trPr>
          <w:trHeight w:val="330"/>
        </w:trPr>
        <w:tc>
          <w:tcPr>
            <w:tcW w:w="2480" w:type="dxa"/>
            <w:vMerge/>
            <w:tcBorders>
              <w:top w:val="double" w:sz="6" w:space="0" w:color="auto"/>
              <w:left w:val="nil"/>
              <w:bottom w:val="double" w:sz="6" w:space="0" w:color="000000"/>
              <w:right w:val="nil"/>
            </w:tcBorders>
            <w:vAlign w:val="center"/>
            <w:hideMark/>
          </w:tcPr>
          <w:p w14:paraId="0763756A" w14:textId="77777777" w:rsidR="00C83F31" w:rsidRPr="00730B1E" w:rsidRDefault="00C83F31" w:rsidP="00C83F31">
            <w:pPr>
              <w:spacing w:line="240" w:lineRule="auto"/>
              <w:jc w:val="left"/>
              <w:rPr>
                <w:rFonts w:eastAsia="Times New Roman"/>
                <w:b/>
                <w:bCs/>
                <w:szCs w:val="24"/>
                <w:lang w:eastAsia="cs-CZ"/>
              </w:rPr>
            </w:pPr>
          </w:p>
        </w:tc>
        <w:tc>
          <w:tcPr>
            <w:tcW w:w="1607" w:type="dxa"/>
            <w:gridSpan w:val="2"/>
            <w:tcBorders>
              <w:top w:val="nil"/>
              <w:left w:val="nil"/>
              <w:bottom w:val="double" w:sz="6" w:space="0" w:color="auto"/>
              <w:right w:val="nil"/>
            </w:tcBorders>
            <w:shd w:val="clear" w:color="auto" w:fill="auto"/>
            <w:noWrap/>
            <w:vAlign w:val="center"/>
            <w:hideMark/>
          </w:tcPr>
          <w:p w14:paraId="0D9C23A6" w14:textId="77777777" w:rsidR="00C83F31" w:rsidRPr="00730B1E" w:rsidRDefault="00C83F31" w:rsidP="00C83F31">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61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A105D5D" w14:textId="77777777" w:rsidR="00C83F31" w:rsidRPr="00730B1E" w:rsidRDefault="00C83F31" w:rsidP="00C83F31">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1816" w:type="dxa"/>
            <w:gridSpan w:val="2"/>
            <w:tcBorders>
              <w:top w:val="nil"/>
              <w:left w:val="nil"/>
              <w:bottom w:val="double" w:sz="6" w:space="0" w:color="auto"/>
              <w:right w:val="nil"/>
            </w:tcBorders>
            <w:shd w:val="clear" w:color="auto" w:fill="auto"/>
            <w:noWrap/>
            <w:vAlign w:val="center"/>
            <w:hideMark/>
          </w:tcPr>
          <w:p w14:paraId="20DA8C42" w14:textId="77777777" w:rsidR="00C83F31" w:rsidRPr="00730B1E" w:rsidRDefault="00C83F31" w:rsidP="00C83F31">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0A0DB722" w14:textId="77777777" w:rsidTr="00C83F31">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7B0A3CA"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MS Praha</w:t>
            </w:r>
          </w:p>
        </w:tc>
        <w:tc>
          <w:tcPr>
            <w:tcW w:w="685" w:type="dxa"/>
            <w:tcBorders>
              <w:top w:val="single" w:sz="4" w:space="0" w:color="auto"/>
              <w:left w:val="nil"/>
              <w:bottom w:val="single" w:sz="4" w:space="0" w:color="auto"/>
              <w:right w:val="nil"/>
            </w:tcBorders>
            <w:shd w:val="clear" w:color="auto" w:fill="auto"/>
            <w:noWrap/>
            <w:vAlign w:val="bottom"/>
            <w:hideMark/>
          </w:tcPr>
          <w:p w14:paraId="7E88777D"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489</w:t>
            </w:r>
          </w:p>
        </w:tc>
        <w:tc>
          <w:tcPr>
            <w:tcW w:w="922" w:type="dxa"/>
            <w:tcBorders>
              <w:top w:val="single" w:sz="4" w:space="0" w:color="auto"/>
              <w:left w:val="nil"/>
              <w:bottom w:val="single" w:sz="4" w:space="0" w:color="auto"/>
              <w:right w:val="nil"/>
            </w:tcBorders>
            <w:shd w:val="clear" w:color="auto" w:fill="auto"/>
            <w:noWrap/>
            <w:vAlign w:val="center"/>
            <w:hideMark/>
          </w:tcPr>
          <w:p w14:paraId="545CE0F5" w14:textId="16D48165"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-8 %</w:t>
            </w:r>
          </w:p>
        </w:tc>
        <w:tc>
          <w:tcPr>
            <w:tcW w:w="685" w:type="dxa"/>
            <w:tcBorders>
              <w:top w:val="nil"/>
              <w:left w:val="single" w:sz="4" w:space="0" w:color="auto"/>
              <w:bottom w:val="single" w:sz="4" w:space="0" w:color="auto"/>
              <w:right w:val="nil"/>
            </w:tcBorders>
            <w:shd w:val="clear" w:color="auto" w:fill="auto"/>
            <w:noWrap/>
            <w:vAlign w:val="bottom"/>
            <w:hideMark/>
          </w:tcPr>
          <w:p w14:paraId="0A2EFC3C"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397</w:t>
            </w:r>
          </w:p>
        </w:tc>
        <w:tc>
          <w:tcPr>
            <w:tcW w:w="933" w:type="dxa"/>
            <w:tcBorders>
              <w:top w:val="nil"/>
              <w:left w:val="nil"/>
              <w:bottom w:val="single" w:sz="4" w:space="0" w:color="auto"/>
              <w:right w:val="single" w:sz="4" w:space="0" w:color="auto"/>
            </w:tcBorders>
            <w:shd w:val="clear" w:color="auto" w:fill="auto"/>
            <w:noWrap/>
            <w:vAlign w:val="center"/>
            <w:hideMark/>
          </w:tcPr>
          <w:p w14:paraId="478F4C7C" w14:textId="7174B1F7"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-14 %</w:t>
            </w:r>
          </w:p>
        </w:tc>
        <w:tc>
          <w:tcPr>
            <w:tcW w:w="894" w:type="dxa"/>
            <w:tcBorders>
              <w:top w:val="single" w:sz="4" w:space="0" w:color="auto"/>
              <w:left w:val="nil"/>
              <w:bottom w:val="single" w:sz="4" w:space="0" w:color="auto"/>
              <w:right w:val="nil"/>
            </w:tcBorders>
            <w:shd w:val="clear" w:color="auto" w:fill="auto"/>
            <w:noWrap/>
            <w:vAlign w:val="bottom"/>
            <w:hideMark/>
          </w:tcPr>
          <w:p w14:paraId="5F75FDD9" w14:textId="6DD6F1D4"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1</w:t>
            </w:r>
            <w:r w:rsidR="00E4127E" w:rsidRPr="00730B1E">
              <w:rPr>
                <w:rFonts w:eastAsia="Times New Roman"/>
                <w:szCs w:val="24"/>
                <w:lang w:eastAsia="cs-CZ"/>
              </w:rPr>
              <w:t xml:space="preserve"> </w:t>
            </w:r>
            <w:r w:rsidRPr="00730B1E">
              <w:rPr>
                <w:rFonts w:eastAsia="Times New Roman"/>
                <w:szCs w:val="24"/>
                <w:lang w:eastAsia="cs-CZ"/>
              </w:rPr>
              <w:t>064</w:t>
            </w:r>
          </w:p>
        </w:tc>
        <w:tc>
          <w:tcPr>
            <w:tcW w:w="922" w:type="dxa"/>
            <w:tcBorders>
              <w:top w:val="single" w:sz="4" w:space="0" w:color="auto"/>
              <w:left w:val="nil"/>
              <w:bottom w:val="single" w:sz="4" w:space="0" w:color="auto"/>
              <w:right w:val="nil"/>
            </w:tcBorders>
            <w:shd w:val="clear" w:color="auto" w:fill="auto"/>
            <w:noWrap/>
            <w:vAlign w:val="center"/>
            <w:hideMark/>
          </w:tcPr>
          <w:p w14:paraId="4C984EA4" w14:textId="24DC4C5D"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+2 %</w:t>
            </w:r>
          </w:p>
        </w:tc>
      </w:tr>
      <w:tr w:rsidR="00B64E96" w:rsidRPr="00730B1E" w14:paraId="2744BBE0" w14:textId="77777777" w:rsidTr="00C83F31">
        <w:trPr>
          <w:trHeight w:val="315"/>
        </w:trPr>
        <w:tc>
          <w:tcPr>
            <w:tcW w:w="2480" w:type="dxa"/>
            <w:tcBorders>
              <w:top w:val="nil"/>
              <w:left w:val="nil"/>
              <w:bottom w:val="single" w:sz="4" w:space="0" w:color="auto"/>
              <w:right w:val="nil"/>
            </w:tcBorders>
            <w:shd w:val="clear" w:color="auto" w:fill="auto"/>
            <w:noWrap/>
            <w:vAlign w:val="bottom"/>
            <w:hideMark/>
          </w:tcPr>
          <w:p w14:paraId="4B3746C1"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KS Praha</w:t>
            </w:r>
          </w:p>
        </w:tc>
        <w:tc>
          <w:tcPr>
            <w:tcW w:w="685" w:type="dxa"/>
            <w:tcBorders>
              <w:top w:val="nil"/>
              <w:left w:val="nil"/>
              <w:bottom w:val="single" w:sz="4" w:space="0" w:color="auto"/>
              <w:right w:val="nil"/>
            </w:tcBorders>
            <w:shd w:val="clear" w:color="auto" w:fill="auto"/>
            <w:noWrap/>
            <w:vAlign w:val="bottom"/>
            <w:hideMark/>
          </w:tcPr>
          <w:p w14:paraId="22A224D2"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347</w:t>
            </w:r>
          </w:p>
        </w:tc>
        <w:tc>
          <w:tcPr>
            <w:tcW w:w="922" w:type="dxa"/>
            <w:tcBorders>
              <w:top w:val="nil"/>
              <w:left w:val="nil"/>
              <w:bottom w:val="single" w:sz="4" w:space="0" w:color="auto"/>
              <w:right w:val="nil"/>
            </w:tcBorders>
            <w:shd w:val="clear" w:color="auto" w:fill="auto"/>
            <w:noWrap/>
            <w:vAlign w:val="center"/>
            <w:hideMark/>
          </w:tcPr>
          <w:p w14:paraId="416B4370" w14:textId="326A5A89"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+1 %</w:t>
            </w:r>
          </w:p>
        </w:tc>
        <w:tc>
          <w:tcPr>
            <w:tcW w:w="685" w:type="dxa"/>
            <w:tcBorders>
              <w:top w:val="nil"/>
              <w:left w:val="single" w:sz="4" w:space="0" w:color="auto"/>
              <w:bottom w:val="single" w:sz="4" w:space="0" w:color="auto"/>
              <w:right w:val="nil"/>
            </w:tcBorders>
            <w:shd w:val="clear" w:color="auto" w:fill="auto"/>
            <w:noWrap/>
            <w:vAlign w:val="bottom"/>
            <w:hideMark/>
          </w:tcPr>
          <w:p w14:paraId="4B06ED8A"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231</w:t>
            </w:r>
          </w:p>
        </w:tc>
        <w:tc>
          <w:tcPr>
            <w:tcW w:w="933" w:type="dxa"/>
            <w:tcBorders>
              <w:top w:val="nil"/>
              <w:left w:val="nil"/>
              <w:bottom w:val="single" w:sz="4" w:space="0" w:color="auto"/>
              <w:right w:val="single" w:sz="4" w:space="0" w:color="auto"/>
            </w:tcBorders>
            <w:shd w:val="clear" w:color="auto" w:fill="auto"/>
            <w:noWrap/>
            <w:vAlign w:val="center"/>
            <w:hideMark/>
          </w:tcPr>
          <w:p w14:paraId="63D39668" w14:textId="35200FF0"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-23 %</w:t>
            </w:r>
          </w:p>
        </w:tc>
        <w:tc>
          <w:tcPr>
            <w:tcW w:w="894" w:type="dxa"/>
            <w:tcBorders>
              <w:top w:val="nil"/>
              <w:left w:val="nil"/>
              <w:bottom w:val="single" w:sz="4" w:space="0" w:color="auto"/>
              <w:right w:val="nil"/>
            </w:tcBorders>
            <w:shd w:val="clear" w:color="auto" w:fill="auto"/>
            <w:noWrap/>
            <w:vAlign w:val="bottom"/>
            <w:hideMark/>
          </w:tcPr>
          <w:p w14:paraId="473DF45D"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790</w:t>
            </w:r>
          </w:p>
        </w:tc>
        <w:tc>
          <w:tcPr>
            <w:tcW w:w="922" w:type="dxa"/>
            <w:tcBorders>
              <w:top w:val="nil"/>
              <w:left w:val="nil"/>
              <w:bottom w:val="single" w:sz="4" w:space="0" w:color="auto"/>
              <w:right w:val="nil"/>
            </w:tcBorders>
            <w:shd w:val="clear" w:color="auto" w:fill="auto"/>
            <w:noWrap/>
            <w:vAlign w:val="center"/>
            <w:hideMark/>
          </w:tcPr>
          <w:p w14:paraId="2ED472CC" w14:textId="2A103FAF"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+1 %</w:t>
            </w:r>
          </w:p>
        </w:tc>
      </w:tr>
      <w:tr w:rsidR="00B64E96" w:rsidRPr="00730B1E" w14:paraId="650FD879" w14:textId="77777777" w:rsidTr="00C83F31">
        <w:trPr>
          <w:trHeight w:val="315"/>
        </w:trPr>
        <w:tc>
          <w:tcPr>
            <w:tcW w:w="2480" w:type="dxa"/>
            <w:tcBorders>
              <w:top w:val="nil"/>
              <w:left w:val="nil"/>
              <w:bottom w:val="single" w:sz="4" w:space="0" w:color="auto"/>
              <w:right w:val="nil"/>
            </w:tcBorders>
            <w:shd w:val="clear" w:color="auto" w:fill="auto"/>
            <w:noWrap/>
            <w:vAlign w:val="bottom"/>
            <w:hideMark/>
          </w:tcPr>
          <w:p w14:paraId="12E849F5"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KS Č. Budějovice</w:t>
            </w:r>
          </w:p>
        </w:tc>
        <w:tc>
          <w:tcPr>
            <w:tcW w:w="685" w:type="dxa"/>
            <w:tcBorders>
              <w:top w:val="nil"/>
              <w:left w:val="nil"/>
              <w:bottom w:val="single" w:sz="4" w:space="0" w:color="auto"/>
              <w:right w:val="nil"/>
            </w:tcBorders>
            <w:shd w:val="clear" w:color="auto" w:fill="auto"/>
            <w:noWrap/>
            <w:vAlign w:val="bottom"/>
            <w:hideMark/>
          </w:tcPr>
          <w:p w14:paraId="7469FDB7"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216</w:t>
            </w:r>
          </w:p>
        </w:tc>
        <w:tc>
          <w:tcPr>
            <w:tcW w:w="922" w:type="dxa"/>
            <w:tcBorders>
              <w:top w:val="nil"/>
              <w:left w:val="nil"/>
              <w:bottom w:val="single" w:sz="4" w:space="0" w:color="auto"/>
              <w:right w:val="nil"/>
            </w:tcBorders>
            <w:shd w:val="clear" w:color="auto" w:fill="auto"/>
            <w:noWrap/>
            <w:vAlign w:val="center"/>
            <w:hideMark/>
          </w:tcPr>
          <w:p w14:paraId="21373AC9" w14:textId="4C67D9B7"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-24 %</w:t>
            </w:r>
          </w:p>
        </w:tc>
        <w:tc>
          <w:tcPr>
            <w:tcW w:w="685" w:type="dxa"/>
            <w:tcBorders>
              <w:top w:val="nil"/>
              <w:left w:val="single" w:sz="4" w:space="0" w:color="auto"/>
              <w:bottom w:val="single" w:sz="4" w:space="0" w:color="auto"/>
              <w:right w:val="nil"/>
            </w:tcBorders>
            <w:shd w:val="clear" w:color="auto" w:fill="auto"/>
            <w:noWrap/>
            <w:vAlign w:val="bottom"/>
            <w:hideMark/>
          </w:tcPr>
          <w:p w14:paraId="5ED6FAAC"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130</w:t>
            </w:r>
          </w:p>
        </w:tc>
        <w:tc>
          <w:tcPr>
            <w:tcW w:w="933" w:type="dxa"/>
            <w:tcBorders>
              <w:top w:val="nil"/>
              <w:left w:val="nil"/>
              <w:bottom w:val="single" w:sz="4" w:space="0" w:color="auto"/>
              <w:right w:val="single" w:sz="4" w:space="0" w:color="auto"/>
            </w:tcBorders>
            <w:shd w:val="clear" w:color="auto" w:fill="auto"/>
            <w:noWrap/>
            <w:vAlign w:val="center"/>
            <w:hideMark/>
          </w:tcPr>
          <w:p w14:paraId="785B8786" w14:textId="471823B6"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-20 %</w:t>
            </w:r>
          </w:p>
        </w:tc>
        <w:tc>
          <w:tcPr>
            <w:tcW w:w="894" w:type="dxa"/>
            <w:tcBorders>
              <w:top w:val="nil"/>
              <w:left w:val="nil"/>
              <w:bottom w:val="single" w:sz="4" w:space="0" w:color="auto"/>
              <w:right w:val="nil"/>
            </w:tcBorders>
            <w:shd w:val="clear" w:color="auto" w:fill="auto"/>
            <w:noWrap/>
            <w:vAlign w:val="bottom"/>
            <w:hideMark/>
          </w:tcPr>
          <w:p w14:paraId="6A6B2739"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420</w:t>
            </w:r>
          </w:p>
        </w:tc>
        <w:tc>
          <w:tcPr>
            <w:tcW w:w="922" w:type="dxa"/>
            <w:tcBorders>
              <w:top w:val="nil"/>
              <w:left w:val="nil"/>
              <w:bottom w:val="single" w:sz="4" w:space="0" w:color="auto"/>
              <w:right w:val="nil"/>
            </w:tcBorders>
            <w:shd w:val="clear" w:color="auto" w:fill="auto"/>
            <w:noWrap/>
            <w:vAlign w:val="center"/>
            <w:hideMark/>
          </w:tcPr>
          <w:p w14:paraId="2BCCA62D" w14:textId="041EDBFB"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-40 %</w:t>
            </w:r>
          </w:p>
        </w:tc>
      </w:tr>
      <w:tr w:rsidR="00B64E96" w:rsidRPr="00730B1E" w14:paraId="5390835A" w14:textId="77777777" w:rsidTr="00C83F31">
        <w:trPr>
          <w:trHeight w:val="315"/>
        </w:trPr>
        <w:tc>
          <w:tcPr>
            <w:tcW w:w="2480" w:type="dxa"/>
            <w:tcBorders>
              <w:top w:val="nil"/>
              <w:left w:val="nil"/>
              <w:bottom w:val="single" w:sz="4" w:space="0" w:color="auto"/>
              <w:right w:val="nil"/>
            </w:tcBorders>
            <w:shd w:val="clear" w:color="auto" w:fill="auto"/>
            <w:noWrap/>
            <w:vAlign w:val="bottom"/>
            <w:hideMark/>
          </w:tcPr>
          <w:p w14:paraId="2BF088C7"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KS Plzeň</w:t>
            </w:r>
          </w:p>
        </w:tc>
        <w:tc>
          <w:tcPr>
            <w:tcW w:w="685" w:type="dxa"/>
            <w:tcBorders>
              <w:top w:val="nil"/>
              <w:left w:val="nil"/>
              <w:bottom w:val="single" w:sz="4" w:space="0" w:color="auto"/>
              <w:right w:val="nil"/>
            </w:tcBorders>
            <w:shd w:val="clear" w:color="auto" w:fill="auto"/>
            <w:noWrap/>
            <w:vAlign w:val="bottom"/>
            <w:hideMark/>
          </w:tcPr>
          <w:p w14:paraId="45BC0692"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220</w:t>
            </w:r>
          </w:p>
        </w:tc>
        <w:tc>
          <w:tcPr>
            <w:tcW w:w="922" w:type="dxa"/>
            <w:tcBorders>
              <w:top w:val="nil"/>
              <w:left w:val="nil"/>
              <w:bottom w:val="single" w:sz="4" w:space="0" w:color="auto"/>
              <w:right w:val="nil"/>
            </w:tcBorders>
            <w:shd w:val="clear" w:color="auto" w:fill="auto"/>
            <w:noWrap/>
            <w:vAlign w:val="center"/>
            <w:hideMark/>
          </w:tcPr>
          <w:p w14:paraId="5954E56E" w14:textId="2EE9DE03"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-27 %</w:t>
            </w:r>
          </w:p>
        </w:tc>
        <w:tc>
          <w:tcPr>
            <w:tcW w:w="685" w:type="dxa"/>
            <w:tcBorders>
              <w:top w:val="nil"/>
              <w:left w:val="single" w:sz="4" w:space="0" w:color="auto"/>
              <w:bottom w:val="single" w:sz="4" w:space="0" w:color="auto"/>
              <w:right w:val="nil"/>
            </w:tcBorders>
            <w:shd w:val="clear" w:color="auto" w:fill="auto"/>
            <w:noWrap/>
            <w:vAlign w:val="bottom"/>
            <w:hideMark/>
          </w:tcPr>
          <w:p w14:paraId="28F2975C"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140</w:t>
            </w:r>
          </w:p>
        </w:tc>
        <w:tc>
          <w:tcPr>
            <w:tcW w:w="933" w:type="dxa"/>
            <w:tcBorders>
              <w:top w:val="nil"/>
              <w:left w:val="nil"/>
              <w:bottom w:val="single" w:sz="4" w:space="0" w:color="auto"/>
              <w:right w:val="single" w:sz="4" w:space="0" w:color="auto"/>
            </w:tcBorders>
            <w:shd w:val="clear" w:color="auto" w:fill="auto"/>
            <w:noWrap/>
            <w:vAlign w:val="center"/>
            <w:hideMark/>
          </w:tcPr>
          <w:p w14:paraId="7DA57B8F" w14:textId="5CF6EAE9"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-34 %</w:t>
            </w:r>
          </w:p>
        </w:tc>
        <w:tc>
          <w:tcPr>
            <w:tcW w:w="894" w:type="dxa"/>
            <w:tcBorders>
              <w:top w:val="nil"/>
              <w:left w:val="nil"/>
              <w:bottom w:val="single" w:sz="4" w:space="0" w:color="auto"/>
              <w:right w:val="nil"/>
            </w:tcBorders>
            <w:shd w:val="clear" w:color="auto" w:fill="auto"/>
            <w:noWrap/>
            <w:vAlign w:val="bottom"/>
            <w:hideMark/>
          </w:tcPr>
          <w:p w14:paraId="508226AB"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433</w:t>
            </w:r>
          </w:p>
        </w:tc>
        <w:tc>
          <w:tcPr>
            <w:tcW w:w="922" w:type="dxa"/>
            <w:tcBorders>
              <w:top w:val="nil"/>
              <w:left w:val="nil"/>
              <w:bottom w:val="single" w:sz="4" w:space="0" w:color="auto"/>
              <w:right w:val="nil"/>
            </w:tcBorders>
            <w:shd w:val="clear" w:color="auto" w:fill="auto"/>
            <w:noWrap/>
            <w:vAlign w:val="center"/>
            <w:hideMark/>
          </w:tcPr>
          <w:p w14:paraId="2C124291" w14:textId="079ED3F9"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-43 %</w:t>
            </w:r>
          </w:p>
        </w:tc>
      </w:tr>
      <w:tr w:rsidR="00B64E96" w:rsidRPr="00730B1E" w14:paraId="4E060590" w14:textId="77777777" w:rsidTr="00C83F31">
        <w:trPr>
          <w:trHeight w:val="315"/>
        </w:trPr>
        <w:tc>
          <w:tcPr>
            <w:tcW w:w="2480" w:type="dxa"/>
            <w:tcBorders>
              <w:top w:val="nil"/>
              <w:left w:val="nil"/>
              <w:bottom w:val="single" w:sz="4" w:space="0" w:color="auto"/>
              <w:right w:val="nil"/>
            </w:tcBorders>
            <w:shd w:val="clear" w:color="auto" w:fill="auto"/>
            <w:noWrap/>
            <w:vAlign w:val="bottom"/>
            <w:hideMark/>
          </w:tcPr>
          <w:p w14:paraId="6A0BE2E4"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KS Ústí n. Labem</w:t>
            </w:r>
          </w:p>
        </w:tc>
        <w:tc>
          <w:tcPr>
            <w:tcW w:w="685" w:type="dxa"/>
            <w:tcBorders>
              <w:top w:val="nil"/>
              <w:left w:val="nil"/>
              <w:bottom w:val="single" w:sz="4" w:space="0" w:color="auto"/>
              <w:right w:val="nil"/>
            </w:tcBorders>
            <w:shd w:val="clear" w:color="auto" w:fill="auto"/>
            <w:noWrap/>
            <w:vAlign w:val="bottom"/>
            <w:hideMark/>
          </w:tcPr>
          <w:p w14:paraId="650C44CE"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388</w:t>
            </w:r>
          </w:p>
        </w:tc>
        <w:tc>
          <w:tcPr>
            <w:tcW w:w="922" w:type="dxa"/>
            <w:tcBorders>
              <w:top w:val="nil"/>
              <w:left w:val="nil"/>
              <w:bottom w:val="single" w:sz="4" w:space="0" w:color="auto"/>
              <w:right w:val="nil"/>
            </w:tcBorders>
            <w:shd w:val="clear" w:color="auto" w:fill="auto"/>
            <w:noWrap/>
            <w:vAlign w:val="center"/>
            <w:hideMark/>
          </w:tcPr>
          <w:p w14:paraId="22B875F8" w14:textId="7336BD70"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-25 %</w:t>
            </w:r>
          </w:p>
        </w:tc>
        <w:tc>
          <w:tcPr>
            <w:tcW w:w="685" w:type="dxa"/>
            <w:tcBorders>
              <w:top w:val="nil"/>
              <w:left w:val="single" w:sz="4" w:space="0" w:color="auto"/>
              <w:bottom w:val="single" w:sz="4" w:space="0" w:color="auto"/>
              <w:right w:val="nil"/>
            </w:tcBorders>
            <w:shd w:val="clear" w:color="auto" w:fill="auto"/>
            <w:noWrap/>
            <w:vAlign w:val="bottom"/>
            <w:hideMark/>
          </w:tcPr>
          <w:p w14:paraId="19926A7C"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249</w:t>
            </w:r>
          </w:p>
        </w:tc>
        <w:tc>
          <w:tcPr>
            <w:tcW w:w="933" w:type="dxa"/>
            <w:tcBorders>
              <w:top w:val="nil"/>
              <w:left w:val="nil"/>
              <w:bottom w:val="single" w:sz="4" w:space="0" w:color="auto"/>
              <w:right w:val="single" w:sz="4" w:space="0" w:color="auto"/>
            </w:tcBorders>
            <w:shd w:val="clear" w:color="auto" w:fill="auto"/>
            <w:noWrap/>
            <w:vAlign w:val="center"/>
            <w:hideMark/>
          </w:tcPr>
          <w:p w14:paraId="210BE426" w14:textId="160E648E"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-46 %</w:t>
            </w:r>
          </w:p>
        </w:tc>
        <w:tc>
          <w:tcPr>
            <w:tcW w:w="894" w:type="dxa"/>
            <w:tcBorders>
              <w:top w:val="nil"/>
              <w:left w:val="nil"/>
              <w:bottom w:val="single" w:sz="4" w:space="0" w:color="auto"/>
              <w:right w:val="nil"/>
            </w:tcBorders>
            <w:shd w:val="clear" w:color="auto" w:fill="auto"/>
            <w:noWrap/>
            <w:vAlign w:val="bottom"/>
            <w:hideMark/>
          </w:tcPr>
          <w:p w14:paraId="603C5C1F"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877</w:t>
            </w:r>
          </w:p>
        </w:tc>
        <w:tc>
          <w:tcPr>
            <w:tcW w:w="922" w:type="dxa"/>
            <w:tcBorders>
              <w:top w:val="nil"/>
              <w:left w:val="nil"/>
              <w:bottom w:val="single" w:sz="4" w:space="0" w:color="auto"/>
              <w:right w:val="nil"/>
            </w:tcBorders>
            <w:shd w:val="clear" w:color="auto" w:fill="auto"/>
            <w:noWrap/>
            <w:vAlign w:val="center"/>
            <w:hideMark/>
          </w:tcPr>
          <w:p w14:paraId="06A6F4B2" w14:textId="41346098"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-14 %</w:t>
            </w:r>
          </w:p>
        </w:tc>
      </w:tr>
      <w:tr w:rsidR="00B64E96" w:rsidRPr="00730B1E" w14:paraId="2EBACD3A" w14:textId="77777777" w:rsidTr="00C83F31">
        <w:trPr>
          <w:trHeight w:val="315"/>
        </w:trPr>
        <w:tc>
          <w:tcPr>
            <w:tcW w:w="2480" w:type="dxa"/>
            <w:tcBorders>
              <w:top w:val="nil"/>
              <w:left w:val="nil"/>
              <w:bottom w:val="single" w:sz="4" w:space="0" w:color="auto"/>
              <w:right w:val="nil"/>
            </w:tcBorders>
            <w:shd w:val="clear" w:color="auto" w:fill="auto"/>
            <w:noWrap/>
            <w:vAlign w:val="bottom"/>
            <w:hideMark/>
          </w:tcPr>
          <w:p w14:paraId="5810484B"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KS Hr. Králové</w:t>
            </w:r>
          </w:p>
        </w:tc>
        <w:tc>
          <w:tcPr>
            <w:tcW w:w="685" w:type="dxa"/>
            <w:tcBorders>
              <w:top w:val="nil"/>
              <w:left w:val="nil"/>
              <w:bottom w:val="single" w:sz="4" w:space="0" w:color="auto"/>
              <w:right w:val="nil"/>
            </w:tcBorders>
            <w:shd w:val="clear" w:color="auto" w:fill="auto"/>
            <w:noWrap/>
            <w:vAlign w:val="bottom"/>
            <w:hideMark/>
          </w:tcPr>
          <w:p w14:paraId="03B23D11"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264</w:t>
            </w:r>
          </w:p>
        </w:tc>
        <w:tc>
          <w:tcPr>
            <w:tcW w:w="922" w:type="dxa"/>
            <w:tcBorders>
              <w:top w:val="nil"/>
              <w:left w:val="nil"/>
              <w:bottom w:val="single" w:sz="4" w:space="0" w:color="auto"/>
              <w:right w:val="nil"/>
            </w:tcBorders>
            <w:shd w:val="clear" w:color="auto" w:fill="auto"/>
            <w:noWrap/>
            <w:vAlign w:val="center"/>
            <w:hideMark/>
          </w:tcPr>
          <w:p w14:paraId="67DD6427" w14:textId="116A8C3A"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-11 %</w:t>
            </w:r>
          </w:p>
        </w:tc>
        <w:tc>
          <w:tcPr>
            <w:tcW w:w="685" w:type="dxa"/>
            <w:tcBorders>
              <w:top w:val="nil"/>
              <w:left w:val="single" w:sz="4" w:space="0" w:color="auto"/>
              <w:bottom w:val="single" w:sz="4" w:space="0" w:color="auto"/>
              <w:right w:val="nil"/>
            </w:tcBorders>
            <w:shd w:val="clear" w:color="auto" w:fill="auto"/>
            <w:noWrap/>
            <w:vAlign w:val="bottom"/>
            <w:hideMark/>
          </w:tcPr>
          <w:p w14:paraId="3358281A"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147</w:t>
            </w:r>
          </w:p>
        </w:tc>
        <w:tc>
          <w:tcPr>
            <w:tcW w:w="933" w:type="dxa"/>
            <w:tcBorders>
              <w:top w:val="nil"/>
              <w:left w:val="nil"/>
              <w:bottom w:val="single" w:sz="4" w:space="0" w:color="auto"/>
              <w:right w:val="single" w:sz="4" w:space="0" w:color="auto"/>
            </w:tcBorders>
            <w:shd w:val="clear" w:color="auto" w:fill="auto"/>
            <w:noWrap/>
            <w:vAlign w:val="center"/>
            <w:hideMark/>
          </w:tcPr>
          <w:p w14:paraId="5807318E" w14:textId="3F923ADA"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-33 %</w:t>
            </w:r>
          </w:p>
        </w:tc>
        <w:tc>
          <w:tcPr>
            <w:tcW w:w="894" w:type="dxa"/>
            <w:tcBorders>
              <w:top w:val="nil"/>
              <w:left w:val="nil"/>
              <w:bottom w:val="single" w:sz="4" w:space="0" w:color="auto"/>
              <w:right w:val="nil"/>
            </w:tcBorders>
            <w:shd w:val="clear" w:color="auto" w:fill="auto"/>
            <w:noWrap/>
            <w:vAlign w:val="bottom"/>
            <w:hideMark/>
          </w:tcPr>
          <w:p w14:paraId="2704F2B3"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561</w:t>
            </w:r>
          </w:p>
        </w:tc>
        <w:tc>
          <w:tcPr>
            <w:tcW w:w="922" w:type="dxa"/>
            <w:tcBorders>
              <w:top w:val="nil"/>
              <w:left w:val="nil"/>
              <w:bottom w:val="single" w:sz="4" w:space="0" w:color="auto"/>
              <w:right w:val="nil"/>
            </w:tcBorders>
            <w:shd w:val="clear" w:color="auto" w:fill="auto"/>
            <w:noWrap/>
            <w:vAlign w:val="center"/>
            <w:hideMark/>
          </w:tcPr>
          <w:p w14:paraId="03DF75E7" w14:textId="67E8965C"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-4 %</w:t>
            </w:r>
          </w:p>
        </w:tc>
      </w:tr>
      <w:tr w:rsidR="00B64E96" w:rsidRPr="00730B1E" w14:paraId="48BFBE0A" w14:textId="77777777" w:rsidTr="00C83F31">
        <w:trPr>
          <w:trHeight w:val="315"/>
        </w:trPr>
        <w:tc>
          <w:tcPr>
            <w:tcW w:w="2480" w:type="dxa"/>
            <w:tcBorders>
              <w:top w:val="nil"/>
              <w:left w:val="nil"/>
              <w:bottom w:val="single" w:sz="4" w:space="0" w:color="auto"/>
              <w:right w:val="nil"/>
            </w:tcBorders>
            <w:shd w:val="clear" w:color="auto" w:fill="auto"/>
            <w:noWrap/>
            <w:vAlign w:val="bottom"/>
            <w:hideMark/>
          </w:tcPr>
          <w:p w14:paraId="4F5FE749"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KS Brno</w:t>
            </w:r>
          </w:p>
        </w:tc>
        <w:tc>
          <w:tcPr>
            <w:tcW w:w="685" w:type="dxa"/>
            <w:tcBorders>
              <w:top w:val="nil"/>
              <w:left w:val="nil"/>
              <w:bottom w:val="single" w:sz="4" w:space="0" w:color="auto"/>
              <w:right w:val="nil"/>
            </w:tcBorders>
            <w:shd w:val="clear" w:color="auto" w:fill="auto"/>
            <w:noWrap/>
            <w:vAlign w:val="bottom"/>
            <w:hideMark/>
          </w:tcPr>
          <w:p w14:paraId="2D38C4B8"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516</w:t>
            </w:r>
          </w:p>
        </w:tc>
        <w:tc>
          <w:tcPr>
            <w:tcW w:w="922" w:type="dxa"/>
            <w:tcBorders>
              <w:top w:val="nil"/>
              <w:left w:val="nil"/>
              <w:bottom w:val="single" w:sz="4" w:space="0" w:color="auto"/>
              <w:right w:val="nil"/>
            </w:tcBorders>
            <w:shd w:val="clear" w:color="auto" w:fill="auto"/>
            <w:noWrap/>
            <w:vAlign w:val="center"/>
            <w:hideMark/>
          </w:tcPr>
          <w:p w14:paraId="75DFA194" w14:textId="60DD271B"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+1 %</w:t>
            </w:r>
          </w:p>
        </w:tc>
        <w:tc>
          <w:tcPr>
            <w:tcW w:w="685" w:type="dxa"/>
            <w:tcBorders>
              <w:top w:val="nil"/>
              <w:left w:val="single" w:sz="4" w:space="0" w:color="auto"/>
              <w:bottom w:val="single" w:sz="4" w:space="0" w:color="auto"/>
              <w:right w:val="nil"/>
            </w:tcBorders>
            <w:shd w:val="clear" w:color="auto" w:fill="auto"/>
            <w:noWrap/>
            <w:vAlign w:val="bottom"/>
            <w:hideMark/>
          </w:tcPr>
          <w:p w14:paraId="1F46A9B2"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434</w:t>
            </w:r>
          </w:p>
        </w:tc>
        <w:tc>
          <w:tcPr>
            <w:tcW w:w="933" w:type="dxa"/>
            <w:tcBorders>
              <w:top w:val="nil"/>
              <w:left w:val="nil"/>
              <w:bottom w:val="single" w:sz="4" w:space="0" w:color="auto"/>
              <w:right w:val="single" w:sz="4" w:space="0" w:color="auto"/>
            </w:tcBorders>
            <w:shd w:val="clear" w:color="auto" w:fill="auto"/>
            <w:noWrap/>
            <w:vAlign w:val="center"/>
            <w:hideMark/>
          </w:tcPr>
          <w:p w14:paraId="74E8E01C" w14:textId="1F320EED"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-12 %</w:t>
            </w:r>
          </w:p>
        </w:tc>
        <w:tc>
          <w:tcPr>
            <w:tcW w:w="894" w:type="dxa"/>
            <w:tcBorders>
              <w:top w:val="nil"/>
              <w:left w:val="nil"/>
              <w:bottom w:val="single" w:sz="4" w:space="0" w:color="auto"/>
              <w:right w:val="nil"/>
            </w:tcBorders>
            <w:shd w:val="clear" w:color="auto" w:fill="auto"/>
            <w:noWrap/>
            <w:vAlign w:val="bottom"/>
            <w:hideMark/>
          </w:tcPr>
          <w:p w14:paraId="24EA9932"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954</w:t>
            </w:r>
          </w:p>
        </w:tc>
        <w:tc>
          <w:tcPr>
            <w:tcW w:w="922" w:type="dxa"/>
            <w:tcBorders>
              <w:top w:val="nil"/>
              <w:left w:val="nil"/>
              <w:bottom w:val="single" w:sz="4" w:space="0" w:color="auto"/>
              <w:right w:val="nil"/>
            </w:tcBorders>
            <w:shd w:val="clear" w:color="auto" w:fill="auto"/>
            <w:noWrap/>
            <w:vAlign w:val="center"/>
            <w:hideMark/>
          </w:tcPr>
          <w:p w14:paraId="5703D2ED" w14:textId="5E7364F3"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+7 %</w:t>
            </w:r>
          </w:p>
        </w:tc>
      </w:tr>
      <w:tr w:rsidR="00B64E96" w:rsidRPr="00730B1E" w14:paraId="61932F2C" w14:textId="77777777" w:rsidTr="00C83F31">
        <w:trPr>
          <w:trHeight w:val="330"/>
        </w:trPr>
        <w:tc>
          <w:tcPr>
            <w:tcW w:w="2480" w:type="dxa"/>
            <w:tcBorders>
              <w:top w:val="nil"/>
              <w:left w:val="nil"/>
              <w:bottom w:val="double" w:sz="6" w:space="0" w:color="auto"/>
              <w:right w:val="nil"/>
            </w:tcBorders>
            <w:shd w:val="clear" w:color="auto" w:fill="auto"/>
            <w:noWrap/>
            <w:vAlign w:val="bottom"/>
            <w:hideMark/>
          </w:tcPr>
          <w:p w14:paraId="7EEA6DB4"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KS Ostrava</w:t>
            </w:r>
          </w:p>
        </w:tc>
        <w:tc>
          <w:tcPr>
            <w:tcW w:w="685" w:type="dxa"/>
            <w:tcBorders>
              <w:top w:val="nil"/>
              <w:left w:val="nil"/>
              <w:bottom w:val="double" w:sz="6" w:space="0" w:color="auto"/>
              <w:right w:val="nil"/>
            </w:tcBorders>
            <w:shd w:val="clear" w:color="auto" w:fill="auto"/>
            <w:noWrap/>
            <w:vAlign w:val="bottom"/>
            <w:hideMark/>
          </w:tcPr>
          <w:p w14:paraId="027F9E10"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297</w:t>
            </w:r>
          </w:p>
        </w:tc>
        <w:tc>
          <w:tcPr>
            <w:tcW w:w="922" w:type="dxa"/>
            <w:tcBorders>
              <w:top w:val="nil"/>
              <w:left w:val="nil"/>
              <w:bottom w:val="double" w:sz="6" w:space="0" w:color="auto"/>
              <w:right w:val="nil"/>
            </w:tcBorders>
            <w:shd w:val="clear" w:color="auto" w:fill="auto"/>
            <w:noWrap/>
            <w:vAlign w:val="center"/>
            <w:hideMark/>
          </w:tcPr>
          <w:p w14:paraId="74DF6F1A" w14:textId="0BF4A9BA"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+2 %</w:t>
            </w:r>
          </w:p>
        </w:tc>
        <w:tc>
          <w:tcPr>
            <w:tcW w:w="685" w:type="dxa"/>
            <w:tcBorders>
              <w:top w:val="nil"/>
              <w:left w:val="single" w:sz="4" w:space="0" w:color="auto"/>
              <w:bottom w:val="double" w:sz="6" w:space="0" w:color="auto"/>
              <w:right w:val="nil"/>
            </w:tcBorders>
            <w:shd w:val="clear" w:color="auto" w:fill="auto"/>
            <w:noWrap/>
            <w:vAlign w:val="bottom"/>
            <w:hideMark/>
          </w:tcPr>
          <w:p w14:paraId="3AB6277E"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233</w:t>
            </w:r>
          </w:p>
        </w:tc>
        <w:tc>
          <w:tcPr>
            <w:tcW w:w="933" w:type="dxa"/>
            <w:tcBorders>
              <w:top w:val="nil"/>
              <w:left w:val="nil"/>
              <w:bottom w:val="double" w:sz="6" w:space="0" w:color="auto"/>
              <w:right w:val="single" w:sz="4" w:space="0" w:color="auto"/>
            </w:tcBorders>
            <w:shd w:val="clear" w:color="auto" w:fill="auto"/>
            <w:noWrap/>
            <w:vAlign w:val="center"/>
            <w:hideMark/>
          </w:tcPr>
          <w:p w14:paraId="7915DEAB" w14:textId="44200A2E"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+9 %</w:t>
            </w:r>
          </w:p>
        </w:tc>
        <w:tc>
          <w:tcPr>
            <w:tcW w:w="894" w:type="dxa"/>
            <w:tcBorders>
              <w:top w:val="nil"/>
              <w:left w:val="nil"/>
              <w:bottom w:val="double" w:sz="6" w:space="0" w:color="auto"/>
              <w:right w:val="nil"/>
            </w:tcBorders>
            <w:shd w:val="clear" w:color="auto" w:fill="auto"/>
            <w:noWrap/>
            <w:vAlign w:val="bottom"/>
            <w:hideMark/>
          </w:tcPr>
          <w:p w14:paraId="570C346A" w14:textId="77777777" w:rsidR="00C83F31" w:rsidRPr="00730B1E" w:rsidRDefault="00C83F31" w:rsidP="00C83F31">
            <w:pPr>
              <w:spacing w:line="240" w:lineRule="auto"/>
              <w:jc w:val="center"/>
              <w:rPr>
                <w:rFonts w:eastAsia="Times New Roman"/>
                <w:szCs w:val="24"/>
                <w:lang w:eastAsia="cs-CZ"/>
              </w:rPr>
            </w:pPr>
            <w:r w:rsidRPr="00730B1E">
              <w:rPr>
                <w:rFonts w:eastAsia="Times New Roman"/>
                <w:szCs w:val="24"/>
                <w:lang w:eastAsia="cs-CZ"/>
              </w:rPr>
              <w:t>601</w:t>
            </w:r>
          </w:p>
        </w:tc>
        <w:tc>
          <w:tcPr>
            <w:tcW w:w="922" w:type="dxa"/>
            <w:tcBorders>
              <w:top w:val="nil"/>
              <w:left w:val="nil"/>
              <w:bottom w:val="double" w:sz="6" w:space="0" w:color="auto"/>
              <w:right w:val="nil"/>
            </w:tcBorders>
            <w:shd w:val="clear" w:color="auto" w:fill="auto"/>
            <w:noWrap/>
            <w:vAlign w:val="center"/>
            <w:hideMark/>
          </w:tcPr>
          <w:p w14:paraId="0A43AEBD" w14:textId="1C3356BD" w:rsidR="00C83F31" w:rsidRPr="00730B1E" w:rsidRDefault="00C83F31" w:rsidP="00C83F31">
            <w:pPr>
              <w:spacing w:line="240" w:lineRule="auto"/>
              <w:jc w:val="center"/>
              <w:rPr>
                <w:rFonts w:eastAsia="Times New Roman"/>
                <w:sz w:val="20"/>
                <w:szCs w:val="20"/>
                <w:lang w:eastAsia="cs-CZ"/>
              </w:rPr>
            </w:pPr>
            <w:r w:rsidRPr="00730B1E">
              <w:rPr>
                <w:rFonts w:eastAsia="Times New Roman"/>
                <w:sz w:val="20"/>
                <w:szCs w:val="20"/>
                <w:lang w:eastAsia="cs-CZ"/>
              </w:rPr>
              <w:t>+3 %</w:t>
            </w:r>
          </w:p>
        </w:tc>
      </w:tr>
      <w:tr w:rsidR="00B64E96" w:rsidRPr="00730B1E" w14:paraId="34C4D36A" w14:textId="77777777" w:rsidTr="00C83F31">
        <w:trPr>
          <w:trHeight w:val="345"/>
        </w:trPr>
        <w:tc>
          <w:tcPr>
            <w:tcW w:w="2480" w:type="dxa"/>
            <w:tcBorders>
              <w:top w:val="nil"/>
              <w:left w:val="nil"/>
              <w:bottom w:val="double" w:sz="6" w:space="0" w:color="auto"/>
              <w:right w:val="nil"/>
            </w:tcBorders>
            <w:shd w:val="clear" w:color="auto" w:fill="auto"/>
            <w:noWrap/>
            <w:vAlign w:val="bottom"/>
            <w:hideMark/>
          </w:tcPr>
          <w:p w14:paraId="668592C2" w14:textId="77777777" w:rsidR="00C83F31" w:rsidRPr="00730B1E" w:rsidRDefault="00C83F31" w:rsidP="00C83F31">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685" w:type="dxa"/>
            <w:tcBorders>
              <w:top w:val="nil"/>
              <w:left w:val="nil"/>
              <w:bottom w:val="double" w:sz="6" w:space="0" w:color="auto"/>
              <w:right w:val="nil"/>
            </w:tcBorders>
            <w:shd w:val="clear" w:color="auto" w:fill="auto"/>
            <w:noWrap/>
            <w:vAlign w:val="bottom"/>
            <w:hideMark/>
          </w:tcPr>
          <w:p w14:paraId="2D5C0C45" w14:textId="77777777" w:rsidR="00C83F31" w:rsidRPr="00730B1E" w:rsidRDefault="00C83F31" w:rsidP="00C83F31">
            <w:pPr>
              <w:spacing w:line="240" w:lineRule="auto"/>
              <w:jc w:val="center"/>
              <w:rPr>
                <w:rFonts w:eastAsia="Times New Roman"/>
                <w:b/>
                <w:bCs/>
                <w:szCs w:val="24"/>
                <w:lang w:eastAsia="cs-CZ"/>
              </w:rPr>
            </w:pPr>
            <w:r w:rsidRPr="00730B1E">
              <w:rPr>
                <w:rFonts w:eastAsia="Times New Roman"/>
                <w:b/>
                <w:bCs/>
                <w:szCs w:val="24"/>
                <w:lang w:eastAsia="cs-CZ"/>
              </w:rPr>
              <w:t>400</w:t>
            </w:r>
          </w:p>
        </w:tc>
        <w:tc>
          <w:tcPr>
            <w:tcW w:w="922" w:type="dxa"/>
            <w:tcBorders>
              <w:top w:val="nil"/>
              <w:left w:val="nil"/>
              <w:bottom w:val="double" w:sz="6" w:space="0" w:color="auto"/>
              <w:right w:val="nil"/>
            </w:tcBorders>
            <w:shd w:val="clear" w:color="auto" w:fill="auto"/>
            <w:noWrap/>
            <w:vAlign w:val="center"/>
            <w:hideMark/>
          </w:tcPr>
          <w:p w14:paraId="3F4F8D35" w14:textId="789343D5" w:rsidR="00C83F31" w:rsidRPr="00730B1E" w:rsidRDefault="00C83F31" w:rsidP="00C83F31">
            <w:pPr>
              <w:spacing w:line="240" w:lineRule="auto"/>
              <w:jc w:val="center"/>
              <w:rPr>
                <w:rFonts w:eastAsia="Times New Roman"/>
                <w:b/>
                <w:bCs/>
                <w:sz w:val="20"/>
                <w:szCs w:val="20"/>
                <w:lang w:eastAsia="cs-CZ"/>
              </w:rPr>
            </w:pPr>
            <w:r w:rsidRPr="00730B1E">
              <w:rPr>
                <w:rFonts w:eastAsia="Times New Roman"/>
                <w:b/>
                <w:bCs/>
                <w:sz w:val="20"/>
                <w:szCs w:val="20"/>
                <w:lang w:eastAsia="cs-CZ"/>
              </w:rPr>
              <w:t>-9 %</w:t>
            </w:r>
          </w:p>
        </w:tc>
        <w:tc>
          <w:tcPr>
            <w:tcW w:w="685" w:type="dxa"/>
            <w:tcBorders>
              <w:top w:val="nil"/>
              <w:left w:val="single" w:sz="4" w:space="0" w:color="auto"/>
              <w:bottom w:val="double" w:sz="6" w:space="0" w:color="auto"/>
              <w:right w:val="nil"/>
            </w:tcBorders>
            <w:shd w:val="clear" w:color="auto" w:fill="auto"/>
            <w:noWrap/>
            <w:vAlign w:val="bottom"/>
            <w:hideMark/>
          </w:tcPr>
          <w:p w14:paraId="69E8F16F" w14:textId="77777777" w:rsidR="00C83F31" w:rsidRPr="00730B1E" w:rsidRDefault="00C83F31" w:rsidP="00C83F31">
            <w:pPr>
              <w:spacing w:line="240" w:lineRule="auto"/>
              <w:jc w:val="center"/>
              <w:rPr>
                <w:rFonts w:eastAsia="Times New Roman"/>
                <w:b/>
                <w:bCs/>
                <w:szCs w:val="24"/>
                <w:lang w:eastAsia="cs-CZ"/>
              </w:rPr>
            </w:pPr>
            <w:r w:rsidRPr="00730B1E">
              <w:rPr>
                <w:rFonts w:eastAsia="Times New Roman"/>
                <w:b/>
                <w:bCs/>
                <w:szCs w:val="24"/>
                <w:lang w:eastAsia="cs-CZ"/>
              </w:rPr>
              <w:t>284</w:t>
            </w:r>
          </w:p>
        </w:tc>
        <w:tc>
          <w:tcPr>
            <w:tcW w:w="933" w:type="dxa"/>
            <w:tcBorders>
              <w:top w:val="nil"/>
              <w:left w:val="nil"/>
              <w:bottom w:val="double" w:sz="6" w:space="0" w:color="auto"/>
              <w:right w:val="single" w:sz="4" w:space="0" w:color="auto"/>
            </w:tcBorders>
            <w:shd w:val="clear" w:color="auto" w:fill="auto"/>
            <w:noWrap/>
            <w:vAlign w:val="center"/>
            <w:hideMark/>
          </w:tcPr>
          <w:p w14:paraId="28831E98" w14:textId="449E44E7" w:rsidR="00C83F31" w:rsidRPr="00730B1E" w:rsidRDefault="00C83F31" w:rsidP="00C83F31">
            <w:pPr>
              <w:spacing w:line="240" w:lineRule="auto"/>
              <w:jc w:val="center"/>
              <w:rPr>
                <w:rFonts w:eastAsia="Times New Roman"/>
                <w:b/>
                <w:bCs/>
                <w:sz w:val="20"/>
                <w:szCs w:val="20"/>
                <w:lang w:eastAsia="cs-CZ"/>
              </w:rPr>
            </w:pPr>
            <w:r w:rsidRPr="00730B1E">
              <w:rPr>
                <w:rFonts w:eastAsia="Times New Roman"/>
                <w:b/>
                <w:bCs/>
                <w:sz w:val="20"/>
                <w:szCs w:val="20"/>
                <w:lang w:eastAsia="cs-CZ"/>
              </w:rPr>
              <w:t>-20 %</w:t>
            </w:r>
          </w:p>
        </w:tc>
        <w:tc>
          <w:tcPr>
            <w:tcW w:w="894" w:type="dxa"/>
            <w:tcBorders>
              <w:top w:val="nil"/>
              <w:left w:val="nil"/>
              <w:bottom w:val="double" w:sz="6" w:space="0" w:color="auto"/>
              <w:right w:val="nil"/>
            </w:tcBorders>
            <w:shd w:val="clear" w:color="auto" w:fill="auto"/>
            <w:noWrap/>
            <w:vAlign w:val="bottom"/>
            <w:hideMark/>
          </w:tcPr>
          <w:p w14:paraId="49397CF1" w14:textId="77777777" w:rsidR="00C83F31" w:rsidRPr="00730B1E" w:rsidRDefault="00C83F31" w:rsidP="00C83F31">
            <w:pPr>
              <w:spacing w:line="240" w:lineRule="auto"/>
              <w:jc w:val="center"/>
              <w:rPr>
                <w:rFonts w:eastAsia="Times New Roman"/>
                <w:b/>
                <w:bCs/>
                <w:szCs w:val="24"/>
                <w:lang w:eastAsia="cs-CZ"/>
              </w:rPr>
            </w:pPr>
            <w:r w:rsidRPr="00730B1E">
              <w:rPr>
                <w:rFonts w:eastAsia="Times New Roman"/>
                <w:b/>
                <w:bCs/>
                <w:szCs w:val="24"/>
                <w:lang w:eastAsia="cs-CZ"/>
              </w:rPr>
              <w:t>863</w:t>
            </w:r>
          </w:p>
        </w:tc>
        <w:tc>
          <w:tcPr>
            <w:tcW w:w="922" w:type="dxa"/>
            <w:tcBorders>
              <w:top w:val="nil"/>
              <w:left w:val="nil"/>
              <w:bottom w:val="double" w:sz="6" w:space="0" w:color="auto"/>
              <w:right w:val="nil"/>
            </w:tcBorders>
            <w:shd w:val="clear" w:color="auto" w:fill="auto"/>
            <w:noWrap/>
            <w:vAlign w:val="center"/>
            <w:hideMark/>
          </w:tcPr>
          <w:p w14:paraId="3D7B0D95" w14:textId="06C63BF2" w:rsidR="00C83F31" w:rsidRPr="00730B1E" w:rsidRDefault="00C83F31" w:rsidP="00C83F31">
            <w:pPr>
              <w:spacing w:line="240" w:lineRule="auto"/>
              <w:jc w:val="center"/>
              <w:rPr>
                <w:rFonts w:eastAsia="Times New Roman"/>
                <w:b/>
                <w:bCs/>
                <w:sz w:val="20"/>
                <w:szCs w:val="20"/>
                <w:lang w:eastAsia="cs-CZ"/>
              </w:rPr>
            </w:pPr>
            <w:r w:rsidRPr="00730B1E">
              <w:rPr>
                <w:rFonts w:eastAsia="Times New Roman"/>
                <w:b/>
                <w:bCs/>
                <w:sz w:val="20"/>
                <w:szCs w:val="20"/>
                <w:lang w:eastAsia="cs-CZ"/>
              </w:rPr>
              <w:t>-6 %</w:t>
            </w:r>
          </w:p>
        </w:tc>
      </w:tr>
      <w:tr w:rsidR="00B64E96" w:rsidRPr="00730B1E" w14:paraId="3E42FD3C" w14:textId="77777777" w:rsidTr="00C83F31">
        <w:trPr>
          <w:trHeight w:val="330"/>
        </w:trPr>
        <w:tc>
          <w:tcPr>
            <w:tcW w:w="2480" w:type="dxa"/>
            <w:tcBorders>
              <w:top w:val="nil"/>
              <w:left w:val="nil"/>
              <w:bottom w:val="nil"/>
              <w:right w:val="nil"/>
            </w:tcBorders>
            <w:shd w:val="clear" w:color="auto" w:fill="auto"/>
            <w:noWrap/>
            <w:vAlign w:val="bottom"/>
            <w:hideMark/>
          </w:tcPr>
          <w:p w14:paraId="7DEF4B84" w14:textId="77777777" w:rsidR="00C83F31" w:rsidRPr="00730B1E" w:rsidRDefault="00C83F31" w:rsidP="00C83F31">
            <w:pPr>
              <w:spacing w:line="240" w:lineRule="auto"/>
              <w:jc w:val="right"/>
              <w:rPr>
                <w:rFonts w:eastAsia="Times New Roman"/>
                <w:b/>
                <w:bCs/>
                <w:sz w:val="20"/>
                <w:szCs w:val="20"/>
                <w:lang w:eastAsia="cs-CZ"/>
              </w:rPr>
            </w:pPr>
          </w:p>
        </w:tc>
        <w:tc>
          <w:tcPr>
            <w:tcW w:w="685" w:type="dxa"/>
            <w:tcBorders>
              <w:top w:val="nil"/>
              <w:left w:val="nil"/>
              <w:bottom w:val="nil"/>
              <w:right w:val="nil"/>
            </w:tcBorders>
            <w:shd w:val="clear" w:color="auto" w:fill="auto"/>
            <w:noWrap/>
            <w:vAlign w:val="bottom"/>
            <w:hideMark/>
          </w:tcPr>
          <w:p w14:paraId="60310821" w14:textId="77777777" w:rsidR="00C83F31" w:rsidRPr="00DF07F3" w:rsidRDefault="00C83F31" w:rsidP="00C83F31">
            <w:pPr>
              <w:spacing w:line="240" w:lineRule="auto"/>
              <w:jc w:val="left"/>
              <w:rPr>
                <w:sz w:val="20"/>
              </w:rPr>
            </w:pPr>
          </w:p>
        </w:tc>
        <w:tc>
          <w:tcPr>
            <w:tcW w:w="922" w:type="dxa"/>
            <w:tcBorders>
              <w:top w:val="nil"/>
              <w:left w:val="nil"/>
              <w:bottom w:val="nil"/>
              <w:right w:val="nil"/>
            </w:tcBorders>
            <w:shd w:val="clear" w:color="auto" w:fill="auto"/>
            <w:noWrap/>
            <w:vAlign w:val="bottom"/>
            <w:hideMark/>
          </w:tcPr>
          <w:p w14:paraId="5411B985" w14:textId="77777777" w:rsidR="00C83F31" w:rsidRPr="00DF07F3" w:rsidRDefault="00C83F31" w:rsidP="00C83F31">
            <w:pPr>
              <w:spacing w:line="240" w:lineRule="auto"/>
              <w:jc w:val="left"/>
              <w:rPr>
                <w:sz w:val="20"/>
              </w:rPr>
            </w:pPr>
          </w:p>
        </w:tc>
        <w:tc>
          <w:tcPr>
            <w:tcW w:w="685" w:type="dxa"/>
            <w:tcBorders>
              <w:top w:val="nil"/>
              <w:left w:val="nil"/>
              <w:bottom w:val="nil"/>
              <w:right w:val="nil"/>
            </w:tcBorders>
            <w:shd w:val="clear" w:color="auto" w:fill="auto"/>
            <w:noWrap/>
            <w:vAlign w:val="bottom"/>
            <w:hideMark/>
          </w:tcPr>
          <w:p w14:paraId="470713DC" w14:textId="77777777" w:rsidR="00C83F31" w:rsidRPr="00DF07F3" w:rsidRDefault="00C83F31" w:rsidP="00C83F31">
            <w:pPr>
              <w:spacing w:line="240" w:lineRule="auto"/>
              <w:jc w:val="left"/>
              <w:rPr>
                <w:sz w:val="20"/>
              </w:rPr>
            </w:pPr>
          </w:p>
        </w:tc>
        <w:tc>
          <w:tcPr>
            <w:tcW w:w="933" w:type="dxa"/>
            <w:tcBorders>
              <w:top w:val="nil"/>
              <w:left w:val="nil"/>
              <w:bottom w:val="nil"/>
              <w:right w:val="nil"/>
            </w:tcBorders>
            <w:shd w:val="clear" w:color="auto" w:fill="auto"/>
            <w:noWrap/>
            <w:vAlign w:val="bottom"/>
            <w:hideMark/>
          </w:tcPr>
          <w:p w14:paraId="7591B204" w14:textId="77777777" w:rsidR="00C83F31" w:rsidRPr="00DF07F3" w:rsidRDefault="00C83F31" w:rsidP="00C83F31">
            <w:pPr>
              <w:spacing w:line="240" w:lineRule="auto"/>
              <w:jc w:val="left"/>
              <w:rPr>
                <w:sz w:val="20"/>
              </w:rPr>
            </w:pPr>
          </w:p>
        </w:tc>
        <w:tc>
          <w:tcPr>
            <w:tcW w:w="894" w:type="dxa"/>
            <w:tcBorders>
              <w:top w:val="nil"/>
              <w:left w:val="nil"/>
              <w:bottom w:val="nil"/>
              <w:right w:val="nil"/>
            </w:tcBorders>
            <w:shd w:val="clear" w:color="auto" w:fill="auto"/>
            <w:noWrap/>
            <w:vAlign w:val="bottom"/>
            <w:hideMark/>
          </w:tcPr>
          <w:p w14:paraId="71672E26" w14:textId="77777777" w:rsidR="00C83F31" w:rsidRPr="00DF07F3" w:rsidRDefault="00C83F31" w:rsidP="00C83F31">
            <w:pPr>
              <w:spacing w:line="240" w:lineRule="auto"/>
              <w:jc w:val="left"/>
              <w:rPr>
                <w:sz w:val="20"/>
              </w:rPr>
            </w:pPr>
          </w:p>
        </w:tc>
        <w:tc>
          <w:tcPr>
            <w:tcW w:w="922" w:type="dxa"/>
            <w:tcBorders>
              <w:top w:val="nil"/>
              <w:left w:val="nil"/>
              <w:bottom w:val="nil"/>
              <w:right w:val="nil"/>
            </w:tcBorders>
            <w:shd w:val="clear" w:color="auto" w:fill="auto"/>
            <w:noWrap/>
            <w:vAlign w:val="bottom"/>
            <w:hideMark/>
          </w:tcPr>
          <w:p w14:paraId="1E625AD2" w14:textId="77777777" w:rsidR="00C83F31" w:rsidRPr="00730B1E" w:rsidRDefault="00C83F31" w:rsidP="00C83F31">
            <w:pPr>
              <w:spacing w:line="240" w:lineRule="auto"/>
              <w:jc w:val="left"/>
              <w:rPr>
                <w:rFonts w:eastAsia="Times New Roman"/>
                <w:szCs w:val="24"/>
                <w:lang w:eastAsia="cs-CZ"/>
              </w:rPr>
            </w:pPr>
            <w:r w:rsidRPr="00730B1E">
              <w:rPr>
                <w:rFonts w:eastAsia="Times New Roman"/>
                <w:szCs w:val="24"/>
                <w:lang w:eastAsia="cs-CZ"/>
              </w:rPr>
              <w:t xml:space="preserve"> </w:t>
            </w:r>
          </w:p>
        </w:tc>
      </w:tr>
    </w:tbl>
    <w:p w14:paraId="70E27A93" w14:textId="58286A27" w:rsidR="00C83F31" w:rsidRPr="00730B1E" w:rsidRDefault="00B17F04" w:rsidP="00C83F31">
      <w:pPr>
        <w:pStyle w:val="OdstavecASR"/>
      </w:pPr>
      <w:r w:rsidRPr="00730B1E">
        <w:t xml:space="preserve">Nejvyšší </w:t>
      </w:r>
      <w:r w:rsidR="00C83F31" w:rsidRPr="00730B1E">
        <w:t xml:space="preserve">délky řízení vykazují KS Brno, MS Praha a KS Ústí nad Labem. Všechny 3 soudy ovšem zaznamenaly </w:t>
      </w:r>
      <w:r w:rsidR="00F15DD7" w:rsidRPr="00730B1E">
        <w:t xml:space="preserve">v </w:t>
      </w:r>
      <w:r w:rsidR="00C83F31" w:rsidRPr="00730B1E">
        <w:t xml:space="preserve">roce 2022 velmi </w:t>
      </w:r>
      <w:r w:rsidRPr="00730B1E">
        <w:t xml:space="preserve">výrazné </w:t>
      </w:r>
      <w:r w:rsidR="00C83F31" w:rsidRPr="00730B1E">
        <w:t>zlepšení</w:t>
      </w:r>
      <w:r w:rsidRPr="00730B1E">
        <w:t>, v</w:t>
      </w:r>
      <w:r w:rsidR="00C83F31" w:rsidRPr="00730B1E">
        <w:t xml:space="preserve"> roce 2023 se pak </w:t>
      </w:r>
      <w:r w:rsidRPr="00730B1E">
        <w:t xml:space="preserve">dále </w:t>
      </w:r>
      <w:r w:rsidR="00C83F31" w:rsidRPr="00730B1E">
        <w:t xml:space="preserve">zlepšily MS Praha a KS Ústí nad Labem. </w:t>
      </w:r>
      <w:r w:rsidRPr="00730B1E">
        <w:t>Situace se zlepšila i u dalších soudů – m</w:t>
      </w:r>
      <w:r w:rsidR="00C83F31" w:rsidRPr="00730B1E">
        <w:t xml:space="preserve">edián klesl všude kromě KS v Ostravě. </w:t>
      </w:r>
      <w:r w:rsidRPr="00730B1E">
        <w:t>I </w:t>
      </w:r>
      <w:r w:rsidR="00C83F31" w:rsidRPr="00730B1E">
        <w:t xml:space="preserve">přes zlepšení můžeme konstatovat, že </w:t>
      </w:r>
      <w:r w:rsidRPr="00730B1E">
        <w:t xml:space="preserve">délka řízení doposud není u všech soudů uspokojivá; podle všeho se ale </w:t>
      </w:r>
      <w:r w:rsidR="00C83F31" w:rsidRPr="00730B1E">
        <w:t xml:space="preserve">podařilo nastolit správný </w:t>
      </w:r>
      <w:r w:rsidRPr="00730B1E">
        <w:t xml:space="preserve">klesající </w:t>
      </w:r>
      <w:r w:rsidR="00C83F31" w:rsidRPr="00730B1E">
        <w:t>trend.</w:t>
      </w:r>
    </w:p>
    <w:p w14:paraId="65D175E9" w14:textId="4F1609A2" w:rsidR="00C83F31" w:rsidRPr="00730B1E" w:rsidRDefault="00C83F31" w:rsidP="00C83F31">
      <w:pPr>
        <w:pStyle w:val="Podnadpis"/>
        <w:rPr>
          <w:color w:val="auto"/>
        </w:rPr>
      </w:pPr>
      <w:bookmarkStart w:id="1117" w:name="_Toc75952250"/>
      <w:bookmarkStart w:id="1118" w:name="_Toc106106709"/>
      <w:bookmarkStart w:id="1119" w:name="_Toc109802033"/>
      <w:bookmarkStart w:id="1120" w:name="_Toc144104183"/>
      <w:bookmarkStart w:id="1121" w:name="_Toc169250996"/>
      <w:bookmarkStart w:id="1122" w:name="_Toc17408068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77</w:t>
      </w:r>
      <w:r w:rsidRPr="00730B1E">
        <w:rPr>
          <w:color w:val="auto"/>
        </w:rPr>
        <w:fldChar w:fldCharType="end"/>
      </w:r>
      <w:r w:rsidRPr="00730B1E">
        <w:rPr>
          <w:color w:val="auto"/>
        </w:rPr>
        <w:t xml:space="preserve">: KS – distribuce délek </w:t>
      </w:r>
      <w:r w:rsidR="006E1A25" w:rsidRPr="00730B1E">
        <w:rPr>
          <w:color w:val="auto"/>
        </w:rPr>
        <w:t>o řízení ve správních věcech</w:t>
      </w:r>
      <w:bookmarkEnd w:id="1117"/>
      <w:bookmarkEnd w:id="1118"/>
      <w:bookmarkEnd w:id="1119"/>
      <w:bookmarkEnd w:id="1120"/>
      <w:r w:rsidR="006E1A25" w:rsidRPr="00730B1E">
        <w:rPr>
          <w:color w:val="auto"/>
        </w:rPr>
        <w:t>, 2022 a 2023</w:t>
      </w:r>
      <w:bookmarkEnd w:id="1121"/>
      <w:bookmarkEnd w:id="1122"/>
    </w:p>
    <w:p w14:paraId="4C4352A1" w14:textId="398ABF5F" w:rsidR="00F0387D" w:rsidRPr="00730B1E" w:rsidRDefault="009C5C19" w:rsidP="00F0387D">
      <w:r w:rsidRPr="00730B1E">
        <w:rPr>
          <w:noProof/>
          <w:lang w:eastAsia="cs-CZ"/>
        </w:rPr>
        <w:drawing>
          <wp:inline distT="0" distB="0" distL="0" distR="0" wp14:anchorId="6E2A69B2" wp14:editId="6F01F7C2">
            <wp:extent cx="5029200" cy="3657600"/>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3AD2B76" w14:textId="77777777" w:rsidR="009C5C19" w:rsidRPr="00730B1E" w:rsidRDefault="009C5C19" w:rsidP="00F0387D"/>
    <w:p w14:paraId="7C246F70" w14:textId="774DF42D" w:rsidR="009C5C19" w:rsidRPr="00730B1E" w:rsidRDefault="009C5C19" w:rsidP="009C5C19">
      <w:pPr>
        <w:pStyle w:val="OdstavecASR"/>
      </w:pPr>
      <w:bookmarkStart w:id="1123" w:name="_Hlk68866436"/>
      <w:r w:rsidRPr="00730B1E">
        <w:t>Stejně jako u ostatních agend jsou na závěr délky řízení zobrazeny v histogramu. Šířka intervalu je 50 dnů. V porovnání s ostatními agendami je ve správní agendě vysoký medián a rovněž distribuce délek řízení je jiná, mnohem „plošší“. Četnost délek řízení tedy klesá s rostoucí délkou řízení mnohem pomaleji.</w:t>
      </w:r>
    </w:p>
    <w:bookmarkEnd w:id="1123"/>
    <w:p w14:paraId="5A0ECB80" w14:textId="525B6CB3" w:rsidR="009C5C19" w:rsidRPr="00730B1E" w:rsidRDefault="009C5C19" w:rsidP="002011CD">
      <w:pPr>
        <w:pStyle w:val="OdstavecASR"/>
      </w:pPr>
      <w:r w:rsidRPr="00730B1E">
        <w:lastRenderedPageBreak/>
        <w:t>U této agendy v grafu zobrazujeme histogramy za roky 2022 a 2023, abychom tak demonstrovali posun v délkách řízení. Ten je z grafu zcela patrný</w:t>
      </w:r>
      <w:r w:rsidR="002011CD" w:rsidRPr="00730B1E">
        <w:t>.</w:t>
      </w:r>
    </w:p>
    <w:p w14:paraId="0065AE79" w14:textId="4516C183" w:rsidR="008430BD" w:rsidRPr="00730B1E" w:rsidRDefault="008430BD" w:rsidP="008430BD">
      <w:pPr>
        <w:pStyle w:val="Nadpis3"/>
        <w:numPr>
          <w:ilvl w:val="2"/>
          <w:numId w:val="1"/>
        </w:numPr>
        <w:rPr>
          <w:color w:val="auto"/>
        </w:rPr>
      </w:pPr>
      <w:bookmarkStart w:id="1124" w:name="_Toc515871268"/>
      <w:bookmarkStart w:id="1125" w:name="_Toc106092776"/>
      <w:bookmarkStart w:id="1126" w:name="_Toc169250852"/>
      <w:bookmarkStart w:id="1127" w:name="_Toc174080888"/>
      <w:r w:rsidRPr="00730B1E">
        <w:rPr>
          <w:color w:val="auto"/>
        </w:rPr>
        <w:t>Vyřizování věcí</w:t>
      </w:r>
      <w:bookmarkEnd w:id="1124"/>
      <w:bookmarkEnd w:id="1125"/>
      <w:bookmarkEnd w:id="1126"/>
      <w:bookmarkEnd w:id="1127"/>
    </w:p>
    <w:p w14:paraId="052DD885" w14:textId="2C69E9ED" w:rsidR="009C5C19" w:rsidRPr="00730B1E" w:rsidRDefault="002E24F2" w:rsidP="009C5C19">
      <w:pPr>
        <w:pStyle w:val="OdstavecASR"/>
      </w:pPr>
      <w:r w:rsidRPr="00730B1E">
        <w:t>Ve správní agendě</w:t>
      </w:r>
      <w:r w:rsidR="009C5C19" w:rsidRPr="00730B1E">
        <w:t xml:space="preserve"> se v průběhu let poměrně rychle mění</w:t>
      </w:r>
      <w:r w:rsidRPr="00730B1E">
        <w:t xml:space="preserve"> nápad</w:t>
      </w:r>
      <w:r w:rsidR="009C5C19" w:rsidRPr="00730B1E">
        <w:t>. To může plynout z legislativních změn, ze změn v jednotlivých agendách (např. v azylové agendě) nebo jednorázových šoků. Počet vyřízených věcí samozřejmě s určitým zpožděním kopíruje počet věcí napadlých. V letech 2014</w:t>
      </w:r>
      <w:r w:rsidR="00B17F04" w:rsidRPr="00730B1E">
        <w:noBreakHyphen/>
      </w:r>
      <w:r w:rsidR="009C5C19" w:rsidRPr="00730B1E">
        <w:t>201</w:t>
      </w:r>
      <w:r w:rsidR="00B17F04" w:rsidRPr="00730B1E">
        <w:t>8</w:t>
      </w:r>
      <w:r w:rsidR="009C5C19" w:rsidRPr="00730B1E">
        <w:t xml:space="preserve"> vidíme dva znepokojivé jevy. Počet příchozích věcí poměrně rychle stoupal a zároveň převyšoval počet věcí vyřízených, což vedlo k trvalému růstu v počtu nevyřízených věcí. Teprve v roce 2019 došlo k značnému poklesu v počtu příchozích věcí, který se </w:t>
      </w:r>
      <w:r w:rsidR="00B17F04" w:rsidRPr="00730B1E">
        <w:t xml:space="preserve">projevil </w:t>
      </w:r>
      <w:r w:rsidR="009C5C19" w:rsidRPr="00730B1E">
        <w:t>také pokles</w:t>
      </w:r>
      <w:r w:rsidR="00B17F04" w:rsidRPr="00730B1E">
        <w:t>em</w:t>
      </w:r>
      <w:r w:rsidR="009C5C19" w:rsidRPr="00730B1E">
        <w:t xml:space="preserve"> počtu nevyřízených věcí a značn</w:t>
      </w:r>
      <w:r w:rsidR="00B17F04" w:rsidRPr="00730B1E">
        <w:t>ým</w:t>
      </w:r>
      <w:r w:rsidR="009C5C19" w:rsidRPr="00730B1E">
        <w:t xml:space="preserve"> pokles</w:t>
      </w:r>
      <w:r w:rsidR="00B17F04" w:rsidRPr="00730B1E">
        <w:t>em</w:t>
      </w:r>
      <w:r w:rsidR="009C5C19" w:rsidRPr="00730B1E">
        <w:t xml:space="preserve"> disposition time. Počet vyřízených věcí se ale podařilo soudům </w:t>
      </w:r>
      <w:r w:rsidR="00B17F04" w:rsidRPr="00730B1E">
        <w:t xml:space="preserve">navýšit a v letech 2020 a 2021 </w:t>
      </w:r>
      <w:r w:rsidR="009C5C19" w:rsidRPr="00730B1E">
        <w:t xml:space="preserve">udržet </w:t>
      </w:r>
      <w:r w:rsidR="00B17F04" w:rsidRPr="00730B1E">
        <w:t>víceméně</w:t>
      </w:r>
      <w:r w:rsidR="009C5C19" w:rsidRPr="00730B1E">
        <w:t xml:space="preserve"> na úrovni roku 2019 (zřejmě díky velkému množství nedodělků), což vedlo k výraznému poklesu v počtu nevyřízených věcí. Oproti roku 2018 tak poklesl počet příchozích věcí o 16 % a počet nevyřízených věcí dokonce o 32 %.</w:t>
      </w:r>
    </w:p>
    <w:p w14:paraId="4AD80BDB" w14:textId="225233DE" w:rsidR="009C5C19" w:rsidRPr="00730B1E" w:rsidRDefault="009C5C19" w:rsidP="009C5C19">
      <w:pPr>
        <w:pStyle w:val="OdstavecASR"/>
      </w:pPr>
      <w:r w:rsidRPr="00730B1E">
        <w:t xml:space="preserve">V roce 2022 došlo k dalšímu velmi prudkému poklesu příchozích, vyřízených i nevyřízených věcí. Pokles v počtu nevyřízených věcí nejen že nezpomalil, dokonce ještě akceleroval. Počet nevyřízených věcí </w:t>
      </w:r>
      <w:r w:rsidR="00B17F04" w:rsidRPr="00730B1E">
        <w:t xml:space="preserve">tak </w:t>
      </w:r>
      <w:r w:rsidRPr="00730B1E">
        <w:t>klesl od roku 2018 téměř na polovinu</w:t>
      </w:r>
      <w:r w:rsidR="002E24F2" w:rsidRPr="00730B1E">
        <w:t>. V roce 2023 se po 4 letech zvýšil počet příchozích věcí. Počet vyřízených věcí ho ale stále převyšoval</w:t>
      </w:r>
      <w:r w:rsidR="00D51A60" w:rsidRPr="00730B1E">
        <w:t>,</w:t>
      </w:r>
      <w:r w:rsidR="002E24F2" w:rsidRPr="00730B1E">
        <w:t xml:space="preserve"> a tak klesl počet nevyřízených věcí na nejmenší hodnotu za sledované období.</w:t>
      </w:r>
    </w:p>
    <w:p w14:paraId="5D4BAA79" w14:textId="77777777" w:rsidR="009C5C19" w:rsidRPr="00730B1E" w:rsidRDefault="009C5C19" w:rsidP="009C5C19">
      <w:pPr>
        <w:pStyle w:val="OdstavecASR"/>
      </w:pPr>
      <w:r w:rsidRPr="00730B1E">
        <w:t>To ukazuje, že situace ve správním soudnictví se z hlediska vyřizování věcí stále velmi rychle zlepšuje, a to z velké části díky klesajícímu nápadu. Pomohlo nicméně i posílení správních úseků některých soudů.</w:t>
      </w:r>
    </w:p>
    <w:p w14:paraId="7264A971" w14:textId="3C42D869" w:rsidR="009C5C19" w:rsidRPr="00730B1E" w:rsidRDefault="009C5C19" w:rsidP="009C5C19">
      <w:pPr>
        <w:pStyle w:val="Podnadpis"/>
        <w:numPr>
          <w:ilvl w:val="0"/>
          <w:numId w:val="0"/>
        </w:numPr>
        <w:rPr>
          <w:color w:val="auto"/>
        </w:rPr>
      </w:pPr>
      <w:bookmarkStart w:id="1128" w:name="_Toc11135130"/>
      <w:bookmarkStart w:id="1129" w:name="_Toc43841449"/>
      <w:bookmarkStart w:id="1130" w:name="_Toc75952251"/>
      <w:bookmarkStart w:id="1131" w:name="_Toc106106710"/>
      <w:bookmarkStart w:id="1132" w:name="_Toc109802034"/>
      <w:bookmarkStart w:id="1133" w:name="_Toc144104184"/>
      <w:bookmarkStart w:id="1134" w:name="_Toc169250997"/>
      <w:bookmarkStart w:id="1135" w:name="_Toc174080683"/>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78</w:t>
      </w:r>
      <w:r w:rsidRPr="00730B1E">
        <w:rPr>
          <w:color w:val="auto"/>
        </w:rPr>
        <w:fldChar w:fldCharType="end"/>
      </w:r>
      <w:r w:rsidRPr="00730B1E">
        <w:rPr>
          <w:color w:val="auto"/>
        </w:rPr>
        <w:t>: KS – vyřizování správních věcí v letech 201</w:t>
      </w:r>
      <w:r w:rsidR="006E1A25" w:rsidRPr="00730B1E">
        <w:rPr>
          <w:color w:val="auto"/>
        </w:rPr>
        <w:t>4</w:t>
      </w:r>
      <w:r w:rsidRPr="00730B1E">
        <w:rPr>
          <w:color w:val="auto"/>
        </w:rPr>
        <w:t>–20</w:t>
      </w:r>
      <w:bookmarkEnd w:id="1128"/>
      <w:bookmarkEnd w:id="1129"/>
      <w:bookmarkEnd w:id="1130"/>
      <w:bookmarkEnd w:id="1131"/>
      <w:bookmarkEnd w:id="1132"/>
      <w:bookmarkEnd w:id="1133"/>
      <w:r w:rsidRPr="00730B1E">
        <w:rPr>
          <w:color w:val="auto"/>
        </w:rPr>
        <w:t>23</w:t>
      </w:r>
      <w:bookmarkEnd w:id="1134"/>
      <w:bookmarkEnd w:id="1135"/>
    </w:p>
    <w:p w14:paraId="2C72F824" w14:textId="1BD0C6AD" w:rsidR="009C5C19" w:rsidRPr="00730B1E" w:rsidRDefault="009C5C19" w:rsidP="009C5C19">
      <w:pPr>
        <w:pStyle w:val="OdstavecASR"/>
      </w:pPr>
      <w:r w:rsidRPr="00730B1E">
        <w:rPr>
          <w:noProof/>
          <w:lang w:eastAsia="cs-CZ"/>
        </w:rPr>
        <w:drawing>
          <wp:inline distT="0" distB="0" distL="0" distR="0" wp14:anchorId="7AE6CC7A" wp14:editId="4047C156">
            <wp:extent cx="5029200" cy="3657600"/>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3E6A168" w14:textId="77777777" w:rsidR="002E24F2" w:rsidRPr="00730B1E" w:rsidRDefault="002E24F2" w:rsidP="009C5C19">
      <w:pPr>
        <w:pStyle w:val="OdstavecASR"/>
      </w:pPr>
    </w:p>
    <w:p w14:paraId="6DAFB45C" w14:textId="09386F80" w:rsidR="002E24F2" w:rsidRPr="00730B1E" w:rsidRDefault="002E24F2" w:rsidP="002E24F2">
      <w:pPr>
        <w:pStyle w:val="Podnadpis"/>
        <w:rPr>
          <w:color w:val="auto"/>
        </w:rPr>
      </w:pPr>
      <w:bookmarkStart w:id="1136" w:name="_Toc75952370"/>
      <w:bookmarkStart w:id="1137" w:name="_Toc106106825"/>
      <w:bookmarkStart w:id="1138" w:name="_Toc109802148"/>
      <w:bookmarkStart w:id="1139" w:name="_Toc144104307"/>
      <w:bookmarkStart w:id="1140" w:name="_Toc169251122"/>
      <w:bookmarkStart w:id="1141" w:name="_Toc174080808"/>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65</w:t>
      </w:r>
      <w:r w:rsidRPr="00730B1E">
        <w:rPr>
          <w:noProof/>
          <w:color w:val="auto"/>
        </w:rPr>
        <w:fldChar w:fldCharType="end"/>
      </w:r>
      <w:r w:rsidRPr="00730B1E">
        <w:rPr>
          <w:color w:val="auto"/>
        </w:rPr>
        <w:t>: KS – vyřizování správních věcí dle soudů</w:t>
      </w:r>
      <w:bookmarkEnd w:id="1136"/>
      <w:bookmarkEnd w:id="1137"/>
      <w:bookmarkEnd w:id="1138"/>
      <w:bookmarkEnd w:id="1139"/>
      <w:bookmarkEnd w:id="1140"/>
      <w:bookmarkEnd w:id="1141"/>
    </w:p>
    <w:tbl>
      <w:tblPr>
        <w:tblW w:w="9083" w:type="dxa"/>
        <w:tblCellMar>
          <w:left w:w="70" w:type="dxa"/>
          <w:right w:w="70" w:type="dxa"/>
        </w:tblCellMar>
        <w:tblLook w:val="04A0" w:firstRow="1" w:lastRow="0" w:firstColumn="1" w:lastColumn="0" w:noHBand="0" w:noVBand="1"/>
      </w:tblPr>
      <w:tblGrid>
        <w:gridCol w:w="1843"/>
        <w:gridCol w:w="970"/>
        <w:gridCol w:w="1016"/>
        <w:gridCol w:w="969"/>
        <w:gridCol w:w="888"/>
        <w:gridCol w:w="969"/>
        <w:gridCol w:w="888"/>
        <w:gridCol w:w="1540"/>
      </w:tblGrid>
      <w:tr w:rsidR="00B64E96" w:rsidRPr="00730B1E" w14:paraId="3266D17B" w14:textId="77777777" w:rsidTr="00F45913">
        <w:trPr>
          <w:trHeight w:val="330"/>
        </w:trPr>
        <w:tc>
          <w:tcPr>
            <w:tcW w:w="1843" w:type="dxa"/>
            <w:vMerge w:val="restart"/>
            <w:tcBorders>
              <w:top w:val="double" w:sz="6" w:space="0" w:color="auto"/>
              <w:left w:val="nil"/>
              <w:bottom w:val="double" w:sz="6" w:space="0" w:color="000000"/>
              <w:right w:val="nil"/>
            </w:tcBorders>
            <w:shd w:val="clear" w:color="auto" w:fill="auto"/>
            <w:noWrap/>
            <w:vAlign w:val="center"/>
            <w:hideMark/>
          </w:tcPr>
          <w:p w14:paraId="7D185687" w14:textId="2D43DD9E" w:rsidR="002E24F2" w:rsidRPr="00730B1E" w:rsidRDefault="00E4127E" w:rsidP="002E24F2">
            <w:pPr>
              <w:spacing w:line="240" w:lineRule="auto"/>
              <w:jc w:val="center"/>
              <w:rPr>
                <w:rFonts w:eastAsia="Times New Roman"/>
                <w:b/>
                <w:bCs/>
                <w:szCs w:val="24"/>
                <w:lang w:eastAsia="cs-CZ"/>
              </w:rPr>
            </w:pPr>
            <w:r w:rsidRPr="00730B1E">
              <w:rPr>
                <w:rFonts w:eastAsia="Times New Roman"/>
                <w:b/>
                <w:bCs/>
                <w:szCs w:val="24"/>
                <w:lang w:eastAsia="cs-CZ"/>
              </w:rPr>
              <w:t>S</w:t>
            </w:r>
            <w:r w:rsidR="002E24F2" w:rsidRPr="00730B1E">
              <w:rPr>
                <w:rFonts w:eastAsia="Times New Roman"/>
                <w:b/>
                <w:bCs/>
                <w:szCs w:val="24"/>
                <w:lang w:eastAsia="cs-CZ"/>
              </w:rPr>
              <w:t>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14:paraId="29BC75BA" w14:textId="77777777"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3DFD1DA3" w14:textId="77777777"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Míra vyřizování</w:t>
            </w:r>
          </w:p>
        </w:tc>
      </w:tr>
      <w:tr w:rsidR="00B64E96" w:rsidRPr="00730B1E" w14:paraId="70FF6696" w14:textId="77777777" w:rsidTr="00F45913">
        <w:trPr>
          <w:trHeight w:val="330"/>
        </w:trPr>
        <w:tc>
          <w:tcPr>
            <w:tcW w:w="1843" w:type="dxa"/>
            <w:vMerge/>
            <w:tcBorders>
              <w:top w:val="double" w:sz="6" w:space="0" w:color="auto"/>
              <w:left w:val="nil"/>
              <w:bottom w:val="double" w:sz="6" w:space="0" w:color="000000"/>
              <w:right w:val="nil"/>
            </w:tcBorders>
            <w:vAlign w:val="center"/>
            <w:hideMark/>
          </w:tcPr>
          <w:p w14:paraId="2D7F184D" w14:textId="77777777" w:rsidR="002E24F2" w:rsidRPr="00730B1E" w:rsidRDefault="002E24F2" w:rsidP="002E24F2">
            <w:pPr>
              <w:spacing w:line="240" w:lineRule="auto"/>
              <w:jc w:val="left"/>
              <w:rPr>
                <w:rFonts w:eastAsia="Times New Roman"/>
                <w:b/>
                <w:bCs/>
                <w:szCs w:val="24"/>
                <w:lang w:eastAsia="cs-CZ"/>
              </w:rPr>
            </w:pPr>
          </w:p>
        </w:tc>
        <w:tc>
          <w:tcPr>
            <w:tcW w:w="1986" w:type="dxa"/>
            <w:gridSpan w:val="2"/>
            <w:tcBorders>
              <w:top w:val="nil"/>
              <w:left w:val="nil"/>
              <w:bottom w:val="double" w:sz="6" w:space="0" w:color="auto"/>
              <w:right w:val="nil"/>
            </w:tcBorders>
            <w:shd w:val="clear" w:color="auto" w:fill="auto"/>
            <w:noWrap/>
            <w:vAlign w:val="center"/>
            <w:hideMark/>
          </w:tcPr>
          <w:p w14:paraId="7FD419C9" w14:textId="1D776CFB"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85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6EE2FBB" w14:textId="77777777"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857" w:type="dxa"/>
            <w:gridSpan w:val="2"/>
            <w:tcBorders>
              <w:top w:val="nil"/>
              <w:left w:val="nil"/>
              <w:bottom w:val="double" w:sz="6" w:space="0" w:color="auto"/>
              <w:right w:val="single" w:sz="4" w:space="0" w:color="000000"/>
            </w:tcBorders>
            <w:shd w:val="clear" w:color="auto" w:fill="auto"/>
            <w:noWrap/>
            <w:vAlign w:val="center"/>
            <w:hideMark/>
          </w:tcPr>
          <w:p w14:paraId="7AA9C836" w14:textId="77777777"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5E72B10F" w14:textId="77777777" w:rsidR="002E24F2" w:rsidRPr="00730B1E" w:rsidRDefault="002E24F2" w:rsidP="002E24F2">
            <w:pPr>
              <w:spacing w:line="240" w:lineRule="auto"/>
              <w:jc w:val="left"/>
              <w:rPr>
                <w:rFonts w:eastAsia="Times New Roman"/>
                <w:b/>
                <w:bCs/>
                <w:szCs w:val="24"/>
                <w:lang w:eastAsia="cs-CZ"/>
              </w:rPr>
            </w:pPr>
          </w:p>
        </w:tc>
      </w:tr>
      <w:tr w:rsidR="00B64E96" w:rsidRPr="00730B1E" w14:paraId="3D838EC5" w14:textId="77777777" w:rsidTr="009714A7">
        <w:trPr>
          <w:trHeight w:val="330"/>
        </w:trPr>
        <w:tc>
          <w:tcPr>
            <w:tcW w:w="1843" w:type="dxa"/>
            <w:tcBorders>
              <w:top w:val="single" w:sz="4" w:space="0" w:color="auto"/>
              <w:left w:val="nil"/>
              <w:bottom w:val="single" w:sz="4" w:space="0" w:color="auto"/>
              <w:right w:val="nil"/>
            </w:tcBorders>
            <w:shd w:val="clear" w:color="auto" w:fill="auto"/>
            <w:noWrap/>
            <w:vAlign w:val="bottom"/>
            <w:hideMark/>
          </w:tcPr>
          <w:p w14:paraId="110F760A" w14:textId="77777777" w:rsidR="002E24F2" w:rsidRPr="00730B1E" w:rsidRDefault="002E24F2" w:rsidP="002E24F2">
            <w:pPr>
              <w:spacing w:line="240" w:lineRule="auto"/>
              <w:jc w:val="left"/>
              <w:rPr>
                <w:rFonts w:eastAsia="Times New Roman"/>
                <w:szCs w:val="24"/>
                <w:lang w:eastAsia="cs-CZ"/>
              </w:rPr>
            </w:pPr>
            <w:r w:rsidRPr="00730B1E">
              <w:rPr>
                <w:rFonts w:eastAsia="Times New Roman"/>
                <w:szCs w:val="24"/>
                <w:lang w:eastAsia="cs-CZ"/>
              </w:rPr>
              <w:t>MS Praha</w:t>
            </w:r>
          </w:p>
        </w:tc>
        <w:tc>
          <w:tcPr>
            <w:tcW w:w="970" w:type="dxa"/>
            <w:tcBorders>
              <w:top w:val="single" w:sz="4" w:space="0" w:color="auto"/>
              <w:left w:val="nil"/>
              <w:bottom w:val="single" w:sz="4" w:space="0" w:color="auto"/>
              <w:right w:val="nil"/>
            </w:tcBorders>
            <w:shd w:val="clear" w:color="auto" w:fill="auto"/>
            <w:noWrap/>
            <w:vAlign w:val="bottom"/>
            <w:hideMark/>
          </w:tcPr>
          <w:p w14:paraId="193026B1"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2 811</w:t>
            </w:r>
          </w:p>
        </w:tc>
        <w:tc>
          <w:tcPr>
            <w:tcW w:w="1016" w:type="dxa"/>
            <w:tcBorders>
              <w:top w:val="single" w:sz="4" w:space="0" w:color="auto"/>
              <w:left w:val="nil"/>
              <w:bottom w:val="single" w:sz="4" w:space="0" w:color="auto"/>
              <w:right w:val="nil"/>
            </w:tcBorders>
            <w:shd w:val="clear" w:color="auto" w:fill="auto"/>
            <w:noWrap/>
            <w:vAlign w:val="center"/>
            <w:hideMark/>
          </w:tcPr>
          <w:p w14:paraId="67490B99"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c>
          <w:tcPr>
            <w:tcW w:w="969" w:type="dxa"/>
            <w:tcBorders>
              <w:top w:val="single" w:sz="4" w:space="0" w:color="auto"/>
              <w:left w:val="single" w:sz="4" w:space="0" w:color="auto"/>
              <w:bottom w:val="single" w:sz="4" w:space="0" w:color="auto"/>
              <w:right w:val="nil"/>
            </w:tcBorders>
            <w:shd w:val="clear" w:color="auto" w:fill="auto"/>
            <w:noWrap/>
            <w:vAlign w:val="bottom"/>
            <w:hideMark/>
          </w:tcPr>
          <w:p w14:paraId="784EC85E"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3 351</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0169AB8C"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969" w:type="dxa"/>
            <w:tcBorders>
              <w:top w:val="single" w:sz="4" w:space="0" w:color="auto"/>
              <w:left w:val="nil"/>
              <w:bottom w:val="single" w:sz="4" w:space="0" w:color="auto"/>
              <w:right w:val="nil"/>
            </w:tcBorders>
            <w:shd w:val="clear" w:color="auto" w:fill="auto"/>
            <w:noWrap/>
            <w:vAlign w:val="bottom"/>
            <w:hideMark/>
          </w:tcPr>
          <w:p w14:paraId="4DE6D4D4"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1 800</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14:paraId="2B7FA0FC"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c>
          <w:tcPr>
            <w:tcW w:w="1540" w:type="dxa"/>
            <w:tcBorders>
              <w:top w:val="nil"/>
              <w:left w:val="nil"/>
              <w:bottom w:val="single" w:sz="4" w:space="0" w:color="auto"/>
              <w:right w:val="nil"/>
            </w:tcBorders>
            <w:shd w:val="clear" w:color="auto" w:fill="auto"/>
            <w:noWrap/>
            <w:vAlign w:val="center"/>
            <w:hideMark/>
          </w:tcPr>
          <w:p w14:paraId="5A4FABED" w14:textId="0A18E0D6"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119,2 %</w:t>
            </w:r>
          </w:p>
        </w:tc>
      </w:tr>
      <w:tr w:rsidR="00B64E96" w:rsidRPr="00730B1E" w14:paraId="0ED06943" w14:textId="77777777" w:rsidTr="009714A7">
        <w:trPr>
          <w:trHeight w:val="315"/>
        </w:trPr>
        <w:tc>
          <w:tcPr>
            <w:tcW w:w="1843" w:type="dxa"/>
            <w:tcBorders>
              <w:top w:val="nil"/>
              <w:left w:val="nil"/>
              <w:bottom w:val="single" w:sz="4" w:space="0" w:color="auto"/>
              <w:right w:val="nil"/>
            </w:tcBorders>
            <w:shd w:val="clear" w:color="auto" w:fill="auto"/>
            <w:noWrap/>
            <w:vAlign w:val="bottom"/>
            <w:hideMark/>
          </w:tcPr>
          <w:p w14:paraId="7B08F614" w14:textId="77777777" w:rsidR="002E24F2" w:rsidRPr="00730B1E" w:rsidRDefault="002E24F2" w:rsidP="002E24F2">
            <w:pPr>
              <w:spacing w:line="240" w:lineRule="auto"/>
              <w:jc w:val="left"/>
              <w:rPr>
                <w:rFonts w:eastAsia="Times New Roman"/>
                <w:szCs w:val="24"/>
                <w:lang w:eastAsia="cs-CZ"/>
              </w:rPr>
            </w:pPr>
            <w:r w:rsidRPr="00730B1E">
              <w:rPr>
                <w:rFonts w:eastAsia="Times New Roman"/>
                <w:szCs w:val="24"/>
                <w:lang w:eastAsia="cs-CZ"/>
              </w:rPr>
              <w:t>KS Praha</w:t>
            </w:r>
          </w:p>
        </w:tc>
        <w:tc>
          <w:tcPr>
            <w:tcW w:w="970" w:type="dxa"/>
            <w:tcBorders>
              <w:top w:val="nil"/>
              <w:left w:val="nil"/>
              <w:bottom w:val="single" w:sz="4" w:space="0" w:color="auto"/>
              <w:right w:val="nil"/>
            </w:tcBorders>
            <w:shd w:val="clear" w:color="auto" w:fill="auto"/>
            <w:noWrap/>
            <w:vAlign w:val="bottom"/>
            <w:hideMark/>
          </w:tcPr>
          <w:p w14:paraId="21D5474B"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821</w:t>
            </w:r>
          </w:p>
        </w:tc>
        <w:tc>
          <w:tcPr>
            <w:tcW w:w="1016" w:type="dxa"/>
            <w:tcBorders>
              <w:top w:val="nil"/>
              <w:left w:val="nil"/>
              <w:bottom w:val="single" w:sz="4" w:space="0" w:color="auto"/>
              <w:right w:val="nil"/>
            </w:tcBorders>
            <w:shd w:val="clear" w:color="auto" w:fill="auto"/>
            <w:noWrap/>
            <w:vAlign w:val="center"/>
            <w:hideMark/>
          </w:tcPr>
          <w:p w14:paraId="0E1CBCA0"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969" w:type="dxa"/>
            <w:tcBorders>
              <w:top w:val="nil"/>
              <w:left w:val="single" w:sz="4" w:space="0" w:color="auto"/>
              <w:bottom w:val="single" w:sz="4" w:space="0" w:color="auto"/>
              <w:right w:val="nil"/>
            </w:tcBorders>
            <w:shd w:val="clear" w:color="auto" w:fill="auto"/>
            <w:noWrap/>
            <w:vAlign w:val="bottom"/>
            <w:hideMark/>
          </w:tcPr>
          <w:p w14:paraId="7F7CF853"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889</w:t>
            </w:r>
          </w:p>
        </w:tc>
        <w:tc>
          <w:tcPr>
            <w:tcW w:w="888" w:type="dxa"/>
            <w:tcBorders>
              <w:top w:val="nil"/>
              <w:left w:val="nil"/>
              <w:bottom w:val="single" w:sz="4" w:space="0" w:color="auto"/>
              <w:right w:val="single" w:sz="4" w:space="0" w:color="auto"/>
            </w:tcBorders>
            <w:shd w:val="clear" w:color="auto" w:fill="auto"/>
            <w:noWrap/>
            <w:vAlign w:val="center"/>
            <w:hideMark/>
          </w:tcPr>
          <w:p w14:paraId="784F7CD0"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69" w:type="dxa"/>
            <w:tcBorders>
              <w:top w:val="nil"/>
              <w:left w:val="nil"/>
              <w:bottom w:val="single" w:sz="4" w:space="0" w:color="auto"/>
              <w:right w:val="nil"/>
            </w:tcBorders>
            <w:shd w:val="clear" w:color="auto" w:fill="auto"/>
            <w:noWrap/>
            <w:vAlign w:val="bottom"/>
            <w:hideMark/>
          </w:tcPr>
          <w:p w14:paraId="1C7430B9"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500</w:t>
            </w:r>
          </w:p>
        </w:tc>
        <w:tc>
          <w:tcPr>
            <w:tcW w:w="888" w:type="dxa"/>
            <w:tcBorders>
              <w:top w:val="nil"/>
              <w:left w:val="nil"/>
              <w:bottom w:val="single" w:sz="4" w:space="0" w:color="auto"/>
              <w:right w:val="single" w:sz="4" w:space="0" w:color="auto"/>
            </w:tcBorders>
            <w:shd w:val="clear" w:color="auto" w:fill="auto"/>
            <w:noWrap/>
            <w:vAlign w:val="center"/>
            <w:hideMark/>
          </w:tcPr>
          <w:p w14:paraId="307DF81C"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540" w:type="dxa"/>
            <w:tcBorders>
              <w:top w:val="nil"/>
              <w:left w:val="nil"/>
              <w:bottom w:val="single" w:sz="4" w:space="0" w:color="auto"/>
              <w:right w:val="nil"/>
            </w:tcBorders>
            <w:shd w:val="clear" w:color="auto" w:fill="auto"/>
            <w:noWrap/>
            <w:vAlign w:val="center"/>
            <w:hideMark/>
          </w:tcPr>
          <w:p w14:paraId="6BA407E9" w14:textId="0AF1A1D9"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108,3 %</w:t>
            </w:r>
          </w:p>
        </w:tc>
      </w:tr>
      <w:tr w:rsidR="00B64E96" w:rsidRPr="00730B1E" w14:paraId="7A3BEDDE" w14:textId="77777777" w:rsidTr="009714A7">
        <w:trPr>
          <w:trHeight w:val="315"/>
        </w:trPr>
        <w:tc>
          <w:tcPr>
            <w:tcW w:w="1843" w:type="dxa"/>
            <w:tcBorders>
              <w:top w:val="nil"/>
              <w:left w:val="nil"/>
              <w:bottom w:val="single" w:sz="4" w:space="0" w:color="auto"/>
              <w:right w:val="nil"/>
            </w:tcBorders>
            <w:shd w:val="clear" w:color="auto" w:fill="auto"/>
            <w:noWrap/>
            <w:vAlign w:val="bottom"/>
            <w:hideMark/>
          </w:tcPr>
          <w:p w14:paraId="6C62ED4E" w14:textId="77777777" w:rsidR="002E24F2" w:rsidRPr="00730B1E" w:rsidRDefault="002E24F2" w:rsidP="002E24F2">
            <w:pPr>
              <w:spacing w:line="240" w:lineRule="auto"/>
              <w:jc w:val="left"/>
              <w:rPr>
                <w:rFonts w:eastAsia="Times New Roman"/>
                <w:szCs w:val="24"/>
                <w:lang w:eastAsia="cs-CZ"/>
              </w:rPr>
            </w:pPr>
            <w:r w:rsidRPr="00730B1E">
              <w:rPr>
                <w:rFonts w:eastAsia="Times New Roman"/>
                <w:szCs w:val="24"/>
                <w:lang w:eastAsia="cs-CZ"/>
              </w:rPr>
              <w:t>KS Č. Budějovice</w:t>
            </w:r>
          </w:p>
        </w:tc>
        <w:tc>
          <w:tcPr>
            <w:tcW w:w="970" w:type="dxa"/>
            <w:tcBorders>
              <w:top w:val="nil"/>
              <w:left w:val="nil"/>
              <w:bottom w:val="single" w:sz="4" w:space="0" w:color="auto"/>
              <w:right w:val="nil"/>
            </w:tcBorders>
            <w:shd w:val="clear" w:color="auto" w:fill="auto"/>
            <w:noWrap/>
            <w:vAlign w:val="bottom"/>
            <w:hideMark/>
          </w:tcPr>
          <w:p w14:paraId="2A36AB7E"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370</w:t>
            </w:r>
          </w:p>
        </w:tc>
        <w:tc>
          <w:tcPr>
            <w:tcW w:w="1016" w:type="dxa"/>
            <w:tcBorders>
              <w:top w:val="nil"/>
              <w:left w:val="nil"/>
              <w:bottom w:val="single" w:sz="4" w:space="0" w:color="auto"/>
              <w:right w:val="nil"/>
            </w:tcBorders>
            <w:shd w:val="clear" w:color="auto" w:fill="auto"/>
            <w:noWrap/>
            <w:vAlign w:val="center"/>
            <w:hideMark/>
          </w:tcPr>
          <w:p w14:paraId="0E5DD8D1"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969" w:type="dxa"/>
            <w:tcBorders>
              <w:top w:val="nil"/>
              <w:left w:val="single" w:sz="4" w:space="0" w:color="auto"/>
              <w:bottom w:val="single" w:sz="4" w:space="0" w:color="auto"/>
              <w:right w:val="nil"/>
            </w:tcBorders>
            <w:shd w:val="clear" w:color="auto" w:fill="auto"/>
            <w:noWrap/>
            <w:vAlign w:val="bottom"/>
            <w:hideMark/>
          </w:tcPr>
          <w:p w14:paraId="41538DD0"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376</w:t>
            </w:r>
          </w:p>
        </w:tc>
        <w:tc>
          <w:tcPr>
            <w:tcW w:w="888" w:type="dxa"/>
            <w:tcBorders>
              <w:top w:val="nil"/>
              <w:left w:val="nil"/>
              <w:bottom w:val="single" w:sz="4" w:space="0" w:color="auto"/>
              <w:right w:val="single" w:sz="4" w:space="0" w:color="auto"/>
            </w:tcBorders>
            <w:shd w:val="clear" w:color="auto" w:fill="auto"/>
            <w:noWrap/>
            <w:vAlign w:val="center"/>
            <w:hideMark/>
          </w:tcPr>
          <w:p w14:paraId="3D742DC5"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69" w:type="dxa"/>
            <w:tcBorders>
              <w:top w:val="nil"/>
              <w:left w:val="nil"/>
              <w:bottom w:val="single" w:sz="4" w:space="0" w:color="auto"/>
              <w:right w:val="nil"/>
            </w:tcBorders>
            <w:shd w:val="clear" w:color="auto" w:fill="auto"/>
            <w:noWrap/>
            <w:vAlign w:val="bottom"/>
            <w:hideMark/>
          </w:tcPr>
          <w:p w14:paraId="2D0CA3CD"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127</w:t>
            </w:r>
          </w:p>
        </w:tc>
        <w:tc>
          <w:tcPr>
            <w:tcW w:w="888" w:type="dxa"/>
            <w:tcBorders>
              <w:top w:val="nil"/>
              <w:left w:val="nil"/>
              <w:bottom w:val="single" w:sz="4" w:space="0" w:color="auto"/>
              <w:right w:val="single" w:sz="4" w:space="0" w:color="auto"/>
            </w:tcBorders>
            <w:shd w:val="clear" w:color="auto" w:fill="auto"/>
            <w:noWrap/>
            <w:vAlign w:val="center"/>
            <w:hideMark/>
          </w:tcPr>
          <w:p w14:paraId="58F4C304"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540" w:type="dxa"/>
            <w:tcBorders>
              <w:top w:val="nil"/>
              <w:left w:val="nil"/>
              <w:bottom w:val="single" w:sz="4" w:space="0" w:color="auto"/>
              <w:right w:val="nil"/>
            </w:tcBorders>
            <w:shd w:val="clear" w:color="auto" w:fill="auto"/>
            <w:noWrap/>
            <w:vAlign w:val="center"/>
            <w:hideMark/>
          </w:tcPr>
          <w:p w14:paraId="40EA5E99" w14:textId="49A9FD8C"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101,6 %</w:t>
            </w:r>
          </w:p>
        </w:tc>
      </w:tr>
      <w:tr w:rsidR="00B64E96" w:rsidRPr="00730B1E" w14:paraId="1A242D44" w14:textId="77777777" w:rsidTr="009714A7">
        <w:trPr>
          <w:trHeight w:val="315"/>
        </w:trPr>
        <w:tc>
          <w:tcPr>
            <w:tcW w:w="1843" w:type="dxa"/>
            <w:tcBorders>
              <w:top w:val="nil"/>
              <w:left w:val="nil"/>
              <w:bottom w:val="single" w:sz="4" w:space="0" w:color="auto"/>
              <w:right w:val="nil"/>
            </w:tcBorders>
            <w:shd w:val="clear" w:color="auto" w:fill="auto"/>
            <w:noWrap/>
            <w:vAlign w:val="bottom"/>
            <w:hideMark/>
          </w:tcPr>
          <w:p w14:paraId="68215921" w14:textId="77777777" w:rsidR="002E24F2" w:rsidRPr="00730B1E" w:rsidRDefault="002E24F2" w:rsidP="002E24F2">
            <w:pPr>
              <w:spacing w:line="240" w:lineRule="auto"/>
              <w:jc w:val="left"/>
              <w:rPr>
                <w:rFonts w:eastAsia="Times New Roman"/>
                <w:szCs w:val="24"/>
                <w:lang w:eastAsia="cs-CZ"/>
              </w:rPr>
            </w:pPr>
            <w:r w:rsidRPr="00730B1E">
              <w:rPr>
                <w:rFonts w:eastAsia="Times New Roman"/>
                <w:szCs w:val="24"/>
                <w:lang w:eastAsia="cs-CZ"/>
              </w:rPr>
              <w:t>KS Plzeň</w:t>
            </w:r>
          </w:p>
        </w:tc>
        <w:tc>
          <w:tcPr>
            <w:tcW w:w="970" w:type="dxa"/>
            <w:tcBorders>
              <w:top w:val="nil"/>
              <w:left w:val="nil"/>
              <w:bottom w:val="single" w:sz="4" w:space="0" w:color="auto"/>
              <w:right w:val="nil"/>
            </w:tcBorders>
            <w:shd w:val="clear" w:color="auto" w:fill="auto"/>
            <w:noWrap/>
            <w:vAlign w:val="bottom"/>
            <w:hideMark/>
          </w:tcPr>
          <w:p w14:paraId="62652E03"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566</w:t>
            </w:r>
          </w:p>
        </w:tc>
        <w:tc>
          <w:tcPr>
            <w:tcW w:w="1016" w:type="dxa"/>
            <w:tcBorders>
              <w:top w:val="nil"/>
              <w:left w:val="nil"/>
              <w:bottom w:val="single" w:sz="4" w:space="0" w:color="auto"/>
              <w:right w:val="nil"/>
            </w:tcBorders>
            <w:shd w:val="clear" w:color="auto" w:fill="auto"/>
            <w:noWrap/>
            <w:vAlign w:val="center"/>
            <w:hideMark/>
          </w:tcPr>
          <w:p w14:paraId="5EA31FED"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69" w:type="dxa"/>
            <w:tcBorders>
              <w:top w:val="nil"/>
              <w:left w:val="single" w:sz="4" w:space="0" w:color="auto"/>
              <w:bottom w:val="single" w:sz="4" w:space="0" w:color="auto"/>
              <w:right w:val="nil"/>
            </w:tcBorders>
            <w:shd w:val="clear" w:color="auto" w:fill="auto"/>
            <w:noWrap/>
            <w:vAlign w:val="bottom"/>
            <w:hideMark/>
          </w:tcPr>
          <w:p w14:paraId="330CA416"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604</w:t>
            </w:r>
          </w:p>
        </w:tc>
        <w:tc>
          <w:tcPr>
            <w:tcW w:w="888" w:type="dxa"/>
            <w:tcBorders>
              <w:top w:val="nil"/>
              <w:left w:val="nil"/>
              <w:bottom w:val="single" w:sz="4" w:space="0" w:color="auto"/>
              <w:right w:val="single" w:sz="4" w:space="0" w:color="auto"/>
            </w:tcBorders>
            <w:shd w:val="clear" w:color="auto" w:fill="auto"/>
            <w:noWrap/>
            <w:vAlign w:val="center"/>
            <w:hideMark/>
          </w:tcPr>
          <w:p w14:paraId="06FFA36E"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969" w:type="dxa"/>
            <w:tcBorders>
              <w:top w:val="nil"/>
              <w:left w:val="nil"/>
              <w:bottom w:val="single" w:sz="4" w:space="0" w:color="auto"/>
              <w:right w:val="nil"/>
            </w:tcBorders>
            <w:shd w:val="clear" w:color="auto" w:fill="auto"/>
            <w:noWrap/>
            <w:vAlign w:val="bottom"/>
            <w:hideMark/>
          </w:tcPr>
          <w:p w14:paraId="182D78B9"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263</w:t>
            </w:r>
          </w:p>
        </w:tc>
        <w:tc>
          <w:tcPr>
            <w:tcW w:w="888" w:type="dxa"/>
            <w:tcBorders>
              <w:top w:val="nil"/>
              <w:left w:val="nil"/>
              <w:bottom w:val="single" w:sz="4" w:space="0" w:color="auto"/>
              <w:right w:val="single" w:sz="4" w:space="0" w:color="auto"/>
            </w:tcBorders>
            <w:shd w:val="clear" w:color="auto" w:fill="auto"/>
            <w:noWrap/>
            <w:vAlign w:val="center"/>
            <w:hideMark/>
          </w:tcPr>
          <w:p w14:paraId="237D08CE"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c>
          <w:tcPr>
            <w:tcW w:w="1540" w:type="dxa"/>
            <w:tcBorders>
              <w:top w:val="nil"/>
              <w:left w:val="nil"/>
              <w:bottom w:val="single" w:sz="4" w:space="0" w:color="auto"/>
              <w:right w:val="nil"/>
            </w:tcBorders>
            <w:shd w:val="clear" w:color="auto" w:fill="auto"/>
            <w:noWrap/>
            <w:vAlign w:val="center"/>
            <w:hideMark/>
          </w:tcPr>
          <w:p w14:paraId="0EC79823" w14:textId="13BA5E42"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106,7 %</w:t>
            </w:r>
          </w:p>
        </w:tc>
      </w:tr>
      <w:tr w:rsidR="00B64E96" w:rsidRPr="00730B1E" w14:paraId="7D0C4666" w14:textId="77777777" w:rsidTr="009714A7">
        <w:trPr>
          <w:trHeight w:val="315"/>
        </w:trPr>
        <w:tc>
          <w:tcPr>
            <w:tcW w:w="1843" w:type="dxa"/>
            <w:tcBorders>
              <w:top w:val="nil"/>
              <w:left w:val="nil"/>
              <w:bottom w:val="single" w:sz="4" w:space="0" w:color="auto"/>
              <w:right w:val="nil"/>
            </w:tcBorders>
            <w:shd w:val="clear" w:color="auto" w:fill="auto"/>
            <w:noWrap/>
            <w:vAlign w:val="bottom"/>
            <w:hideMark/>
          </w:tcPr>
          <w:p w14:paraId="78E9462B" w14:textId="77777777" w:rsidR="002E24F2" w:rsidRPr="00730B1E" w:rsidRDefault="002E24F2" w:rsidP="002E24F2">
            <w:pPr>
              <w:spacing w:line="240" w:lineRule="auto"/>
              <w:jc w:val="left"/>
              <w:rPr>
                <w:rFonts w:eastAsia="Times New Roman"/>
                <w:szCs w:val="24"/>
                <w:lang w:eastAsia="cs-CZ"/>
              </w:rPr>
            </w:pPr>
            <w:r w:rsidRPr="00730B1E">
              <w:rPr>
                <w:rFonts w:eastAsia="Times New Roman"/>
                <w:szCs w:val="24"/>
                <w:lang w:eastAsia="cs-CZ"/>
              </w:rPr>
              <w:t>KS Ústí n. Labem</w:t>
            </w:r>
          </w:p>
        </w:tc>
        <w:tc>
          <w:tcPr>
            <w:tcW w:w="970" w:type="dxa"/>
            <w:tcBorders>
              <w:top w:val="nil"/>
              <w:left w:val="nil"/>
              <w:bottom w:val="single" w:sz="4" w:space="0" w:color="auto"/>
              <w:right w:val="nil"/>
            </w:tcBorders>
            <w:shd w:val="clear" w:color="auto" w:fill="auto"/>
            <w:noWrap/>
            <w:vAlign w:val="bottom"/>
            <w:hideMark/>
          </w:tcPr>
          <w:p w14:paraId="2835CFDE"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663</w:t>
            </w:r>
          </w:p>
        </w:tc>
        <w:tc>
          <w:tcPr>
            <w:tcW w:w="1016" w:type="dxa"/>
            <w:tcBorders>
              <w:top w:val="nil"/>
              <w:left w:val="nil"/>
              <w:bottom w:val="single" w:sz="4" w:space="0" w:color="auto"/>
              <w:right w:val="nil"/>
            </w:tcBorders>
            <w:shd w:val="clear" w:color="auto" w:fill="auto"/>
            <w:noWrap/>
            <w:vAlign w:val="center"/>
            <w:hideMark/>
          </w:tcPr>
          <w:p w14:paraId="33742F06"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69" w:type="dxa"/>
            <w:tcBorders>
              <w:top w:val="nil"/>
              <w:left w:val="single" w:sz="4" w:space="0" w:color="auto"/>
              <w:bottom w:val="single" w:sz="4" w:space="0" w:color="auto"/>
              <w:right w:val="nil"/>
            </w:tcBorders>
            <w:shd w:val="clear" w:color="auto" w:fill="auto"/>
            <w:noWrap/>
            <w:vAlign w:val="bottom"/>
            <w:hideMark/>
          </w:tcPr>
          <w:p w14:paraId="0B3CB593"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668</w:t>
            </w:r>
          </w:p>
        </w:tc>
        <w:tc>
          <w:tcPr>
            <w:tcW w:w="888" w:type="dxa"/>
            <w:tcBorders>
              <w:top w:val="nil"/>
              <w:left w:val="nil"/>
              <w:bottom w:val="single" w:sz="4" w:space="0" w:color="auto"/>
              <w:right w:val="single" w:sz="4" w:space="0" w:color="auto"/>
            </w:tcBorders>
            <w:shd w:val="clear" w:color="auto" w:fill="auto"/>
            <w:noWrap/>
            <w:vAlign w:val="center"/>
            <w:hideMark/>
          </w:tcPr>
          <w:p w14:paraId="330E8B50"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-25 %  </w:t>
            </w:r>
          </w:p>
        </w:tc>
        <w:tc>
          <w:tcPr>
            <w:tcW w:w="969" w:type="dxa"/>
            <w:tcBorders>
              <w:top w:val="nil"/>
              <w:left w:val="nil"/>
              <w:bottom w:val="single" w:sz="4" w:space="0" w:color="auto"/>
              <w:right w:val="nil"/>
            </w:tcBorders>
            <w:shd w:val="clear" w:color="auto" w:fill="auto"/>
            <w:noWrap/>
            <w:vAlign w:val="bottom"/>
            <w:hideMark/>
          </w:tcPr>
          <w:p w14:paraId="50035DC5"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402</w:t>
            </w:r>
          </w:p>
        </w:tc>
        <w:tc>
          <w:tcPr>
            <w:tcW w:w="888" w:type="dxa"/>
            <w:tcBorders>
              <w:top w:val="nil"/>
              <w:left w:val="nil"/>
              <w:bottom w:val="single" w:sz="4" w:space="0" w:color="auto"/>
              <w:right w:val="single" w:sz="4" w:space="0" w:color="auto"/>
            </w:tcBorders>
            <w:shd w:val="clear" w:color="auto" w:fill="auto"/>
            <w:noWrap/>
            <w:vAlign w:val="center"/>
            <w:hideMark/>
          </w:tcPr>
          <w:p w14:paraId="2C312303"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540" w:type="dxa"/>
            <w:tcBorders>
              <w:top w:val="nil"/>
              <w:left w:val="nil"/>
              <w:bottom w:val="single" w:sz="4" w:space="0" w:color="auto"/>
              <w:right w:val="nil"/>
            </w:tcBorders>
            <w:shd w:val="clear" w:color="auto" w:fill="auto"/>
            <w:noWrap/>
            <w:vAlign w:val="center"/>
            <w:hideMark/>
          </w:tcPr>
          <w:p w14:paraId="7418F8C3" w14:textId="01F5AE25"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100,8 %</w:t>
            </w:r>
          </w:p>
        </w:tc>
      </w:tr>
      <w:tr w:rsidR="00B64E96" w:rsidRPr="00730B1E" w14:paraId="31C10027" w14:textId="77777777" w:rsidTr="009714A7">
        <w:trPr>
          <w:trHeight w:val="315"/>
        </w:trPr>
        <w:tc>
          <w:tcPr>
            <w:tcW w:w="1843" w:type="dxa"/>
            <w:tcBorders>
              <w:top w:val="nil"/>
              <w:left w:val="nil"/>
              <w:bottom w:val="single" w:sz="4" w:space="0" w:color="auto"/>
              <w:right w:val="nil"/>
            </w:tcBorders>
            <w:shd w:val="clear" w:color="auto" w:fill="auto"/>
            <w:noWrap/>
            <w:vAlign w:val="bottom"/>
            <w:hideMark/>
          </w:tcPr>
          <w:p w14:paraId="5AF5B71B" w14:textId="77777777" w:rsidR="002E24F2" w:rsidRPr="00730B1E" w:rsidRDefault="002E24F2" w:rsidP="002E24F2">
            <w:pPr>
              <w:spacing w:line="240" w:lineRule="auto"/>
              <w:jc w:val="left"/>
              <w:rPr>
                <w:rFonts w:eastAsia="Times New Roman"/>
                <w:szCs w:val="24"/>
                <w:lang w:eastAsia="cs-CZ"/>
              </w:rPr>
            </w:pPr>
            <w:r w:rsidRPr="00730B1E">
              <w:rPr>
                <w:rFonts w:eastAsia="Times New Roman"/>
                <w:szCs w:val="24"/>
                <w:lang w:eastAsia="cs-CZ"/>
              </w:rPr>
              <w:t>KS Hr. Králové</w:t>
            </w:r>
          </w:p>
        </w:tc>
        <w:tc>
          <w:tcPr>
            <w:tcW w:w="970" w:type="dxa"/>
            <w:tcBorders>
              <w:top w:val="nil"/>
              <w:left w:val="nil"/>
              <w:bottom w:val="single" w:sz="4" w:space="0" w:color="auto"/>
              <w:right w:val="nil"/>
            </w:tcBorders>
            <w:shd w:val="clear" w:color="auto" w:fill="auto"/>
            <w:noWrap/>
            <w:vAlign w:val="bottom"/>
            <w:hideMark/>
          </w:tcPr>
          <w:p w14:paraId="1F7E70FC"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540</w:t>
            </w:r>
          </w:p>
        </w:tc>
        <w:tc>
          <w:tcPr>
            <w:tcW w:w="1016" w:type="dxa"/>
            <w:tcBorders>
              <w:top w:val="nil"/>
              <w:left w:val="nil"/>
              <w:bottom w:val="single" w:sz="4" w:space="0" w:color="auto"/>
              <w:right w:val="nil"/>
            </w:tcBorders>
            <w:shd w:val="clear" w:color="auto" w:fill="auto"/>
            <w:noWrap/>
            <w:vAlign w:val="center"/>
            <w:hideMark/>
          </w:tcPr>
          <w:p w14:paraId="50C135C8"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969" w:type="dxa"/>
            <w:tcBorders>
              <w:top w:val="nil"/>
              <w:left w:val="single" w:sz="4" w:space="0" w:color="auto"/>
              <w:bottom w:val="single" w:sz="4" w:space="0" w:color="auto"/>
              <w:right w:val="nil"/>
            </w:tcBorders>
            <w:shd w:val="clear" w:color="auto" w:fill="auto"/>
            <w:noWrap/>
            <w:vAlign w:val="bottom"/>
            <w:hideMark/>
          </w:tcPr>
          <w:p w14:paraId="1F392960"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555</w:t>
            </w:r>
          </w:p>
        </w:tc>
        <w:tc>
          <w:tcPr>
            <w:tcW w:w="888" w:type="dxa"/>
            <w:tcBorders>
              <w:top w:val="nil"/>
              <w:left w:val="nil"/>
              <w:bottom w:val="single" w:sz="4" w:space="0" w:color="auto"/>
              <w:right w:val="single" w:sz="4" w:space="0" w:color="auto"/>
            </w:tcBorders>
            <w:shd w:val="clear" w:color="auto" w:fill="auto"/>
            <w:noWrap/>
            <w:vAlign w:val="center"/>
            <w:hideMark/>
          </w:tcPr>
          <w:p w14:paraId="6EF51B0B"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-20 %  </w:t>
            </w:r>
          </w:p>
        </w:tc>
        <w:tc>
          <w:tcPr>
            <w:tcW w:w="969" w:type="dxa"/>
            <w:tcBorders>
              <w:top w:val="nil"/>
              <w:left w:val="nil"/>
              <w:bottom w:val="single" w:sz="4" w:space="0" w:color="auto"/>
              <w:right w:val="nil"/>
            </w:tcBorders>
            <w:shd w:val="clear" w:color="auto" w:fill="auto"/>
            <w:noWrap/>
            <w:vAlign w:val="bottom"/>
            <w:hideMark/>
          </w:tcPr>
          <w:p w14:paraId="4C1B66A9"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237</w:t>
            </w:r>
          </w:p>
        </w:tc>
        <w:tc>
          <w:tcPr>
            <w:tcW w:w="888" w:type="dxa"/>
            <w:tcBorders>
              <w:top w:val="nil"/>
              <w:left w:val="nil"/>
              <w:bottom w:val="single" w:sz="4" w:space="0" w:color="auto"/>
              <w:right w:val="single" w:sz="4" w:space="0" w:color="auto"/>
            </w:tcBorders>
            <w:shd w:val="clear" w:color="auto" w:fill="auto"/>
            <w:noWrap/>
            <w:vAlign w:val="center"/>
            <w:hideMark/>
          </w:tcPr>
          <w:p w14:paraId="523E505D"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540" w:type="dxa"/>
            <w:tcBorders>
              <w:top w:val="nil"/>
              <w:left w:val="nil"/>
              <w:bottom w:val="single" w:sz="4" w:space="0" w:color="auto"/>
              <w:right w:val="nil"/>
            </w:tcBorders>
            <w:shd w:val="clear" w:color="auto" w:fill="auto"/>
            <w:noWrap/>
            <w:vAlign w:val="center"/>
            <w:hideMark/>
          </w:tcPr>
          <w:p w14:paraId="3B9DDA00" w14:textId="659393B2"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102,8 %</w:t>
            </w:r>
          </w:p>
        </w:tc>
      </w:tr>
      <w:tr w:rsidR="00B64E96" w:rsidRPr="00730B1E" w14:paraId="0AE25211" w14:textId="77777777" w:rsidTr="009714A7">
        <w:trPr>
          <w:trHeight w:val="315"/>
        </w:trPr>
        <w:tc>
          <w:tcPr>
            <w:tcW w:w="1843" w:type="dxa"/>
            <w:tcBorders>
              <w:top w:val="nil"/>
              <w:left w:val="nil"/>
              <w:bottom w:val="single" w:sz="4" w:space="0" w:color="auto"/>
              <w:right w:val="nil"/>
            </w:tcBorders>
            <w:shd w:val="clear" w:color="auto" w:fill="auto"/>
            <w:noWrap/>
            <w:vAlign w:val="bottom"/>
            <w:hideMark/>
          </w:tcPr>
          <w:p w14:paraId="542F9CF4" w14:textId="77777777" w:rsidR="002E24F2" w:rsidRPr="00730B1E" w:rsidRDefault="002E24F2" w:rsidP="002E24F2">
            <w:pPr>
              <w:spacing w:line="240" w:lineRule="auto"/>
              <w:jc w:val="left"/>
              <w:rPr>
                <w:rFonts w:eastAsia="Times New Roman"/>
                <w:szCs w:val="24"/>
                <w:lang w:eastAsia="cs-CZ"/>
              </w:rPr>
            </w:pPr>
            <w:r w:rsidRPr="00730B1E">
              <w:rPr>
                <w:rFonts w:eastAsia="Times New Roman"/>
                <w:szCs w:val="24"/>
                <w:lang w:eastAsia="cs-CZ"/>
              </w:rPr>
              <w:t>KS Brno</w:t>
            </w:r>
          </w:p>
        </w:tc>
        <w:tc>
          <w:tcPr>
            <w:tcW w:w="970" w:type="dxa"/>
            <w:tcBorders>
              <w:top w:val="nil"/>
              <w:left w:val="nil"/>
              <w:bottom w:val="single" w:sz="4" w:space="0" w:color="auto"/>
              <w:right w:val="nil"/>
            </w:tcBorders>
            <w:shd w:val="clear" w:color="auto" w:fill="auto"/>
            <w:noWrap/>
            <w:vAlign w:val="bottom"/>
            <w:hideMark/>
          </w:tcPr>
          <w:p w14:paraId="41A50CBD" w14:textId="4E2A9D48"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w:t>
            </w:r>
            <w:r w:rsidR="00E4127E" w:rsidRPr="00730B1E">
              <w:rPr>
                <w:rFonts w:eastAsia="Times New Roman"/>
                <w:szCs w:val="24"/>
                <w:lang w:eastAsia="cs-CZ"/>
              </w:rPr>
              <w:t xml:space="preserve"> </w:t>
            </w:r>
            <w:r w:rsidRPr="00730B1E">
              <w:rPr>
                <w:rFonts w:eastAsia="Times New Roman"/>
                <w:szCs w:val="24"/>
                <w:lang w:eastAsia="cs-CZ"/>
              </w:rPr>
              <w:t>267</w:t>
            </w:r>
          </w:p>
        </w:tc>
        <w:tc>
          <w:tcPr>
            <w:tcW w:w="1016" w:type="dxa"/>
            <w:tcBorders>
              <w:top w:val="nil"/>
              <w:left w:val="nil"/>
              <w:bottom w:val="single" w:sz="4" w:space="0" w:color="auto"/>
              <w:right w:val="nil"/>
            </w:tcBorders>
            <w:shd w:val="clear" w:color="auto" w:fill="auto"/>
            <w:noWrap/>
            <w:vAlign w:val="center"/>
            <w:hideMark/>
          </w:tcPr>
          <w:p w14:paraId="73E68F2A"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969" w:type="dxa"/>
            <w:tcBorders>
              <w:top w:val="nil"/>
              <w:left w:val="single" w:sz="4" w:space="0" w:color="auto"/>
              <w:bottom w:val="single" w:sz="4" w:space="0" w:color="auto"/>
              <w:right w:val="nil"/>
            </w:tcBorders>
            <w:shd w:val="clear" w:color="auto" w:fill="auto"/>
            <w:noWrap/>
            <w:vAlign w:val="bottom"/>
            <w:hideMark/>
          </w:tcPr>
          <w:p w14:paraId="6F0F3CA9" w14:textId="0165601D"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w:t>
            </w:r>
            <w:r w:rsidR="00E4127E" w:rsidRPr="00730B1E">
              <w:rPr>
                <w:rFonts w:eastAsia="Times New Roman"/>
                <w:szCs w:val="24"/>
                <w:lang w:eastAsia="cs-CZ"/>
              </w:rPr>
              <w:t xml:space="preserve"> </w:t>
            </w:r>
            <w:r w:rsidRPr="00730B1E">
              <w:rPr>
                <w:rFonts w:eastAsia="Times New Roman"/>
                <w:szCs w:val="24"/>
                <w:lang w:eastAsia="cs-CZ"/>
              </w:rPr>
              <w:t>420</w:t>
            </w:r>
          </w:p>
        </w:tc>
        <w:tc>
          <w:tcPr>
            <w:tcW w:w="888" w:type="dxa"/>
            <w:tcBorders>
              <w:top w:val="nil"/>
              <w:left w:val="nil"/>
              <w:bottom w:val="single" w:sz="4" w:space="0" w:color="auto"/>
              <w:right w:val="single" w:sz="4" w:space="0" w:color="auto"/>
            </w:tcBorders>
            <w:shd w:val="clear" w:color="auto" w:fill="auto"/>
            <w:noWrap/>
            <w:vAlign w:val="center"/>
            <w:hideMark/>
          </w:tcPr>
          <w:p w14:paraId="369709B8"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-20 %  </w:t>
            </w:r>
          </w:p>
        </w:tc>
        <w:tc>
          <w:tcPr>
            <w:tcW w:w="969" w:type="dxa"/>
            <w:tcBorders>
              <w:top w:val="nil"/>
              <w:left w:val="nil"/>
              <w:bottom w:val="single" w:sz="4" w:space="0" w:color="auto"/>
              <w:right w:val="nil"/>
            </w:tcBorders>
            <w:shd w:val="clear" w:color="auto" w:fill="auto"/>
            <w:noWrap/>
            <w:vAlign w:val="bottom"/>
            <w:hideMark/>
          </w:tcPr>
          <w:p w14:paraId="5B5CA817" w14:textId="71829FFC"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w:t>
            </w:r>
            <w:r w:rsidR="00E4127E" w:rsidRPr="00730B1E">
              <w:rPr>
                <w:rFonts w:eastAsia="Times New Roman"/>
                <w:szCs w:val="24"/>
                <w:lang w:eastAsia="cs-CZ"/>
              </w:rPr>
              <w:t xml:space="preserve"> </w:t>
            </w:r>
            <w:r w:rsidRPr="00730B1E">
              <w:rPr>
                <w:rFonts w:eastAsia="Times New Roman"/>
                <w:szCs w:val="24"/>
                <w:lang w:eastAsia="cs-CZ"/>
              </w:rPr>
              <w:t>161</w:t>
            </w:r>
          </w:p>
        </w:tc>
        <w:tc>
          <w:tcPr>
            <w:tcW w:w="888" w:type="dxa"/>
            <w:tcBorders>
              <w:top w:val="nil"/>
              <w:left w:val="nil"/>
              <w:bottom w:val="single" w:sz="4" w:space="0" w:color="auto"/>
              <w:right w:val="single" w:sz="4" w:space="0" w:color="auto"/>
            </w:tcBorders>
            <w:shd w:val="clear" w:color="auto" w:fill="auto"/>
            <w:noWrap/>
            <w:vAlign w:val="center"/>
            <w:hideMark/>
          </w:tcPr>
          <w:p w14:paraId="0CA968CE"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540" w:type="dxa"/>
            <w:tcBorders>
              <w:top w:val="nil"/>
              <w:left w:val="nil"/>
              <w:bottom w:val="single" w:sz="4" w:space="0" w:color="auto"/>
              <w:right w:val="nil"/>
            </w:tcBorders>
            <w:shd w:val="clear" w:color="auto" w:fill="auto"/>
            <w:noWrap/>
            <w:vAlign w:val="center"/>
            <w:hideMark/>
          </w:tcPr>
          <w:p w14:paraId="5A265045" w14:textId="3AD5FC3B"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112,1 %</w:t>
            </w:r>
          </w:p>
        </w:tc>
      </w:tr>
      <w:tr w:rsidR="00B64E96" w:rsidRPr="00730B1E" w14:paraId="08B7AED4" w14:textId="77777777" w:rsidTr="00F45913">
        <w:trPr>
          <w:trHeight w:val="330"/>
        </w:trPr>
        <w:tc>
          <w:tcPr>
            <w:tcW w:w="1843" w:type="dxa"/>
            <w:tcBorders>
              <w:top w:val="nil"/>
              <w:left w:val="nil"/>
              <w:bottom w:val="double" w:sz="6" w:space="0" w:color="auto"/>
              <w:right w:val="nil"/>
            </w:tcBorders>
            <w:shd w:val="clear" w:color="auto" w:fill="auto"/>
            <w:noWrap/>
            <w:vAlign w:val="bottom"/>
            <w:hideMark/>
          </w:tcPr>
          <w:p w14:paraId="27731857" w14:textId="77777777" w:rsidR="002E24F2" w:rsidRPr="00730B1E" w:rsidRDefault="002E24F2" w:rsidP="002E24F2">
            <w:pPr>
              <w:spacing w:line="240" w:lineRule="auto"/>
              <w:jc w:val="left"/>
              <w:rPr>
                <w:rFonts w:eastAsia="Times New Roman"/>
                <w:szCs w:val="24"/>
                <w:lang w:eastAsia="cs-CZ"/>
              </w:rPr>
            </w:pPr>
            <w:r w:rsidRPr="00730B1E">
              <w:rPr>
                <w:rFonts w:eastAsia="Times New Roman"/>
                <w:szCs w:val="24"/>
                <w:lang w:eastAsia="cs-CZ"/>
              </w:rPr>
              <w:t>KS Ostrava</w:t>
            </w:r>
          </w:p>
        </w:tc>
        <w:tc>
          <w:tcPr>
            <w:tcW w:w="970" w:type="dxa"/>
            <w:tcBorders>
              <w:top w:val="nil"/>
              <w:left w:val="nil"/>
              <w:bottom w:val="double" w:sz="6" w:space="0" w:color="auto"/>
              <w:right w:val="nil"/>
            </w:tcBorders>
            <w:shd w:val="clear" w:color="auto" w:fill="auto"/>
            <w:noWrap/>
            <w:vAlign w:val="bottom"/>
            <w:hideMark/>
          </w:tcPr>
          <w:p w14:paraId="057983FF"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948</w:t>
            </w:r>
          </w:p>
        </w:tc>
        <w:tc>
          <w:tcPr>
            <w:tcW w:w="1016" w:type="dxa"/>
            <w:tcBorders>
              <w:top w:val="nil"/>
              <w:left w:val="nil"/>
              <w:bottom w:val="double" w:sz="6" w:space="0" w:color="auto"/>
              <w:right w:val="nil"/>
            </w:tcBorders>
            <w:shd w:val="clear" w:color="auto" w:fill="auto"/>
            <w:noWrap/>
            <w:vAlign w:val="center"/>
            <w:hideMark/>
          </w:tcPr>
          <w:p w14:paraId="21C97E91"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969" w:type="dxa"/>
            <w:tcBorders>
              <w:top w:val="nil"/>
              <w:left w:val="single" w:sz="4" w:space="0" w:color="auto"/>
              <w:bottom w:val="double" w:sz="6" w:space="0" w:color="auto"/>
              <w:right w:val="nil"/>
            </w:tcBorders>
            <w:shd w:val="clear" w:color="auto" w:fill="auto"/>
            <w:noWrap/>
            <w:vAlign w:val="bottom"/>
            <w:hideMark/>
          </w:tcPr>
          <w:p w14:paraId="4A094B9B"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985</w:t>
            </w:r>
          </w:p>
        </w:tc>
        <w:tc>
          <w:tcPr>
            <w:tcW w:w="888" w:type="dxa"/>
            <w:tcBorders>
              <w:top w:val="nil"/>
              <w:left w:val="nil"/>
              <w:bottom w:val="double" w:sz="6" w:space="0" w:color="auto"/>
              <w:right w:val="single" w:sz="4" w:space="0" w:color="auto"/>
            </w:tcBorders>
            <w:shd w:val="clear" w:color="auto" w:fill="auto"/>
            <w:noWrap/>
            <w:vAlign w:val="center"/>
            <w:hideMark/>
          </w:tcPr>
          <w:p w14:paraId="61A6455C"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69" w:type="dxa"/>
            <w:tcBorders>
              <w:top w:val="nil"/>
              <w:left w:val="nil"/>
              <w:bottom w:val="double" w:sz="6" w:space="0" w:color="auto"/>
              <w:right w:val="nil"/>
            </w:tcBorders>
            <w:shd w:val="clear" w:color="auto" w:fill="auto"/>
            <w:noWrap/>
            <w:vAlign w:val="bottom"/>
            <w:hideMark/>
          </w:tcPr>
          <w:p w14:paraId="42BFC246" w14:textId="77777777"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642</w:t>
            </w:r>
          </w:p>
        </w:tc>
        <w:tc>
          <w:tcPr>
            <w:tcW w:w="888" w:type="dxa"/>
            <w:tcBorders>
              <w:top w:val="nil"/>
              <w:left w:val="nil"/>
              <w:bottom w:val="double" w:sz="6" w:space="0" w:color="auto"/>
              <w:right w:val="single" w:sz="4" w:space="0" w:color="auto"/>
            </w:tcBorders>
            <w:shd w:val="clear" w:color="auto" w:fill="auto"/>
            <w:noWrap/>
            <w:vAlign w:val="center"/>
            <w:hideMark/>
          </w:tcPr>
          <w:p w14:paraId="518CC7D4" w14:textId="77777777" w:rsidR="002E24F2" w:rsidRPr="00730B1E" w:rsidRDefault="002E24F2" w:rsidP="002E24F2">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540" w:type="dxa"/>
            <w:tcBorders>
              <w:top w:val="nil"/>
              <w:left w:val="nil"/>
              <w:bottom w:val="nil"/>
              <w:right w:val="nil"/>
            </w:tcBorders>
            <w:shd w:val="clear" w:color="auto" w:fill="auto"/>
            <w:noWrap/>
            <w:vAlign w:val="center"/>
            <w:hideMark/>
          </w:tcPr>
          <w:p w14:paraId="20DAE609" w14:textId="595C2E79" w:rsidR="002E24F2" w:rsidRPr="00730B1E" w:rsidRDefault="002E24F2" w:rsidP="002E24F2">
            <w:pPr>
              <w:spacing w:line="240" w:lineRule="auto"/>
              <w:jc w:val="center"/>
              <w:rPr>
                <w:rFonts w:eastAsia="Times New Roman"/>
                <w:szCs w:val="24"/>
                <w:lang w:eastAsia="cs-CZ"/>
              </w:rPr>
            </w:pPr>
            <w:r w:rsidRPr="00730B1E">
              <w:rPr>
                <w:rFonts w:eastAsia="Times New Roman"/>
                <w:szCs w:val="24"/>
                <w:lang w:eastAsia="cs-CZ"/>
              </w:rPr>
              <w:t>103,9 %</w:t>
            </w:r>
          </w:p>
        </w:tc>
      </w:tr>
      <w:tr w:rsidR="00B64E96" w:rsidRPr="00730B1E" w14:paraId="3A355B59" w14:textId="77777777" w:rsidTr="00F45913">
        <w:trPr>
          <w:trHeight w:val="345"/>
        </w:trPr>
        <w:tc>
          <w:tcPr>
            <w:tcW w:w="1843" w:type="dxa"/>
            <w:tcBorders>
              <w:top w:val="nil"/>
              <w:left w:val="nil"/>
              <w:bottom w:val="double" w:sz="6" w:space="0" w:color="auto"/>
              <w:right w:val="nil"/>
            </w:tcBorders>
            <w:shd w:val="clear" w:color="auto" w:fill="auto"/>
            <w:noWrap/>
            <w:vAlign w:val="bottom"/>
            <w:hideMark/>
          </w:tcPr>
          <w:p w14:paraId="09BAC067" w14:textId="77777777" w:rsidR="002E24F2" w:rsidRPr="00730B1E" w:rsidRDefault="002E24F2" w:rsidP="002E24F2">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970" w:type="dxa"/>
            <w:tcBorders>
              <w:top w:val="nil"/>
              <w:left w:val="nil"/>
              <w:bottom w:val="double" w:sz="6" w:space="0" w:color="auto"/>
              <w:right w:val="nil"/>
            </w:tcBorders>
            <w:shd w:val="clear" w:color="auto" w:fill="auto"/>
            <w:noWrap/>
            <w:vAlign w:val="bottom"/>
            <w:hideMark/>
          </w:tcPr>
          <w:p w14:paraId="5C73EA89" w14:textId="77777777"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7 986</w:t>
            </w:r>
          </w:p>
        </w:tc>
        <w:tc>
          <w:tcPr>
            <w:tcW w:w="1016" w:type="dxa"/>
            <w:tcBorders>
              <w:top w:val="nil"/>
              <w:left w:val="nil"/>
              <w:bottom w:val="double" w:sz="6" w:space="0" w:color="auto"/>
              <w:right w:val="nil"/>
            </w:tcBorders>
            <w:shd w:val="clear" w:color="auto" w:fill="auto"/>
            <w:noWrap/>
            <w:vAlign w:val="center"/>
            <w:hideMark/>
          </w:tcPr>
          <w:p w14:paraId="65F96FAC" w14:textId="77777777" w:rsidR="002E24F2" w:rsidRPr="00730B1E" w:rsidRDefault="002E24F2" w:rsidP="002E24F2">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+4 %  </w:t>
            </w:r>
          </w:p>
        </w:tc>
        <w:tc>
          <w:tcPr>
            <w:tcW w:w="969" w:type="dxa"/>
            <w:tcBorders>
              <w:top w:val="nil"/>
              <w:left w:val="single" w:sz="4" w:space="0" w:color="auto"/>
              <w:bottom w:val="double" w:sz="6" w:space="0" w:color="auto"/>
              <w:right w:val="nil"/>
            </w:tcBorders>
            <w:shd w:val="clear" w:color="auto" w:fill="auto"/>
            <w:noWrap/>
            <w:vAlign w:val="bottom"/>
            <w:hideMark/>
          </w:tcPr>
          <w:p w14:paraId="2D3DF486" w14:textId="77777777"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8 848</w:t>
            </w:r>
          </w:p>
        </w:tc>
        <w:tc>
          <w:tcPr>
            <w:tcW w:w="888" w:type="dxa"/>
            <w:tcBorders>
              <w:top w:val="nil"/>
              <w:left w:val="nil"/>
              <w:bottom w:val="double" w:sz="6" w:space="0" w:color="auto"/>
              <w:right w:val="single" w:sz="4" w:space="0" w:color="auto"/>
            </w:tcBorders>
            <w:shd w:val="clear" w:color="auto" w:fill="auto"/>
            <w:noWrap/>
            <w:vAlign w:val="center"/>
            <w:hideMark/>
          </w:tcPr>
          <w:p w14:paraId="3CDA86C1" w14:textId="77777777" w:rsidR="002E24F2" w:rsidRPr="00730B1E" w:rsidRDefault="002E24F2" w:rsidP="002E24F2">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-9 %  </w:t>
            </w:r>
          </w:p>
        </w:tc>
        <w:tc>
          <w:tcPr>
            <w:tcW w:w="969" w:type="dxa"/>
            <w:tcBorders>
              <w:top w:val="nil"/>
              <w:left w:val="nil"/>
              <w:bottom w:val="double" w:sz="6" w:space="0" w:color="auto"/>
              <w:right w:val="nil"/>
            </w:tcBorders>
            <w:shd w:val="clear" w:color="auto" w:fill="auto"/>
            <w:noWrap/>
            <w:vAlign w:val="bottom"/>
            <w:hideMark/>
          </w:tcPr>
          <w:p w14:paraId="26707E4B" w14:textId="77777777"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5 132</w:t>
            </w:r>
          </w:p>
        </w:tc>
        <w:tc>
          <w:tcPr>
            <w:tcW w:w="888" w:type="dxa"/>
            <w:tcBorders>
              <w:top w:val="nil"/>
              <w:left w:val="nil"/>
              <w:bottom w:val="double" w:sz="6" w:space="0" w:color="auto"/>
              <w:right w:val="single" w:sz="4" w:space="0" w:color="auto"/>
            </w:tcBorders>
            <w:shd w:val="clear" w:color="auto" w:fill="auto"/>
            <w:noWrap/>
            <w:vAlign w:val="center"/>
            <w:hideMark/>
          </w:tcPr>
          <w:p w14:paraId="44A9D777" w14:textId="77777777" w:rsidR="002E24F2" w:rsidRPr="00730B1E" w:rsidRDefault="002E24F2" w:rsidP="002E24F2">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-14 %  </w:t>
            </w:r>
          </w:p>
        </w:tc>
        <w:tc>
          <w:tcPr>
            <w:tcW w:w="1540" w:type="dxa"/>
            <w:tcBorders>
              <w:top w:val="double" w:sz="6" w:space="0" w:color="auto"/>
              <w:left w:val="nil"/>
              <w:bottom w:val="double" w:sz="6" w:space="0" w:color="auto"/>
              <w:right w:val="nil"/>
            </w:tcBorders>
            <w:shd w:val="clear" w:color="auto" w:fill="auto"/>
            <w:noWrap/>
            <w:vAlign w:val="center"/>
            <w:hideMark/>
          </w:tcPr>
          <w:p w14:paraId="42BBD05D" w14:textId="1B4EEAE4" w:rsidR="002E24F2" w:rsidRPr="00730B1E" w:rsidRDefault="002E24F2" w:rsidP="002E24F2">
            <w:pPr>
              <w:spacing w:line="240" w:lineRule="auto"/>
              <w:jc w:val="center"/>
              <w:rPr>
                <w:rFonts w:eastAsia="Times New Roman"/>
                <w:b/>
                <w:bCs/>
                <w:szCs w:val="24"/>
                <w:lang w:eastAsia="cs-CZ"/>
              </w:rPr>
            </w:pPr>
            <w:r w:rsidRPr="00730B1E">
              <w:rPr>
                <w:rFonts w:eastAsia="Times New Roman"/>
                <w:b/>
                <w:bCs/>
                <w:szCs w:val="24"/>
                <w:lang w:eastAsia="cs-CZ"/>
              </w:rPr>
              <w:t>110,8 %</w:t>
            </w:r>
          </w:p>
        </w:tc>
      </w:tr>
      <w:tr w:rsidR="00B64E96" w:rsidRPr="00730B1E" w14:paraId="320176BD" w14:textId="77777777" w:rsidTr="00F45913">
        <w:trPr>
          <w:trHeight w:val="330"/>
        </w:trPr>
        <w:tc>
          <w:tcPr>
            <w:tcW w:w="1843" w:type="dxa"/>
            <w:tcBorders>
              <w:top w:val="nil"/>
              <w:left w:val="nil"/>
              <w:bottom w:val="nil"/>
              <w:right w:val="nil"/>
            </w:tcBorders>
            <w:shd w:val="clear" w:color="auto" w:fill="auto"/>
            <w:noWrap/>
            <w:vAlign w:val="bottom"/>
            <w:hideMark/>
          </w:tcPr>
          <w:p w14:paraId="2BFE3DD3" w14:textId="77777777" w:rsidR="002E24F2" w:rsidRPr="00730B1E" w:rsidRDefault="002E24F2" w:rsidP="002E24F2">
            <w:pPr>
              <w:spacing w:line="240" w:lineRule="auto"/>
              <w:jc w:val="center"/>
              <w:rPr>
                <w:rFonts w:eastAsia="Times New Roman"/>
                <w:b/>
                <w:bCs/>
                <w:szCs w:val="24"/>
                <w:lang w:eastAsia="cs-CZ"/>
              </w:rPr>
            </w:pPr>
          </w:p>
        </w:tc>
        <w:tc>
          <w:tcPr>
            <w:tcW w:w="970" w:type="dxa"/>
            <w:tcBorders>
              <w:top w:val="nil"/>
              <w:left w:val="nil"/>
              <w:bottom w:val="nil"/>
              <w:right w:val="nil"/>
            </w:tcBorders>
            <w:shd w:val="clear" w:color="auto" w:fill="auto"/>
            <w:noWrap/>
            <w:vAlign w:val="bottom"/>
            <w:hideMark/>
          </w:tcPr>
          <w:p w14:paraId="53968EFC" w14:textId="77777777" w:rsidR="002E24F2" w:rsidRPr="00DF07F3" w:rsidRDefault="002E24F2" w:rsidP="002E24F2">
            <w:pPr>
              <w:spacing w:line="240" w:lineRule="auto"/>
              <w:jc w:val="left"/>
              <w:rPr>
                <w:sz w:val="20"/>
              </w:rPr>
            </w:pPr>
          </w:p>
        </w:tc>
        <w:tc>
          <w:tcPr>
            <w:tcW w:w="1016" w:type="dxa"/>
            <w:tcBorders>
              <w:top w:val="nil"/>
              <w:left w:val="nil"/>
              <w:bottom w:val="nil"/>
              <w:right w:val="nil"/>
            </w:tcBorders>
            <w:shd w:val="clear" w:color="auto" w:fill="auto"/>
            <w:noWrap/>
            <w:vAlign w:val="bottom"/>
            <w:hideMark/>
          </w:tcPr>
          <w:p w14:paraId="51F83063" w14:textId="77777777" w:rsidR="002E24F2" w:rsidRPr="00DF07F3" w:rsidRDefault="002E24F2" w:rsidP="002E24F2">
            <w:pPr>
              <w:spacing w:line="240" w:lineRule="auto"/>
              <w:jc w:val="left"/>
              <w:rPr>
                <w:sz w:val="20"/>
              </w:rPr>
            </w:pPr>
          </w:p>
        </w:tc>
        <w:tc>
          <w:tcPr>
            <w:tcW w:w="969" w:type="dxa"/>
            <w:tcBorders>
              <w:top w:val="nil"/>
              <w:left w:val="nil"/>
              <w:bottom w:val="nil"/>
              <w:right w:val="nil"/>
            </w:tcBorders>
            <w:shd w:val="clear" w:color="auto" w:fill="auto"/>
            <w:noWrap/>
            <w:vAlign w:val="bottom"/>
            <w:hideMark/>
          </w:tcPr>
          <w:p w14:paraId="396533CF" w14:textId="77777777" w:rsidR="002E24F2" w:rsidRPr="00DF07F3" w:rsidRDefault="002E24F2" w:rsidP="002E24F2">
            <w:pPr>
              <w:spacing w:line="240" w:lineRule="auto"/>
              <w:jc w:val="left"/>
              <w:rPr>
                <w:sz w:val="20"/>
              </w:rPr>
            </w:pPr>
          </w:p>
        </w:tc>
        <w:tc>
          <w:tcPr>
            <w:tcW w:w="888" w:type="dxa"/>
            <w:tcBorders>
              <w:top w:val="nil"/>
              <w:left w:val="nil"/>
              <w:bottom w:val="nil"/>
              <w:right w:val="nil"/>
            </w:tcBorders>
            <w:shd w:val="clear" w:color="auto" w:fill="auto"/>
            <w:noWrap/>
            <w:vAlign w:val="bottom"/>
            <w:hideMark/>
          </w:tcPr>
          <w:p w14:paraId="7A8170F9" w14:textId="77777777" w:rsidR="002E24F2" w:rsidRPr="00DF07F3" w:rsidRDefault="002E24F2" w:rsidP="002E24F2">
            <w:pPr>
              <w:spacing w:line="240" w:lineRule="auto"/>
              <w:jc w:val="left"/>
              <w:rPr>
                <w:sz w:val="20"/>
              </w:rPr>
            </w:pPr>
          </w:p>
        </w:tc>
        <w:tc>
          <w:tcPr>
            <w:tcW w:w="969" w:type="dxa"/>
            <w:tcBorders>
              <w:top w:val="nil"/>
              <w:left w:val="nil"/>
              <w:bottom w:val="nil"/>
              <w:right w:val="nil"/>
            </w:tcBorders>
            <w:shd w:val="clear" w:color="auto" w:fill="auto"/>
            <w:noWrap/>
            <w:vAlign w:val="bottom"/>
            <w:hideMark/>
          </w:tcPr>
          <w:p w14:paraId="52D80C6C" w14:textId="77777777" w:rsidR="002E24F2" w:rsidRPr="00DF07F3" w:rsidRDefault="002E24F2" w:rsidP="002E24F2">
            <w:pPr>
              <w:spacing w:line="240" w:lineRule="auto"/>
              <w:jc w:val="left"/>
              <w:rPr>
                <w:sz w:val="20"/>
              </w:rPr>
            </w:pPr>
          </w:p>
        </w:tc>
        <w:tc>
          <w:tcPr>
            <w:tcW w:w="888" w:type="dxa"/>
            <w:tcBorders>
              <w:top w:val="nil"/>
              <w:left w:val="nil"/>
              <w:bottom w:val="nil"/>
              <w:right w:val="nil"/>
            </w:tcBorders>
            <w:shd w:val="clear" w:color="auto" w:fill="auto"/>
            <w:noWrap/>
            <w:vAlign w:val="bottom"/>
            <w:hideMark/>
          </w:tcPr>
          <w:p w14:paraId="456170C3" w14:textId="77777777" w:rsidR="002E24F2" w:rsidRPr="00DF07F3" w:rsidRDefault="002E24F2" w:rsidP="002E24F2">
            <w:pPr>
              <w:spacing w:line="240" w:lineRule="auto"/>
              <w:jc w:val="left"/>
              <w:rPr>
                <w:sz w:val="20"/>
              </w:rPr>
            </w:pPr>
          </w:p>
        </w:tc>
        <w:tc>
          <w:tcPr>
            <w:tcW w:w="1540" w:type="dxa"/>
            <w:tcBorders>
              <w:top w:val="nil"/>
              <w:left w:val="nil"/>
              <w:bottom w:val="nil"/>
              <w:right w:val="nil"/>
            </w:tcBorders>
            <w:shd w:val="clear" w:color="auto" w:fill="auto"/>
            <w:noWrap/>
            <w:vAlign w:val="bottom"/>
            <w:hideMark/>
          </w:tcPr>
          <w:p w14:paraId="462FC766" w14:textId="77777777" w:rsidR="002E24F2" w:rsidRPr="00DF07F3" w:rsidRDefault="002E24F2" w:rsidP="002E24F2">
            <w:pPr>
              <w:spacing w:line="240" w:lineRule="auto"/>
              <w:jc w:val="left"/>
              <w:rPr>
                <w:sz w:val="20"/>
              </w:rPr>
            </w:pPr>
          </w:p>
        </w:tc>
      </w:tr>
    </w:tbl>
    <w:p w14:paraId="33F85148" w14:textId="3F7F4A06" w:rsidR="002E24F2" w:rsidRPr="00730B1E" w:rsidRDefault="002E24F2" w:rsidP="002E24F2">
      <w:pPr>
        <w:pStyle w:val="OdstavecASR"/>
        <w:shd w:val="clear" w:color="auto" w:fill="FFFFFF" w:themeFill="background1"/>
      </w:pPr>
      <w:r w:rsidRPr="00730B1E">
        <w:t>Všechny krajské soudy dokázaly v roce 2022 vyřídit významně více věcí, než napadlo či obživlo. Nejnižší měl KS v Ústí nad Labem – 100,8 % a nejvyšší měl MS Praha – 119,2 %.</w:t>
      </w:r>
    </w:p>
    <w:p w14:paraId="04CBE3BC" w14:textId="77777777" w:rsidR="002E24F2" w:rsidRPr="00730B1E" w:rsidRDefault="002E24F2" w:rsidP="002E24F2">
      <w:pPr>
        <w:pStyle w:val="OdstavecASR"/>
        <w:shd w:val="clear" w:color="auto" w:fill="FFFFFF" w:themeFill="background1"/>
      </w:pPr>
      <w:r w:rsidRPr="00730B1E">
        <w:t>Data v této podkapitole nejsou nijak normalizována, takže nelze činit závěry o celkové zatíženosti jednotlivých soudů. K tomu slouží ostatní podkapitoly.</w:t>
      </w:r>
    </w:p>
    <w:p w14:paraId="4E998E93" w14:textId="1D431134" w:rsidR="0067716E" w:rsidRPr="00730B1E" w:rsidRDefault="0067716E" w:rsidP="0067716E">
      <w:pPr>
        <w:pStyle w:val="Podnadpis"/>
        <w:rPr>
          <w:color w:val="auto"/>
        </w:rPr>
      </w:pPr>
      <w:bookmarkStart w:id="1142" w:name="_Toc515871492"/>
      <w:bookmarkStart w:id="1143" w:name="_Toc11133259"/>
      <w:bookmarkStart w:id="1144" w:name="_Toc43931238"/>
      <w:bookmarkStart w:id="1145" w:name="_Toc75952371"/>
      <w:bookmarkStart w:id="1146" w:name="_Toc106106826"/>
      <w:bookmarkStart w:id="1147" w:name="_Toc109802149"/>
      <w:bookmarkStart w:id="1148" w:name="_Toc144104308"/>
      <w:bookmarkStart w:id="1149" w:name="_Toc169250998"/>
      <w:bookmarkStart w:id="1150" w:name="_Toc174080684"/>
      <w:bookmarkStart w:id="1151" w:name="_Hlk9902222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79</w:t>
      </w:r>
      <w:r w:rsidRPr="00730B1E">
        <w:rPr>
          <w:color w:val="auto"/>
        </w:rPr>
        <w:fldChar w:fldCharType="end"/>
      </w:r>
      <w:r w:rsidRPr="00730B1E">
        <w:rPr>
          <w:color w:val="auto"/>
        </w:rPr>
        <w:t>: KS – podíl nevyříz</w:t>
      </w:r>
      <w:r w:rsidR="00F45913" w:rsidRPr="00730B1E">
        <w:rPr>
          <w:color w:val="auto"/>
        </w:rPr>
        <w:t>.</w:t>
      </w:r>
      <w:r w:rsidRPr="00730B1E">
        <w:rPr>
          <w:color w:val="auto"/>
        </w:rPr>
        <w:t xml:space="preserve"> věcí druhů agendy správního soudnictví</w:t>
      </w:r>
      <w:bookmarkEnd w:id="1142"/>
      <w:bookmarkEnd w:id="1143"/>
      <w:bookmarkEnd w:id="1144"/>
      <w:bookmarkEnd w:id="1145"/>
      <w:bookmarkEnd w:id="1146"/>
      <w:bookmarkEnd w:id="1147"/>
      <w:bookmarkEnd w:id="1148"/>
      <w:r w:rsidR="00F45913" w:rsidRPr="00730B1E">
        <w:rPr>
          <w:color w:val="auto"/>
        </w:rPr>
        <w:t>, 2023</w:t>
      </w:r>
      <w:bookmarkEnd w:id="1149"/>
      <w:bookmarkEnd w:id="1150"/>
    </w:p>
    <w:bookmarkEnd w:id="1151"/>
    <w:p w14:paraId="742E9B8A" w14:textId="1F80AB97" w:rsidR="0067716E" w:rsidRPr="00730B1E" w:rsidRDefault="0067716E" w:rsidP="009C5C19">
      <w:pPr>
        <w:pStyle w:val="OdstavecASR"/>
      </w:pPr>
      <w:r w:rsidRPr="00730B1E">
        <w:rPr>
          <w:noProof/>
          <w:lang w:eastAsia="cs-CZ"/>
        </w:rPr>
        <w:drawing>
          <wp:inline distT="0" distB="0" distL="0" distR="0" wp14:anchorId="5616E7C9" wp14:editId="3651B57B">
            <wp:extent cx="5029200" cy="3657600"/>
            <wp:effectExtent l="0" t="0" r="0"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6438338" w14:textId="0B1F0453" w:rsidR="0067716E" w:rsidRPr="00730B1E" w:rsidRDefault="0067716E">
      <w:pPr>
        <w:spacing w:after="160" w:line="259" w:lineRule="auto"/>
        <w:jc w:val="left"/>
      </w:pPr>
    </w:p>
    <w:p w14:paraId="0DDA4F40" w14:textId="02D9FE57" w:rsidR="0067716E" w:rsidRPr="00730B1E" w:rsidRDefault="0067716E" w:rsidP="0067716E">
      <w:pPr>
        <w:pStyle w:val="OdstavecASR"/>
      </w:pPr>
      <w:r w:rsidRPr="00730B1E">
        <w:t xml:space="preserve">Graf výše ukazuje složení nevyřízených věcí ve správním soudnictví k 31. 12. 2023. Za nejobtížnější bývá obecně považována agenda Af. Byť je toto tvrzení nutno brát s rezervou, zejména vzhledem k vysoké variabilitě skladby „zbytkové“ všeobecné agendy A, potvrzuje jej fakt, </w:t>
      </w:r>
      <w:r w:rsidRPr="00730B1E">
        <w:lastRenderedPageBreak/>
        <w:t>že agenda Af tvoří výrazně větší část počtu nevyřízených věcí, než je její podíl na celkovém počtu ve věcech příchozích. U soudu tak zůstávají tyto věci v průměru nejdéle nevyřízené, což potvrzuje i délka řízení získaná z pravomocně skončených věcí.</w:t>
      </w:r>
    </w:p>
    <w:p w14:paraId="08EAD17E" w14:textId="2833652D" w:rsidR="008430BD" w:rsidRPr="00730B1E" w:rsidRDefault="008430BD" w:rsidP="008430BD">
      <w:pPr>
        <w:pStyle w:val="Nadpis3"/>
        <w:numPr>
          <w:ilvl w:val="2"/>
          <w:numId w:val="1"/>
        </w:numPr>
        <w:rPr>
          <w:color w:val="auto"/>
        </w:rPr>
      </w:pPr>
      <w:bookmarkStart w:id="1152" w:name="_Toc515871269"/>
      <w:bookmarkStart w:id="1153" w:name="_Toc106092777"/>
      <w:bookmarkStart w:id="1154" w:name="_Toc169250853"/>
      <w:bookmarkStart w:id="1155" w:name="_Toc174080889"/>
      <w:r w:rsidRPr="00730B1E">
        <w:rPr>
          <w:color w:val="auto"/>
        </w:rPr>
        <w:t>Vyřizování věcí v přepočtu na soudce</w:t>
      </w:r>
      <w:bookmarkEnd w:id="1152"/>
      <w:bookmarkEnd w:id="1153"/>
      <w:bookmarkEnd w:id="1154"/>
      <w:bookmarkEnd w:id="1155"/>
    </w:p>
    <w:p w14:paraId="12E6CB80" w14:textId="0122E003" w:rsidR="0067716E" w:rsidRPr="00730B1E" w:rsidRDefault="0067716E" w:rsidP="0067716E">
      <w:pPr>
        <w:pStyle w:val="OdstavecASR"/>
      </w:pPr>
      <w:r w:rsidRPr="00730B1E">
        <w:t>V tabulce uvádíme údaje založené na počtu soudců (úvazků) k 1. 1. 202</w:t>
      </w:r>
      <w:r w:rsidR="008432BE" w:rsidRPr="00730B1E">
        <w:t>3</w:t>
      </w:r>
      <w:r w:rsidRPr="00730B1E">
        <w:t>. Údaje o nápadu, obživě a vyřízených věcech jsou za rok 202</w:t>
      </w:r>
      <w:r w:rsidR="008432BE" w:rsidRPr="00730B1E">
        <w:t>3</w:t>
      </w:r>
      <w:r w:rsidRPr="00730B1E">
        <w:t>. Data o počtu nevyřízených věcí jsou k 31. 12. 202</w:t>
      </w:r>
      <w:r w:rsidR="00E4127E" w:rsidRPr="00730B1E">
        <w:t>3</w:t>
      </w:r>
      <w:r w:rsidRPr="00730B1E">
        <w:t>.</w:t>
      </w:r>
    </w:p>
    <w:p w14:paraId="3B19B954" w14:textId="62747A15" w:rsidR="0067716E" w:rsidRPr="00730B1E" w:rsidRDefault="008432BE" w:rsidP="0067716E">
      <w:pPr>
        <w:pStyle w:val="OdstavecASR"/>
      </w:pPr>
      <w:r w:rsidRPr="00730B1E">
        <w:t>V roce 2020</w:t>
      </w:r>
      <w:r w:rsidR="0067716E" w:rsidRPr="00730B1E">
        <w:t xml:space="preserve"> byl počet soudců 98, v roce 202</w:t>
      </w:r>
      <w:r w:rsidRPr="00730B1E">
        <w:t>1</w:t>
      </w:r>
      <w:r w:rsidR="0067716E" w:rsidRPr="00730B1E">
        <w:t xml:space="preserve"> činil 113 a v letech 202</w:t>
      </w:r>
      <w:r w:rsidRPr="00730B1E">
        <w:t>2</w:t>
      </w:r>
      <w:r w:rsidR="0067716E" w:rsidRPr="00730B1E">
        <w:t xml:space="preserve"> a 202</w:t>
      </w:r>
      <w:r w:rsidRPr="00730B1E">
        <w:t>3</w:t>
      </w:r>
      <w:r w:rsidR="0067716E" w:rsidRPr="00730B1E">
        <w:t xml:space="preserve"> činil 118. To je nárůst celkem o 20 soudců (20 %). To spolu s poklesem v nápadu soudům umožnilo vyřídit mnohem více věcí, než jich na soudy přišlo.</w:t>
      </w:r>
    </w:p>
    <w:p w14:paraId="266E3D07" w14:textId="7460C3B2" w:rsidR="008432BE" w:rsidRPr="00730B1E" w:rsidRDefault="008432BE" w:rsidP="008432BE">
      <w:pPr>
        <w:pStyle w:val="Podnadpis"/>
        <w:rPr>
          <w:color w:val="auto"/>
        </w:rPr>
      </w:pPr>
      <w:bookmarkStart w:id="1156" w:name="_Toc75952372"/>
      <w:bookmarkStart w:id="1157" w:name="_Toc106106827"/>
      <w:bookmarkStart w:id="1158" w:name="_Toc109802150"/>
      <w:bookmarkStart w:id="1159" w:name="_Toc144104309"/>
      <w:bookmarkStart w:id="1160" w:name="_Toc169251123"/>
      <w:bookmarkStart w:id="1161" w:name="_Toc174080809"/>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66</w:t>
      </w:r>
      <w:r w:rsidRPr="00730B1E">
        <w:rPr>
          <w:noProof/>
          <w:color w:val="auto"/>
        </w:rPr>
        <w:fldChar w:fldCharType="end"/>
      </w:r>
      <w:r w:rsidRPr="00730B1E">
        <w:rPr>
          <w:color w:val="auto"/>
        </w:rPr>
        <w:t>: KS – vyřiz</w:t>
      </w:r>
      <w:r w:rsidR="00606356" w:rsidRPr="00730B1E">
        <w:rPr>
          <w:color w:val="auto"/>
        </w:rPr>
        <w:t>.</w:t>
      </w:r>
      <w:r w:rsidRPr="00730B1E">
        <w:rPr>
          <w:color w:val="auto"/>
        </w:rPr>
        <w:t xml:space="preserve"> správních věcí na skutečný úvazek dle soudů</w:t>
      </w:r>
      <w:bookmarkEnd w:id="1156"/>
      <w:bookmarkEnd w:id="1157"/>
      <w:bookmarkEnd w:id="1158"/>
      <w:bookmarkEnd w:id="1159"/>
      <w:r w:rsidR="00606356" w:rsidRPr="00730B1E">
        <w:rPr>
          <w:color w:val="auto"/>
        </w:rPr>
        <w:t>, 2023</w:t>
      </w:r>
      <w:bookmarkEnd w:id="1160"/>
      <w:bookmarkEnd w:id="1161"/>
    </w:p>
    <w:tbl>
      <w:tblPr>
        <w:tblW w:w="9165" w:type="dxa"/>
        <w:tblCellMar>
          <w:left w:w="70" w:type="dxa"/>
          <w:right w:w="70" w:type="dxa"/>
        </w:tblCellMar>
        <w:tblLook w:val="04A0" w:firstRow="1" w:lastRow="0" w:firstColumn="1" w:lastColumn="0" w:noHBand="0" w:noVBand="1"/>
      </w:tblPr>
      <w:tblGrid>
        <w:gridCol w:w="1985"/>
        <w:gridCol w:w="1060"/>
        <w:gridCol w:w="1044"/>
        <w:gridCol w:w="1088"/>
        <w:gridCol w:w="1043"/>
        <w:gridCol w:w="951"/>
        <w:gridCol w:w="1043"/>
        <w:gridCol w:w="951"/>
      </w:tblGrid>
      <w:tr w:rsidR="00B64E96" w:rsidRPr="00730B1E" w14:paraId="6CF8D205" w14:textId="77777777" w:rsidTr="00F45913">
        <w:trPr>
          <w:trHeight w:val="330"/>
        </w:trPr>
        <w:tc>
          <w:tcPr>
            <w:tcW w:w="1985" w:type="dxa"/>
            <w:vMerge w:val="restart"/>
            <w:tcBorders>
              <w:top w:val="double" w:sz="6" w:space="0" w:color="auto"/>
              <w:left w:val="nil"/>
              <w:bottom w:val="double" w:sz="6" w:space="0" w:color="000000"/>
              <w:right w:val="nil"/>
            </w:tcBorders>
            <w:shd w:val="clear" w:color="auto" w:fill="auto"/>
            <w:noWrap/>
            <w:vAlign w:val="center"/>
            <w:hideMark/>
          </w:tcPr>
          <w:p w14:paraId="6CE91F1E" w14:textId="6245A1B9" w:rsidR="008432BE" w:rsidRPr="00730B1E" w:rsidRDefault="001E2458" w:rsidP="008432BE">
            <w:pPr>
              <w:spacing w:line="240" w:lineRule="auto"/>
              <w:jc w:val="center"/>
              <w:rPr>
                <w:rFonts w:eastAsia="Times New Roman"/>
                <w:b/>
                <w:bCs/>
                <w:szCs w:val="24"/>
                <w:lang w:eastAsia="cs-CZ"/>
              </w:rPr>
            </w:pPr>
            <w:r w:rsidRPr="00730B1E">
              <w:rPr>
                <w:rFonts w:eastAsia="Times New Roman"/>
                <w:b/>
                <w:bCs/>
                <w:szCs w:val="24"/>
                <w:lang w:eastAsia="cs-CZ"/>
              </w:rPr>
              <w:t>S</w:t>
            </w:r>
            <w:r w:rsidR="008432BE" w:rsidRPr="00730B1E">
              <w:rPr>
                <w:rFonts w:eastAsia="Times New Roman"/>
                <w:b/>
                <w:bCs/>
                <w:szCs w:val="24"/>
                <w:lang w:eastAsia="cs-CZ"/>
              </w:rPr>
              <w:t>oud</w:t>
            </w:r>
          </w:p>
        </w:tc>
        <w:tc>
          <w:tcPr>
            <w:tcW w:w="1060" w:type="dxa"/>
            <w:vMerge w:val="restart"/>
            <w:tcBorders>
              <w:top w:val="double" w:sz="6" w:space="0" w:color="auto"/>
              <w:left w:val="nil"/>
              <w:bottom w:val="double" w:sz="6" w:space="0" w:color="000000"/>
              <w:right w:val="nil"/>
            </w:tcBorders>
            <w:shd w:val="clear" w:color="auto" w:fill="auto"/>
            <w:vAlign w:val="center"/>
            <w:hideMark/>
          </w:tcPr>
          <w:p w14:paraId="465BAE52" w14:textId="77777777"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6120" w:type="dxa"/>
            <w:gridSpan w:val="6"/>
            <w:tcBorders>
              <w:top w:val="double" w:sz="6" w:space="0" w:color="auto"/>
              <w:left w:val="nil"/>
              <w:bottom w:val="nil"/>
              <w:right w:val="nil"/>
            </w:tcBorders>
            <w:shd w:val="clear" w:color="auto" w:fill="auto"/>
            <w:noWrap/>
            <w:vAlign w:val="center"/>
            <w:hideMark/>
          </w:tcPr>
          <w:p w14:paraId="463B5356" w14:textId="77777777"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6C735097" w14:textId="77777777" w:rsidTr="00F45913">
        <w:trPr>
          <w:trHeight w:val="330"/>
        </w:trPr>
        <w:tc>
          <w:tcPr>
            <w:tcW w:w="1985" w:type="dxa"/>
            <w:vMerge/>
            <w:tcBorders>
              <w:top w:val="double" w:sz="6" w:space="0" w:color="auto"/>
              <w:left w:val="nil"/>
              <w:bottom w:val="double" w:sz="6" w:space="0" w:color="000000"/>
              <w:right w:val="nil"/>
            </w:tcBorders>
            <w:vAlign w:val="center"/>
            <w:hideMark/>
          </w:tcPr>
          <w:p w14:paraId="209E0A78" w14:textId="77777777" w:rsidR="008432BE" w:rsidRPr="00730B1E" w:rsidRDefault="008432BE" w:rsidP="008432BE">
            <w:pPr>
              <w:spacing w:line="240" w:lineRule="auto"/>
              <w:jc w:val="left"/>
              <w:rPr>
                <w:rFonts w:eastAsia="Times New Roman"/>
                <w:b/>
                <w:bCs/>
                <w:szCs w:val="24"/>
                <w:lang w:eastAsia="cs-CZ"/>
              </w:rPr>
            </w:pPr>
          </w:p>
        </w:tc>
        <w:tc>
          <w:tcPr>
            <w:tcW w:w="1060" w:type="dxa"/>
            <w:vMerge/>
            <w:tcBorders>
              <w:top w:val="double" w:sz="6" w:space="0" w:color="auto"/>
              <w:left w:val="nil"/>
              <w:bottom w:val="double" w:sz="6" w:space="0" w:color="000000"/>
              <w:right w:val="nil"/>
            </w:tcBorders>
            <w:vAlign w:val="center"/>
            <w:hideMark/>
          </w:tcPr>
          <w:p w14:paraId="6A0472C9" w14:textId="77777777" w:rsidR="008432BE" w:rsidRPr="00730B1E" w:rsidRDefault="008432BE" w:rsidP="008432BE">
            <w:pPr>
              <w:spacing w:line="240" w:lineRule="auto"/>
              <w:jc w:val="left"/>
              <w:rPr>
                <w:rFonts w:eastAsia="Times New Roman"/>
                <w:b/>
                <w:bCs/>
                <w:szCs w:val="24"/>
                <w:lang w:eastAsia="cs-CZ"/>
              </w:rPr>
            </w:pPr>
          </w:p>
        </w:tc>
        <w:tc>
          <w:tcPr>
            <w:tcW w:w="2132" w:type="dxa"/>
            <w:gridSpan w:val="2"/>
            <w:tcBorders>
              <w:top w:val="nil"/>
              <w:left w:val="nil"/>
              <w:bottom w:val="double" w:sz="6" w:space="0" w:color="auto"/>
              <w:right w:val="nil"/>
            </w:tcBorders>
            <w:shd w:val="clear" w:color="auto" w:fill="auto"/>
            <w:noWrap/>
            <w:vAlign w:val="center"/>
            <w:hideMark/>
          </w:tcPr>
          <w:p w14:paraId="47B47704" w14:textId="30D11BEC"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99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146A0CD" w14:textId="77777777"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994" w:type="dxa"/>
            <w:gridSpan w:val="2"/>
            <w:tcBorders>
              <w:top w:val="nil"/>
              <w:left w:val="nil"/>
              <w:bottom w:val="double" w:sz="6" w:space="0" w:color="auto"/>
              <w:right w:val="nil"/>
            </w:tcBorders>
            <w:shd w:val="clear" w:color="auto" w:fill="auto"/>
            <w:noWrap/>
            <w:vAlign w:val="center"/>
            <w:hideMark/>
          </w:tcPr>
          <w:p w14:paraId="3D93DC32" w14:textId="77777777"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453614C5" w14:textId="77777777" w:rsidTr="00F45913">
        <w:trPr>
          <w:trHeight w:val="330"/>
        </w:trPr>
        <w:tc>
          <w:tcPr>
            <w:tcW w:w="1985" w:type="dxa"/>
            <w:tcBorders>
              <w:top w:val="single" w:sz="4" w:space="0" w:color="auto"/>
              <w:left w:val="nil"/>
              <w:bottom w:val="single" w:sz="4" w:space="0" w:color="auto"/>
              <w:right w:val="nil"/>
            </w:tcBorders>
            <w:shd w:val="clear" w:color="auto" w:fill="auto"/>
            <w:noWrap/>
            <w:vAlign w:val="bottom"/>
            <w:hideMark/>
          </w:tcPr>
          <w:p w14:paraId="1EE79650" w14:textId="77777777" w:rsidR="008432BE" w:rsidRPr="00730B1E" w:rsidRDefault="008432BE" w:rsidP="008432BE">
            <w:pPr>
              <w:spacing w:line="240" w:lineRule="auto"/>
              <w:jc w:val="left"/>
              <w:rPr>
                <w:rFonts w:eastAsia="Times New Roman"/>
                <w:szCs w:val="24"/>
                <w:lang w:eastAsia="cs-CZ"/>
              </w:rPr>
            </w:pPr>
            <w:r w:rsidRPr="00730B1E">
              <w:rPr>
                <w:rFonts w:eastAsia="Times New Roman"/>
                <w:szCs w:val="24"/>
                <w:lang w:eastAsia="cs-CZ"/>
              </w:rPr>
              <w:t>MS Praha</w:t>
            </w:r>
          </w:p>
        </w:tc>
        <w:tc>
          <w:tcPr>
            <w:tcW w:w="1060" w:type="dxa"/>
            <w:tcBorders>
              <w:top w:val="single" w:sz="4" w:space="0" w:color="auto"/>
              <w:left w:val="nil"/>
              <w:bottom w:val="single" w:sz="4" w:space="0" w:color="auto"/>
              <w:right w:val="nil"/>
            </w:tcBorders>
            <w:shd w:val="clear" w:color="auto" w:fill="auto"/>
            <w:noWrap/>
            <w:vAlign w:val="bottom"/>
            <w:hideMark/>
          </w:tcPr>
          <w:p w14:paraId="357E2C71" w14:textId="77777777"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39</w:t>
            </w:r>
          </w:p>
        </w:tc>
        <w:tc>
          <w:tcPr>
            <w:tcW w:w="1044" w:type="dxa"/>
            <w:tcBorders>
              <w:top w:val="single" w:sz="4" w:space="0" w:color="auto"/>
              <w:left w:val="nil"/>
              <w:bottom w:val="single" w:sz="4" w:space="0" w:color="auto"/>
              <w:right w:val="nil"/>
            </w:tcBorders>
            <w:shd w:val="clear" w:color="auto" w:fill="auto"/>
            <w:noWrap/>
            <w:vAlign w:val="bottom"/>
            <w:hideMark/>
          </w:tcPr>
          <w:p w14:paraId="447BB96D" w14:textId="09ECCC91"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72,08</w:t>
            </w:r>
          </w:p>
        </w:tc>
        <w:tc>
          <w:tcPr>
            <w:tcW w:w="1088" w:type="dxa"/>
            <w:tcBorders>
              <w:top w:val="single" w:sz="4" w:space="0" w:color="auto"/>
              <w:left w:val="nil"/>
              <w:bottom w:val="single" w:sz="4" w:space="0" w:color="auto"/>
              <w:right w:val="nil"/>
            </w:tcBorders>
            <w:shd w:val="clear" w:color="auto" w:fill="auto"/>
            <w:noWrap/>
            <w:vAlign w:val="center"/>
            <w:hideMark/>
          </w:tcPr>
          <w:p w14:paraId="59856449"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c>
          <w:tcPr>
            <w:tcW w:w="1043" w:type="dxa"/>
            <w:tcBorders>
              <w:top w:val="nil"/>
              <w:left w:val="single" w:sz="4" w:space="0" w:color="auto"/>
              <w:bottom w:val="single" w:sz="4" w:space="0" w:color="auto"/>
              <w:right w:val="nil"/>
            </w:tcBorders>
            <w:shd w:val="clear" w:color="auto" w:fill="auto"/>
            <w:noWrap/>
            <w:vAlign w:val="bottom"/>
            <w:hideMark/>
          </w:tcPr>
          <w:p w14:paraId="6D652E9E" w14:textId="6698B302"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85,92</w:t>
            </w:r>
          </w:p>
        </w:tc>
        <w:tc>
          <w:tcPr>
            <w:tcW w:w="951" w:type="dxa"/>
            <w:tcBorders>
              <w:top w:val="nil"/>
              <w:left w:val="nil"/>
              <w:bottom w:val="single" w:sz="4" w:space="0" w:color="auto"/>
              <w:right w:val="single" w:sz="4" w:space="0" w:color="auto"/>
            </w:tcBorders>
            <w:shd w:val="clear" w:color="auto" w:fill="auto"/>
            <w:noWrap/>
            <w:vAlign w:val="center"/>
            <w:hideMark/>
          </w:tcPr>
          <w:p w14:paraId="5DBA4507"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043" w:type="dxa"/>
            <w:tcBorders>
              <w:top w:val="single" w:sz="4" w:space="0" w:color="auto"/>
              <w:left w:val="nil"/>
              <w:bottom w:val="single" w:sz="4" w:space="0" w:color="auto"/>
              <w:right w:val="nil"/>
            </w:tcBorders>
            <w:shd w:val="clear" w:color="auto" w:fill="auto"/>
            <w:noWrap/>
            <w:vAlign w:val="bottom"/>
            <w:hideMark/>
          </w:tcPr>
          <w:p w14:paraId="4DF71175" w14:textId="3BAF8D4B"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46,15</w:t>
            </w:r>
          </w:p>
        </w:tc>
        <w:tc>
          <w:tcPr>
            <w:tcW w:w="951" w:type="dxa"/>
            <w:tcBorders>
              <w:top w:val="single" w:sz="4" w:space="0" w:color="auto"/>
              <w:left w:val="nil"/>
              <w:bottom w:val="single" w:sz="4" w:space="0" w:color="auto"/>
              <w:right w:val="nil"/>
            </w:tcBorders>
            <w:shd w:val="clear" w:color="auto" w:fill="auto"/>
            <w:noWrap/>
            <w:vAlign w:val="center"/>
            <w:hideMark/>
          </w:tcPr>
          <w:p w14:paraId="1A658F45"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r>
      <w:tr w:rsidR="00B64E96" w:rsidRPr="00730B1E" w14:paraId="0534CABE" w14:textId="77777777" w:rsidTr="00F45913">
        <w:trPr>
          <w:trHeight w:val="315"/>
        </w:trPr>
        <w:tc>
          <w:tcPr>
            <w:tcW w:w="1985" w:type="dxa"/>
            <w:tcBorders>
              <w:top w:val="nil"/>
              <w:left w:val="nil"/>
              <w:bottom w:val="single" w:sz="4" w:space="0" w:color="auto"/>
              <w:right w:val="nil"/>
            </w:tcBorders>
            <w:shd w:val="clear" w:color="auto" w:fill="auto"/>
            <w:noWrap/>
            <w:vAlign w:val="bottom"/>
            <w:hideMark/>
          </w:tcPr>
          <w:p w14:paraId="46C7A714" w14:textId="77777777" w:rsidR="008432BE" w:rsidRPr="00730B1E" w:rsidRDefault="008432BE" w:rsidP="008432BE">
            <w:pPr>
              <w:spacing w:line="240" w:lineRule="auto"/>
              <w:jc w:val="left"/>
              <w:rPr>
                <w:rFonts w:eastAsia="Times New Roman"/>
                <w:szCs w:val="24"/>
                <w:lang w:eastAsia="cs-CZ"/>
              </w:rPr>
            </w:pPr>
            <w:r w:rsidRPr="00730B1E">
              <w:rPr>
                <w:rFonts w:eastAsia="Times New Roman"/>
                <w:szCs w:val="24"/>
                <w:lang w:eastAsia="cs-CZ"/>
              </w:rPr>
              <w:t>KS Praha</w:t>
            </w:r>
          </w:p>
        </w:tc>
        <w:tc>
          <w:tcPr>
            <w:tcW w:w="1060" w:type="dxa"/>
            <w:tcBorders>
              <w:top w:val="nil"/>
              <w:left w:val="nil"/>
              <w:bottom w:val="single" w:sz="4" w:space="0" w:color="auto"/>
              <w:right w:val="nil"/>
            </w:tcBorders>
            <w:shd w:val="clear" w:color="auto" w:fill="auto"/>
            <w:noWrap/>
            <w:vAlign w:val="bottom"/>
            <w:hideMark/>
          </w:tcPr>
          <w:p w14:paraId="7461781D" w14:textId="77777777"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13</w:t>
            </w:r>
          </w:p>
        </w:tc>
        <w:tc>
          <w:tcPr>
            <w:tcW w:w="1044" w:type="dxa"/>
            <w:tcBorders>
              <w:top w:val="nil"/>
              <w:left w:val="nil"/>
              <w:bottom w:val="single" w:sz="4" w:space="0" w:color="auto"/>
              <w:right w:val="nil"/>
            </w:tcBorders>
            <w:shd w:val="clear" w:color="auto" w:fill="auto"/>
            <w:noWrap/>
            <w:vAlign w:val="bottom"/>
            <w:hideMark/>
          </w:tcPr>
          <w:p w14:paraId="5A49E62C" w14:textId="3134AD26"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63,15</w:t>
            </w:r>
          </w:p>
        </w:tc>
        <w:tc>
          <w:tcPr>
            <w:tcW w:w="1088" w:type="dxa"/>
            <w:tcBorders>
              <w:top w:val="nil"/>
              <w:left w:val="nil"/>
              <w:bottom w:val="single" w:sz="4" w:space="0" w:color="auto"/>
              <w:right w:val="nil"/>
            </w:tcBorders>
            <w:shd w:val="clear" w:color="auto" w:fill="auto"/>
            <w:noWrap/>
            <w:vAlign w:val="center"/>
            <w:hideMark/>
          </w:tcPr>
          <w:p w14:paraId="601006B7"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043" w:type="dxa"/>
            <w:tcBorders>
              <w:top w:val="nil"/>
              <w:left w:val="single" w:sz="4" w:space="0" w:color="auto"/>
              <w:bottom w:val="single" w:sz="4" w:space="0" w:color="auto"/>
              <w:right w:val="nil"/>
            </w:tcBorders>
            <w:shd w:val="clear" w:color="auto" w:fill="auto"/>
            <w:noWrap/>
            <w:vAlign w:val="bottom"/>
            <w:hideMark/>
          </w:tcPr>
          <w:p w14:paraId="61DE876D" w14:textId="480F3CD7"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68,38</w:t>
            </w:r>
          </w:p>
        </w:tc>
        <w:tc>
          <w:tcPr>
            <w:tcW w:w="951" w:type="dxa"/>
            <w:tcBorders>
              <w:top w:val="nil"/>
              <w:left w:val="nil"/>
              <w:bottom w:val="single" w:sz="4" w:space="0" w:color="auto"/>
              <w:right w:val="single" w:sz="4" w:space="0" w:color="auto"/>
            </w:tcBorders>
            <w:shd w:val="clear" w:color="auto" w:fill="auto"/>
            <w:noWrap/>
            <w:vAlign w:val="center"/>
            <w:hideMark/>
          </w:tcPr>
          <w:p w14:paraId="30FE3E7C"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043" w:type="dxa"/>
            <w:tcBorders>
              <w:top w:val="nil"/>
              <w:left w:val="nil"/>
              <w:bottom w:val="single" w:sz="4" w:space="0" w:color="auto"/>
              <w:right w:val="nil"/>
            </w:tcBorders>
            <w:shd w:val="clear" w:color="auto" w:fill="auto"/>
            <w:noWrap/>
            <w:vAlign w:val="bottom"/>
            <w:hideMark/>
          </w:tcPr>
          <w:p w14:paraId="24AFE561" w14:textId="43DF4CFF"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38,46</w:t>
            </w:r>
          </w:p>
        </w:tc>
        <w:tc>
          <w:tcPr>
            <w:tcW w:w="951" w:type="dxa"/>
            <w:tcBorders>
              <w:top w:val="nil"/>
              <w:left w:val="nil"/>
              <w:bottom w:val="single" w:sz="4" w:space="0" w:color="auto"/>
              <w:right w:val="nil"/>
            </w:tcBorders>
            <w:shd w:val="clear" w:color="auto" w:fill="auto"/>
            <w:noWrap/>
            <w:vAlign w:val="center"/>
            <w:hideMark/>
          </w:tcPr>
          <w:p w14:paraId="0AFF74E9"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r>
      <w:tr w:rsidR="00B64E96" w:rsidRPr="00730B1E" w14:paraId="7D75607B" w14:textId="77777777" w:rsidTr="00F45913">
        <w:trPr>
          <w:trHeight w:val="315"/>
        </w:trPr>
        <w:tc>
          <w:tcPr>
            <w:tcW w:w="1985" w:type="dxa"/>
            <w:tcBorders>
              <w:top w:val="nil"/>
              <w:left w:val="nil"/>
              <w:bottom w:val="single" w:sz="4" w:space="0" w:color="auto"/>
              <w:right w:val="nil"/>
            </w:tcBorders>
            <w:shd w:val="clear" w:color="auto" w:fill="auto"/>
            <w:noWrap/>
            <w:vAlign w:val="bottom"/>
            <w:hideMark/>
          </w:tcPr>
          <w:p w14:paraId="5552820F" w14:textId="77777777" w:rsidR="008432BE" w:rsidRPr="00730B1E" w:rsidRDefault="008432BE" w:rsidP="008432BE">
            <w:pPr>
              <w:spacing w:line="240" w:lineRule="auto"/>
              <w:jc w:val="left"/>
              <w:rPr>
                <w:rFonts w:eastAsia="Times New Roman"/>
                <w:szCs w:val="24"/>
                <w:lang w:eastAsia="cs-CZ"/>
              </w:rPr>
            </w:pPr>
            <w:r w:rsidRPr="00730B1E">
              <w:rPr>
                <w:rFonts w:eastAsia="Times New Roman"/>
                <w:szCs w:val="24"/>
                <w:lang w:eastAsia="cs-CZ"/>
              </w:rPr>
              <w:t>KS Č. Budějovice</w:t>
            </w:r>
          </w:p>
        </w:tc>
        <w:tc>
          <w:tcPr>
            <w:tcW w:w="1060" w:type="dxa"/>
            <w:tcBorders>
              <w:top w:val="nil"/>
              <w:left w:val="nil"/>
              <w:bottom w:val="single" w:sz="4" w:space="0" w:color="auto"/>
              <w:right w:val="nil"/>
            </w:tcBorders>
            <w:shd w:val="clear" w:color="auto" w:fill="auto"/>
            <w:noWrap/>
            <w:vAlign w:val="bottom"/>
            <w:hideMark/>
          </w:tcPr>
          <w:p w14:paraId="59546BA4" w14:textId="77777777"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4</w:t>
            </w:r>
          </w:p>
        </w:tc>
        <w:tc>
          <w:tcPr>
            <w:tcW w:w="1044" w:type="dxa"/>
            <w:tcBorders>
              <w:top w:val="nil"/>
              <w:left w:val="nil"/>
              <w:bottom w:val="single" w:sz="4" w:space="0" w:color="auto"/>
              <w:right w:val="nil"/>
            </w:tcBorders>
            <w:shd w:val="clear" w:color="auto" w:fill="auto"/>
            <w:noWrap/>
            <w:vAlign w:val="bottom"/>
            <w:hideMark/>
          </w:tcPr>
          <w:p w14:paraId="16B24587" w14:textId="6CA83CE7"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92,50</w:t>
            </w:r>
          </w:p>
        </w:tc>
        <w:tc>
          <w:tcPr>
            <w:tcW w:w="1088" w:type="dxa"/>
            <w:tcBorders>
              <w:top w:val="nil"/>
              <w:left w:val="nil"/>
              <w:bottom w:val="single" w:sz="4" w:space="0" w:color="auto"/>
              <w:right w:val="nil"/>
            </w:tcBorders>
            <w:shd w:val="clear" w:color="auto" w:fill="auto"/>
            <w:noWrap/>
            <w:vAlign w:val="center"/>
            <w:hideMark/>
          </w:tcPr>
          <w:p w14:paraId="50220271"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043" w:type="dxa"/>
            <w:tcBorders>
              <w:top w:val="nil"/>
              <w:left w:val="single" w:sz="4" w:space="0" w:color="auto"/>
              <w:bottom w:val="single" w:sz="4" w:space="0" w:color="auto"/>
              <w:right w:val="nil"/>
            </w:tcBorders>
            <w:shd w:val="clear" w:color="auto" w:fill="auto"/>
            <w:noWrap/>
            <w:vAlign w:val="bottom"/>
            <w:hideMark/>
          </w:tcPr>
          <w:p w14:paraId="43C47DF2" w14:textId="504FB165"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94,00</w:t>
            </w:r>
          </w:p>
        </w:tc>
        <w:tc>
          <w:tcPr>
            <w:tcW w:w="951" w:type="dxa"/>
            <w:tcBorders>
              <w:top w:val="nil"/>
              <w:left w:val="nil"/>
              <w:bottom w:val="single" w:sz="4" w:space="0" w:color="auto"/>
              <w:right w:val="single" w:sz="4" w:space="0" w:color="auto"/>
            </w:tcBorders>
            <w:shd w:val="clear" w:color="auto" w:fill="auto"/>
            <w:noWrap/>
            <w:vAlign w:val="center"/>
            <w:hideMark/>
          </w:tcPr>
          <w:p w14:paraId="64207F09"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043" w:type="dxa"/>
            <w:tcBorders>
              <w:top w:val="nil"/>
              <w:left w:val="nil"/>
              <w:bottom w:val="single" w:sz="4" w:space="0" w:color="auto"/>
              <w:right w:val="nil"/>
            </w:tcBorders>
            <w:shd w:val="clear" w:color="auto" w:fill="auto"/>
            <w:noWrap/>
            <w:vAlign w:val="bottom"/>
            <w:hideMark/>
          </w:tcPr>
          <w:p w14:paraId="4DB6591B" w14:textId="0EFB57B2"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31,75</w:t>
            </w:r>
          </w:p>
        </w:tc>
        <w:tc>
          <w:tcPr>
            <w:tcW w:w="951" w:type="dxa"/>
            <w:tcBorders>
              <w:top w:val="nil"/>
              <w:left w:val="nil"/>
              <w:bottom w:val="single" w:sz="4" w:space="0" w:color="auto"/>
              <w:right w:val="nil"/>
            </w:tcBorders>
            <w:shd w:val="clear" w:color="auto" w:fill="auto"/>
            <w:noWrap/>
            <w:vAlign w:val="center"/>
            <w:hideMark/>
          </w:tcPr>
          <w:p w14:paraId="67853CAB"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r>
      <w:tr w:rsidR="00B64E96" w:rsidRPr="00730B1E" w14:paraId="67EE4E17" w14:textId="77777777" w:rsidTr="00F45913">
        <w:trPr>
          <w:trHeight w:val="315"/>
        </w:trPr>
        <w:tc>
          <w:tcPr>
            <w:tcW w:w="1985" w:type="dxa"/>
            <w:tcBorders>
              <w:top w:val="nil"/>
              <w:left w:val="nil"/>
              <w:bottom w:val="single" w:sz="4" w:space="0" w:color="auto"/>
              <w:right w:val="nil"/>
            </w:tcBorders>
            <w:shd w:val="clear" w:color="auto" w:fill="auto"/>
            <w:noWrap/>
            <w:vAlign w:val="bottom"/>
            <w:hideMark/>
          </w:tcPr>
          <w:p w14:paraId="1B035243" w14:textId="77777777" w:rsidR="008432BE" w:rsidRPr="00730B1E" w:rsidRDefault="008432BE" w:rsidP="008432BE">
            <w:pPr>
              <w:spacing w:line="240" w:lineRule="auto"/>
              <w:jc w:val="left"/>
              <w:rPr>
                <w:rFonts w:eastAsia="Times New Roman"/>
                <w:szCs w:val="24"/>
                <w:lang w:eastAsia="cs-CZ"/>
              </w:rPr>
            </w:pPr>
            <w:r w:rsidRPr="00730B1E">
              <w:rPr>
                <w:rFonts w:eastAsia="Times New Roman"/>
                <w:szCs w:val="24"/>
                <w:lang w:eastAsia="cs-CZ"/>
              </w:rPr>
              <w:t>KS Plzeň</w:t>
            </w:r>
          </w:p>
        </w:tc>
        <w:tc>
          <w:tcPr>
            <w:tcW w:w="1060" w:type="dxa"/>
            <w:tcBorders>
              <w:top w:val="nil"/>
              <w:left w:val="nil"/>
              <w:bottom w:val="single" w:sz="4" w:space="0" w:color="auto"/>
              <w:right w:val="nil"/>
            </w:tcBorders>
            <w:shd w:val="clear" w:color="auto" w:fill="auto"/>
            <w:noWrap/>
            <w:vAlign w:val="bottom"/>
            <w:hideMark/>
          </w:tcPr>
          <w:p w14:paraId="69778651" w14:textId="0A46DBDE"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9,5</w:t>
            </w:r>
          </w:p>
        </w:tc>
        <w:tc>
          <w:tcPr>
            <w:tcW w:w="1044" w:type="dxa"/>
            <w:tcBorders>
              <w:top w:val="nil"/>
              <w:left w:val="nil"/>
              <w:bottom w:val="single" w:sz="4" w:space="0" w:color="auto"/>
              <w:right w:val="nil"/>
            </w:tcBorders>
            <w:shd w:val="clear" w:color="auto" w:fill="auto"/>
            <w:noWrap/>
            <w:vAlign w:val="bottom"/>
            <w:hideMark/>
          </w:tcPr>
          <w:p w14:paraId="2968B130" w14:textId="15F3B0A2"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59,58</w:t>
            </w:r>
          </w:p>
        </w:tc>
        <w:tc>
          <w:tcPr>
            <w:tcW w:w="1088" w:type="dxa"/>
            <w:tcBorders>
              <w:top w:val="nil"/>
              <w:left w:val="nil"/>
              <w:bottom w:val="single" w:sz="4" w:space="0" w:color="auto"/>
              <w:right w:val="nil"/>
            </w:tcBorders>
            <w:shd w:val="clear" w:color="auto" w:fill="auto"/>
            <w:noWrap/>
            <w:vAlign w:val="center"/>
            <w:hideMark/>
          </w:tcPr>
          <w:p w14:paraId="30623729"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1043" w:type="dxa"/>
            <w:tcBorders>
              <w:top w:val="nil"/>
              <w:left w:val="single" w:sz="4" w:space="0" w:color="auto"/>
              <w:bottom w:val="single" w:sz="4" w:space="0" w:color="auto"/>
              <w:right w:val="nil"/>
            </w:tcBorders>
            <w:shd w:val="clear" w:color="auto" w:fill="auto"/>
            <w:noWrap/>
            <w:vAlign w:val="bottom"/>
            <w:hideMark/>
          </w:tcPr>
          <w:p w14:paraId="42EAE6A1" w14:textId="6BCF3454"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63,58</w:t>
            </w:r>
          </w:p>
        </w:tc>
        <w:tc>
          <w:tcPr>
            <w:tcW w:w="951" w:type="dxa"/>
            <w:tcBorders>
              <w:top w:val="nil"/>
              <w:left w:val="nil"/>
              <w:bottom w:val="single" w:sz="4" w:space="0" w:color="auto"/>
              <w:right w:val="single" w:sz="4" w:space="0" w:color="auto"/>
            </w:tcBorders>
            <w:shd w:val="clear" w:color="auto" w:fill="auto"/>
            <w:noWrap/>
            <w:vAlign w:val="center"/>
            <w:hideMark/>
          </w:tcPr>
          <w:p w14:paraId="489E73F2"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043" w:type="dxa"/>
            <w:tcBorders>
              <w:top w:val="nil"/>
              <w:left w:val="nil"/>
              <w:bottom w:val="single" w:sz="4" w:space="0" w:color="auto"/>
              <w:right w:val="nil"/>
            </w:tcBorders>
            <w:shd w:val="clear" w:color="auto" w:fill="auto"/>
            <w:noWrap/>
            <w:vAlign w:val="bottom"/>
            <w:hideMark/>
          </w:tcPr>
          <w:p w14:paraId="01D2F35E" w14:textId="29D761A9"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27,68</w:t>
            </w:r>
          </w:p>
        </w:tc>
        <w:tc>
          <w:tcPr>
            <w:tcW w:w="951" w:type="dxa"/>
            <w:tcBorders>
              <w:top w:val="nil"/>
              <w:left w:val="nil"/>
              <w:bottom w:val="single" w:sz="4" w:space="0" w:color="auto"/>
              <w:right w:val="nil"/>
            </w:tcBorders>
            <w:shd w:val="clear" w:color="auto" w:fill="auto"/>
            <w:noWrap/>
            <w:vAlign w:val="center"/>
            <w:hideMark/>
          </w:tcPr>
          <w:p w14:paraId="14CF1892"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r>
      <w:tr w:rsidR="00B64E96" w:rsidRPr="00730B1E" w14:paraId="1249D4F1" w14:textId="77777777" w:rsidTr="00F45913">
        <w:trPr>
          <w:trHeight w:val="315"/>
        </w:trPr>
        <w:tc>
          <w:tcPr>
            <w:tcW w:w="1985" w:type="dxa"/>
            <w:tcBorders>
              <w:top w:val="nil"/>
              <w:left w:val="nil"/>
              <w:bottom w:val="single" w:sz="4" w:space="0" w:color="auto"/>
              <w:right w:val="nil"/>
            </w:tcBorders>
            <w:shd w:val="clear" w:color="auto" w:fill="auto"/>
            <w:noWrap/>
            <w:vAlign w:val="bottom"/>
            <w:hideMark/>
          </w:tcPr>
          <w:p w14:paraId="3C36A9EA" w14:textId="77777777" w:rsidR="008432BE" w:rsidRPr="00730B1E" w:rsidRDefault="008432BE" w:rsidP="008432BE">
            <w:pPr>
              <w:spacing w:line="240" w:lineRule="auto"/>
              <w:jc w:val="left"/>
              <w:rPr>
                <w:rFonts w:eastAsia="Times New Roman"/>
                <w:szCs w:val="24"/>
                <w:lang w:eastAsia="cs-CZ"/>
              </w:rPr>
            </w:pPr>
            <w:r w:rsidRPr="00730B1E">
              <w:rPr>
                <w:rFonts w:eastAsia="Times New Roman"/>
                <w:szCs w:val="24"/>
                <w:lang w:eastAsia="cs-CZ"/>
              </w:rPr>
              <w:t>KS Ústí n. Labem</w:t>
            </w:r>
          </w:p>
        </w:tc>
        <w:tc>
          <w:tcPr>
            <w:tcW w:w="1060" w:type="dxa"/>
            <w:tcBorders>
              <w:top w:val="nil"/>
              <w:left w:val="nil"/>
              <w:bottom w:val="single" w:sz="4" w:space="0" w:color="auto"/>
              <w:right w:val="nil"/>
            </w:tcBorders>
            <w:shd w:val="clear" w:color="auto" w:fill="auto"/>
            <w:noWrap/>
            <w:vAlign w:val="bottom"/>
            <w:hideMark/>
          </w:tcPr>
          <w:p w14:paraId="18213C85" w14:textId="5B6093BD"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12,41</w:t>
            </w:r>
          </w:p>
        </w:tc>
        <w:tc>
          <w:tcPr>
            <w:tcW w:w="1044" w:type="dxa"/>
            <w:tcBorders>
              <w:top w:val="nil"/>
              <w:left w:val="nil"/>
              <w:bottom w:val="single" w:sz="4" w:space="0" w:color="auto"/>
              <w:right w:val="nil"/>
            </w:tcBorders>
            <w:shd w:val="clear" w:color="auto" w:fill="auto"/>
            <w:noWrap/>
            <w:vAlign w:val="bottom"/>
            <w:hideMark/>
          </w:tcPr>
          <w:p w14:paraId="4E1B6ADF" w14:textId="5095290A"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53,42</w:t>
            </w:r>
          </w:p>
        </w:tc>
        <w:tc>
          <w:tcPr>
            <w:tcW w:w="1088" w:type="dxa"/>
            <w:tcBorders>
              <w:top w:val="nil"/>
              <w:left w:val="nil"/>
              <w:bottom w:val="single" w:sz="4" w:space="0" w:color="auto"/>
              <w:right w:val="nil"/>
            </w:tcBorders>
            <w:shd w:val="clear" w:color="auto" w:fill="auto"/>
            <w:noWrap/>
            <w:vAlign w:val="center"/>
            <w:hideMark/>
          </w:tcPr>
          <w:p w14:paraId="0CDFBB77"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043" w:type="dxa"/>
            <w:tcBorders>
              <w:top w:val="nil"/>
              <w:left w:val="single" w:sz="4" w:space="0" w:color="auto"/>
              <w:bottom w:val="single" w:sz="4" w:space="0" w:color="auto"/>
              <w:right w:val="nil"/>
            </w:tcBorders>
            <w:shd w:val="clear" w:color="auto" w:fill="auto"/>
            <w:noWrap/>
            <w:vAlign w:val="bottom"/>
            <w:hideMark/>
          </w:tcPr>
          <w:p w14:paraId="7E277E85" w14:textId="0BB11C59"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53,83</w:t>
            </w:r>
          </w:p>
        </w:tc>
        <w:tc>
          <w:tcPr>
            <w:tcW w:w="951" w:type="dxa"/>
            <w:tcBorders>
              <w:top w:val="nil"/>
              <w:left w:val="nil"/>
              <w:bottom w:val="single" w:sz="4" w:space="0" w:color="auto"/>
              <w:right w:val="single" w:sz="4" w:space="0" w:color="auto"/>
            </w:tcBorders>
            <w:shd w:val="clear" w:color="auto" w:fill="auto"/>
            <w:noWrap/>
            <w:vAlign w:val="center"/>
            <w:hideMark/>
          </w:tcPr>
          <w:p w14:paraId="4C2DC0A8"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-30 %  </w:t>
            </w:r>
          </w:p>
        </w:tc>
        <w:tc>
          <w:tcPr>
            <w:tcW w:w="1043" w:type="dxa"/>
            <w:tcBorders>
              <w:top w:val="nil"/>
              <w:left w:val="nil"/>
              <w:bottom w:val="single" w:sz="4" w:space="0" w:color="auto"/>
              <w:right w:val="nil"/>
            </w:tcBorders>
            <w:shd w:val="clear" w:color="auto" w:fill="auto"/>
            <w:noWrap/>
            <w:vAlign w:val="bottom"/>
            <w:hideMark/>
          </w:tcPr>
          <w:p w14:paraId="1244CF1E" w14:textId="261967B5"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32,39</w:t>
            </w:r>
          </w:p>
        </w:tc>
        <w:tc>
          <w:tcPr>
            <w:tcW w:w="951" w:type="dxa"/>
            <w:tcBorders>
              <w:top w:val="nil"/>
              <w:left w:val="nil"/>
              <w:bottom w:val="single" w:sz="4" w:space="0" w:color="auto"/>
              <w:right w:val="nil"/>
            </w:tcBorders>
            <w:shd w:val="clear" w:color="auto" w:fill="auto"/>
            <w:noWrap/>
            <w:vAlign w:val="center"/>
            <w:hideMark/>
          </w:tcPr>
          <w:p w14:paraId="74CA5C74"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1417517F" w14:textId="77777777" w:rsidTr="00F45913">
        <w:trPr>
          <w:trHeight w:val="315"/>
        </w:trPr>
        <w:tc>
          <w:tcPr>
            <w:tcW w:w="1985" w:type="dxa"/>
            <w:tcBorders>
              <w:top w:val="nil"/>
              <w:left w:val="nil"/>
              <w:bottom w:val="single" w:sz="4" w:space="0" w:color="auto"/>
              <w:right w:val="nil"/>
            </w:tcBorders>
            <w:shd w:val="clear" w:color="auto" w:fill="auto"/>
            <w:noWrap/>
            <w:vAlign w:val="bottom"/>
            <w:hideMark/>
          </w:tcPr>
          <w:p w14:paraId="357ACC56" w14:textId="77777777" w:rsidR="008432BE" w:rsidRPr="00730B1E" w:rsidRDefault="008432BE" w:rsidP="008432BE">
            <w:pPr>
              <w:spacing w:line="240" w:lineRule="auto"/>
              <w:jc w:val="left"/>
              <w:rPr>
                <w:rFonts w:eastAsia="Times New Roman"/>
                <w:szCs w:val="24"/>
                <w:lang w:eastAsia="cs-CZ"/>
              </w:rPr>
            </w:pPr>
            <w:r w:rsidRPr="00730B1E">
              <w:rPr>
                <w:rFonts w:eastAsia="Times New Roman"/>
                <w:szCs w:val="24"/>
                <w:lang w:eastAsia="cs-CZ"/>
              </w:rPr>
              <w:t>KS Hr. Králové</w:t>
            </w:r>
          </w:p>
        </w:tc>
        <w:tc>
          <w:tcPr>
            <w:tcW w:w="1060" w:type="dxa"/>
            <w:tcBorders>
              <w:top w:val="nil"/>
              <w:left w:val="nil"/>
              <w:bottom w:val="single" w:sz="4" w:space="0" w:color="auto"/>
              <w:right w:val="nil"/>
            </w:tcBorders>
            <w:shd w:val="clear" w:color="auto" w:fill="auto"/>
            <w:noWrap/>
            <w:vAlign w:val="bottom"/>
            <w:hideMark/>
          </w:tcPr>
          <w:p w14:paraId="42FDCE37" w14:textId="691529FD"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11,7</w:t>
            </w:r>
          </w:p>
        </w:tc>
        <w:tc>
          <w:tcPr>
            <w:tcW w:w="1044" w:type="dxa"/>
            <w:tcBorders>
              <w:top w:val="nil"/>
              <w:left w:val="nil"/>
              <w:bottom w:val="single" w:sz="4" w:space="0" w:color="auto"/>
              <w:right w:val="nil"/>
            </w:tcBorders>
            <w:shd w:val="clear" w:color="auto" w:fill="auto"/>
            <w:noWrap/>
            <w:vAlign w:val="bottom"/>
            <w:hideMark/>
          </w:tcPr>
          <w:p w14:paraId="1DDCFF0E" w14:textId="3E5774F2"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46,15</w:t>
            </w:r>
          </w:p>
        </w:tc>
        <w:tc>
          <w:tcPr>
            <w:tcW w:w="1088" w:type="dxa"/>
            <w:tcBorders>
              <w:top w:val="nil"/>
              <w:left w:val="nil"/>
              <w:bottom w:val="single" w:sz="4" w:space="0" w:color="auto"/>
              <w:right w:val="nil"/>
            </w:tcBorders>
            <w:shd w:val="clear" w:color="auto" w:fill="auto"/>
            <w:noWrap/>
            <w:vAlign w:val="center"/>
            <w:hideMark/>
          </w:tcPr>
          <w:p w14:paraId="42318537"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043" w:type="dxa"/>
            <w:tcBorders>
              <w:top w:val="nil"/>
              <w:left w:val="single" w:sz="4" w:space="0" w:color="auto"/>
              <w:bottom w:val="single" w:sz="4" w:space="0" w:color="auto"/>
              <w:right w:val="nil"/>
            </w:tcBorders>
            <w:shd w:val="clear" w:color="auto" w:fill="auto"/>
            <w:noWrap/>
            <w:vAlign w:val="bottom"/>
            <w:hideMark/>
          </w:tcPr>
          <w:p w14:paraId="00D0739D" w14:textId="5746C7A5"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47,44</w:t>
            </w:r>
          </w:p>
        </w:tc>
        <w:tc>
          <w:tcPr>
            <w:tcW w:w="951" w:type="dxa"/>
            <w:tcBorders>
              <w:top w:val="nil"/>
              <w:left w:val="nil"/>
              <w:bottom w:val="single" w:sz="4" w:space="0" w:color="auto"/>
              <w:right w:val="single" w:sz="4" w:space="0" w:color="auto"/>
            </w:tcBorders>
            <w:shd w:val="clear" w:color="auto" w:fill="auto"/>
            <w:noWrap/>
            <w:vAlign w:val="center"/>
            <w:hideMark/>
          </w:tcPr>
          <w:p w14:paraId="57EFFF56"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-20 %  </w:t>
            </w:r>
          </w:p>
        </w:tc>
        <w:tc>
          <w:tcPr>
            <w:tcW w:w="1043" w:type="dxa"/>
            <w:tcBorders>
              <w:top w:val="nil"/>
              <w:left w:val="nil"/>
              <w:bottom w:val="single" w:sz="4" w:space="0" w:color="auto"/>
              <w:right w:val="nil"/>
            </w:tcBorders>
            <w:shd w:val="clear" w:color="auto" w:fill="auto"/>
            <w:noWrap/>
            <w:vAlign w:val="bottom"/>
            <w:hideMark/>
          </w:tcPr>
          <w:p w14:paraId="2D237404" w14:textId="4CA4AA61"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20,26</w:t>
            </w:r>
          </w:p>
        </w:tc>
        <w:tc>
          <w:tcPr>
            <w:tcW w:w="951" w:type="dxa"/>
            <w:tcBorders>
              <w:top w:val="nil"/>
              <w:left w:val="nil"/>
              <w:bottom w:val="single" w:sz="4" w:space="0" w:color="auto"/>
              <w:right w:val="nil"/>
            </w:tcBorders>
            <w:shd w:val="clear" w:color="auto" w:fill="auto"/>
            <w:noWrap/>
            <w:vAlign w:val="center"/>
            <w:hideMark/>
          </w:tcPr>
          <w:p w14:paraId="4426805D"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64C7F980" w14:textId="77777777" w:rsidTr="00F45913">
        <w:trPr>
          <w:trHeight w:val="315"/>
        </w:trPr>
        <w:tc>
          <w:tcPr>
            <w:tcW w:w="1985" w:type="dxa"/>
            <w:tcBorders>
              <w:top w:val="nil"/>
              <w:left w:val="nil"/>
              <w:bottom w:val="single" w:sz="4" w:space="0" w:color="auto"/>
              <w:right w:val="nil"/>
            </w:tcBorders>
            <w:shd w:val="clear" w:color="auto" w:fill="auto"/>
            <w:noWrap/>
            <w:vAlign w:val="bottom"/>
            <w:hideMark/>
          </w:tcPr>
          <w:p w14:paraId="5D9E2337" w14:textId="77777777" w:rsidR="008432BE" w:rsidRPr="00730B1E" w:rsidRDefault="008432BE" w:rsidP="008432BE">
            <w:pPr>
              <w:spacing w:line="240" w:lineRule="auto"/>
              <w:jc w:val="left"/>
              <w:rPr>
                <w:rFonts w:eastAsia="Times New Roman"/>
                <w:szCs w:val="24"/>
                <w:lang w:eastAsia="cs-CZ"/>
              </w:rPr>
            </w:pPr>
            <w:r w:rsidRPr="00730B1E">
              <w:rPr>
                <w:rFonts w:eastAsia="Times New Roman"/>
                <w:szCs w:val="24"/>
                <w:lang w:eastAsia="cs-CZ"/>
              </w:rPr>
              <w:t>KS Brno</w:t>
            </w:r>
          </w:p>
        </w:tc>
        <w:tc>
          <w:tcPr>
            <w:tcW w:w="1060" w:type="dxa"/>
            <w:tcBorders>
              <w:top w:val="nil"/>
              <w:left w:val="nil"/>
              <w:bottom w:val="single" w:sz="4" w:space="0" w:color="auto"/>
              <w:right w:val="nil"/>
            </w:tcBorders>
            <w:shd w:val="clear" w:color="auto" w:fill="auto"/>
            <w:noWrap/>
            <w:vAlign w:val="bottom"/>
            <w:hideMark/>
          </w:tcPr>
          <w:p w14:paraId="16B9EA05" w14:textId="19C53ED6"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16,5</w:t>
            </w:r>
          </w:p>
        </w:tc>
        <w:tc>
          <w:tcPr>
            <w:tcW w:w="1044" w:type="dxa"/>
            <w:tcBorders>
              <w:top w:val="nil"/>
              <w:left w:val="nil"/>
              <w:bottom w:val="single" w:sz="4" w:space="0" w:color="auto"/>
              <w:right w:val="nil"/>
            </w:tcBorders>
            <w:shd w:val="clear" w:color="auto" w:fill="auto"/>
            <w:noWrap/>
            <w:vAlign w:val="bottom"/>
            <w:hideMark/>
          </w:tcPr>
          <w:p w14:paraId="75539103" w14:textId="3E9619DC"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76,79</w:t>
            </w:r>
          </w:p>
        </w:tc>
        <w:tc>
          <w:tcPr>
            <w:tcW w:w="1088" w:type="dxa"/>
            <w:tcBorders>
              <w:top w:val="nil"/>
              <w:left w:val="nil"/>
              <w:bottom w:val="single" w:sz="4" w:space="0" w:color="auto"/>
              <w:right w:val="nil"/>
            </w:tcBorders>
            <w:shd w:val="clear" w:color="auto" w:fill="auto"/>
            <w:noWrap/>
            <w:vAlign w:val="center"/>
            <w:hideMark/>
          </w:tcPr>
          <w:p w14:paraId="21EF2012"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043" w:type="dxa"/>
            <w:tcBorders>
              <w:top w:val="nil"/>
              <w:left w:val="single" w:sz="4" w:space="0" w:color="auto"/>
              <w:bottom w:val="single" w:sz="4" w:space="0" w:color="auto"/>
              <w:right w:val="nil"/>
            </w:tcBorders>
            <w:shd w:val="clear" w:color="auto" w:fill="auto"/>
            <w:noWrap/>
            <w:vAlign w:val="bottom"/>
            <w:hideMark/>
          </w:tcPr>
          <w:p w14:paraId="6DAE0F4E" w14:textId="5FDC3E46"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86,06</w:t>
            </w:r>
          </w:p>
        </w:tc>
        <w:tc>
          <w:tcPr>
            <w:tcW w:w="951" w:type="dxa"/>
            <w:tcBorders>
              <w:top w:val="nil"/>
              <w:left w:val="nil"/>
              <w:bottom w:val="single" w:sz="4" w:space="0" w:color="auto"/>
              <w:right w:val="single" w:sz="4" w:space="0" w:color="auto"/>
            </w:tcBorders>
            <w:shd w:val="clear" w:color="auto" w:fill="auto"/>
            <w:noWrap/>
            <w:vAlign w:val="center"/>
            <w:hideMark/>
          </w:tcPr>
          <w:p w14:paraId="498E0917"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043" w:type="dxa"/>
            <w:tcBorders>
              <w:top w:val="nil"/>
              <w:left w:val="nil"/>
              <w:bottom w:val="single" w:sz="4" w:space="0" w:color="auto"/>
              <w:right w:val="nil"/>
            </w:tcBorders>
            <w:shd w:val="clear" w:color="auto" w:fill="auto"/>
            <w:noWrap/>
            <w:vAlign w:val="bottom"/>
            <w:hideMark/>
          </w:tcPr>
          <w:p w14:paraId="68FF849B" w14:textId="0B399A34"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70,36</w:t>
            </w:r>
          </w:p>
        </w:tc>
        <w:tc>
          <w:tcPr>
            <w:tcW w:w="951" w:type="dxa"/>
            <w:tcBorders>
              <w:top w:val="nil"/>
              <w:left w:val="nil"/>
              <w:bottom w:val="single" w:sz="4" w:space="0" w:color="auto"/>
              <w:right w:val="nil"/>
            </w:tcBorders>
            <w:shd w:val="clear" w:color="auto" w:fill="auto"/>
            <w:noWrap/>
            <w:vAlign w:val="center"/>
            <w:hideMark/>
          </w:tcPr>
          <w:p w14:paraId="2D8F1290"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1A7B085B" w14:textId="77777777" w:rsidTr="00F45913">
        <w:trPr>
          <w:trHeight w:val="330"/>
        </w:trPr>
        <w:tc>
          <w:tcPr>
            <w:tcW w:w="1985" w:type="dxa"/>
            <w:tcBorders>
              <w:top w:val="nil"/>
              <w:left w:val="nil"/>
              <w:bottom w:val="double" w:sz="6" w:space="0" w:color="auto"/>
              <w:right w:val="nil"/>
            </w:tcBorders>
            <w:shd w:val="clear" w:color="auto" w:fill="auto"/>
            <w:noWrap/>
            <w:vAlign w:val="bottom"/>
            <w:hideMark/>
          </w:tcPr>
          <w:p w14:paraId="66BB7F83" w14:textId="77777777" w:rsidR="008432BE" w:rsidRPr="00730B1E" w:rsidRDefault="008432BE" w:rsidP="008432BE">
            <w:pPr>
              <w:spacing w:line="240" w:lineRule="auto"/>
              <w:jc w:val="left"/>
              <w:rPr>
                <w:rFonts w:eastAsia="Times New Roman"/>
                <w:szCs w:val="24"/>
                <w:lang w:eastAsia="cs-CZ"/>
              </w:rPr>
            </w:pPr>
            <w:r w:rsidRPr="00730B1E">
              <w:rPr>
                <w:rFonts w:eastAsia="Times New Roman"/>
                <w:szCs w:val="24"/>
                <w:lang w:eastAsia="cs-CZ"/>
              </w:rPr>
              <w:t>KS Ostrava</w:t>
            </w:r>
          </w:p>
        </w:tc>
        <w:tc>
          <w:tcPr>
            <w:tcW w:w="1060" w:type="dxa"/>
            <w:tcBorders>
              <w:top w:val="nil"/>
              <w:left w:val="nil"/>
              <w:bottom w:val="double" w:sz="6" w:space="0" w:color="auto"/>
              <w:right w:val="nil"/>
            </w:tcBorders>
            <w:shd w:val="clear" w:color="auto" w:fill="auto"/>
            <w:noWrap/>
            <w:vAlign w:val="bottom"/>
            <w:hideMark/>
          </w:tcPr>
          <w:p w14:paraId="4217A087" w14:textId="3BB07ADA"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11,72</w:t>
            </w:r>
          </w:p>
        </w:tc>
        <w:tc>
          <w:tcPr>
            <w:tcW w:w="1044" w:type="dxa"/>
            <w:tcBorders>
              <w:top w:val="nil"/>
              <w:left w:val="nil"/>
              <w:bottom w:val="double" w:sz="6" w:space="0" w:color="auto"/>
              <w:right w:val="nil"/>
            </w:tcBorders>
            <w:shd w:val="clear" w:color="auto" w:fill="auto"/>
            <w:noWrap/>
            <w:vAlign w:val="bottom"/>
            <w:hideMark/>
          </w:tcPr>
          <w:p w14:paraId="1F763004" w14:textId="698A0ADB"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80,89</w:t>
            </w:r>
          </w:p>
        </w:tc>
        <w:tc>
          <w:tcPr>
            <w:tcW w:w="1088" w:type="dxa"/>
            <w:tcBorders>
              <w:top w:val="nil"/>
              <w:left w:val="nil"/>
              <w:bottom w:val="double" w:sz="6" w:space="0" w:color="auto"/>
              <w:right w:val="nil"/>
            </w:tcBorders>
            <w:shd w:val="clear" w:color="auto" w:fill="auto"/>
            <w:noWrap/>
            <w:vAlign w:val="center"/>
            <w:hideMark/>
          </w:tcPr>
          <w:p w14:paraId="141CBC2F"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1043" w:type="dxa"/>
            <w:tcBorders>
              <w:top w:val="nil"/>
              <w:left w:val="single" w:sz="4" w:space="0" w:color="auto"/>
              <w:bottom w:val="double" w:sz="6" w:space="0" w:color="auto"/>
              <w:right w:val="nil"/>
            </w:tcBorders>
            <w:shd w:val="clear" w:color="auto" w:fill="auto"/>
            <w:noWrap/>
            <w:vAlign w:val="bottom"/>
            <w:hideMark/>
          </w:tcPr>
          <w:p w14:paraId="2D6C096D" w14:textId="7F408F11"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84,04</w:t>
            </w:r>
          </w:p>
        </w:tc>
        <w:tc>
          <w:tcPr>
            <w:tcW w:w="951" w:type="dxa"/>
            <w:tcBorders>
              <w:top w:val="nil"/>
              <w:left w:val="nil"/>
              <w:bottom w:val="double" w:sz="6" w:space="0" w:color="auto"/>
              <w:right w:val="single" w:sz="4" w:space="0" w:color="auto"/>
            </w:tcBorders>
            <w:shd w:val="clear" w:color="auto" w:fill="auto"/>
            <w:noWrap/>
            <w:vAlign w:val="center"/>
            <w:hideMark/>
          </w:tcPr>
          <w:p w14:paraId="24B276D6"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43" w:type="dxa"/>
            <w:tcBorders>
              <w:top w:val="nil"/>
              <w:left w:val="nil"/>
              <w:bottom w:val="double" w:sz="6" w:space="0" w:color="auto"/>
              <w:right w:val="nil"/>
            </w:tcBorders>
            <w:shd w:val="clear" w:color="auto" w:fill="auto"/>
            <w:noWrap/>
            <w:vAlign w:val="bottom"/>
            <w:hideMark/>
          </w:tcPr>
          <w:p w14:paraId="6D85BA38" w14:textId="038475B6" w:rsidR="008432BE" w:rsidRPr="00730B1E" w:rsidRDefault="008432BE" w:rsidP="008432BE">
            <w:pPr>
              <w:spacing w:line="240" w:lineRule="auto"/>
              <w:jc w:val="center"/>
              <w:rPr>
                <w:rFonts w:eastAsia="Times New Roman"/>
                <w:szCs w:val="24"/>
                <w:lang w:eastAsia="cs-CZ"/>
              </w:rPr>
            </w:pPr>
            <w:r w:rsidRPr="00730B1E">
              <w:rPr>
                <w:rFonts w:eastAsia="Times New Roman"/>
                <w:szCs w:val="24"/>
                <w:lang w:eastAsia="cs-CZ"/>
              </w:rPr>
              <w:t>54,78</w:t>
            </w:r>
          </w:p>
        </w:tc>
        <w:tc>
          <w:tcPr>
            <w:tcW w:w="951" w:type="dxa"/>
            <w:tcBorders>
              <w:top w:val="nil"/>
              <w:left w:val="nil"/>
              <w:bottom w:val="double" w:sz="6" w:space="0" w:color="auto"/>
              <w:right w:val="nil"/>
            </w:tcBorders>
            <w:shd w:val="clear" w:color="auto" w:fill="auto"/>
            <w:noWrap/>
            <w:vAlign w:val="center"/>
            <w:hideMark/>
          </w:tcPr>
          <w:p w14:paraId="3E45E550" w14:textId="77777777" w:rsidR="008432BE" w:rsidRPr="00730B1E" w:rsidRDefault="008432BE" w:rsidP="008432BE">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r>
      <w:tr w:rsidR="00B64E96" w:rsidRPr="00730B1E" w14:paraId="7D49C6C9" w14:textId="77777777" w:rsidTr="00F45913">
        <w:trPr>
          <w:trHeight w:val="345"/>
        </w:trPr>
        <w:tc>
          <w:tcPr>
            <w:tcW w:w="1985" w:type="dxa"/>
            <w:tcBorders>
              <w:top w:val="nil"/>
              <w:left w:val="nil"/>
              <w:bottom w:val="double" w:sz="6" w:space="0" w:color="auto"/>
              <w:right w:val="nil"/>
            </w:tcBorders>
            <w:shd w:val="clear" w:color="auto" w:fill="auto"/>
            <w:noWrap/>
            <w:vAlign w:val="bottom"/>
            <w:hideMark/>
          </w:tcPr>
          <w:p w14:paraId="7CFC39CF" w14:textId="77777777" w:rsidR="008432BE" w:rsidRPr="00730B1E" w:rsidRDefault="008432BE" w:rsidP="008432BE">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60" w:type="dxa"/>
            <w:tcBorders>
              <w:top w:val="nil"/>
              <w:left w:val="nil"/>
              <w:bottom w:val="double" w:sz="6" w:space="0" w:color="auto"/>
              <w:right w:val="nil"/>
            </w:tcBorders>
            <w:shd w:val="clear" w:color="auto" w:fill="auto"/>
            <w:noWrap/>
            <w:vAlign w:val="bottom"/>
            <w:hideMark/>
          </w:tcPr>
          <w:p w14:paraId="7342C796" w14:textId="41B1F75D"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117,83</w:t>
            </w:r>
          </w:p>
        </w:tc>
        <w:tc>
          <w:tcPr>
            <w:tcW w:w="1044" w:type="dxa"/>
            <w:tcBorders>
              <w:top w:val="nil"/>
              <w:left w:val="nil"/>
              <w:bottom w:val="double" w:sz="6" w:space="0" w:color="auto"/>
              <w:right w:val="nil"/>
            </w:tcBorders>
            <w:shd w:val="clear" w:color="auto" w:fill="auto"/>
            <w:noWrap/>
            <w:vAlign w:val="bottom"/>
            <w:hideMark/>
          </w:tcPr>
          <w:p w14:paraId="63EFBC67" w14:textId="2D75AF30"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67,78</w:t>
            </w:r>
          </w:p>
        </w:tc>
        <w:tc>
          <w:tcPr>
            <w:tcW w:w="1088" w:type="dxa"/>
            <w:tcBorders>
              <w:top w:val="nil"/>
              <w:left w:val="nil"/>
              <w:bottom w:val="double" w:sz="6" w:space="0" w:color="auto"/>
              <w:right w:val="nil"/>
            </w:tcBorders>
            <w:shd w:val="clear" w:color="auto" w:fill="auto"/>
            <w:noWrap/>
            <w:vAlign w:val="center"/>
            <w:hideMark/>
          </w:tcPr>
          <w:p w14:paraId="7F1B9F72" w14:textId="77777777" w:rsidR="008432BE" w:rsidRPr="00730B1E" w:rsidRDefault="008432BE" w:rsidP="008432BE">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+4 %  </w:t>
            </w:r>
          </w:p>
        </w:tc>
        <w:tc>
          <w:tcPr>
            <w:tcW w:w="1043" w:type="dxa"/>
            <w:tcBorders>
              <w:top w:val="nil"/>
              <w:left w:val="single" w:sz="4" w:space="0" w:color="auto"/>
              <w:bottom w:val="double" w:sz="6" w:space="0" w:color="auto"/>
              <w:right w:val="nil"/>
            </w:tcBorders>
            <w:shd w:val="clear" w:color="auto" w:fill="auto"/>
            <w:noWrap/>
            <w:vAlign w:val="bottom"/>
            <w:hideMark/>
          </w:tcPr>
          <w:p w14:paraId="61C0C50F" w14:textId="0E4A8A99"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75,09</w:t>
            </w:r>
          </w:p>
        </w:tc>
        <w:tc>
          <w:tcPr>
            <w:tcW w:w="951" w:type="dxa"/>
            <w:tcBorders>
              <w:top w:val="nil"/>
              <w:left w:val="nil"/>
              <w:bottom w:val="double" w:sz="6" w:space="0" w:color="auto"/>
              <w:right w:val="single" w:sz="4" w:space="0" w:color="auto"/>
            </w:tcBorders>
            <w:shd w:val="clear" w:color="auto" w:fill="auto"/>
            <w:noWrap/>
            <w:vAlign w:val="center"/>
            <w:hideMark/>
          </w:tcPr>
          <w:p w14:paraId="3B54B8FA" w14:textId="77777777" w:rsidR="008432BE" w:rsidRPr="00730B1E" w:rsidRDefault="008432BE" w:rsidP="008432BE">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-9 %  </w:t>
            </w:r>
          </w:p>
        </w:tc>
        <w:tc>
          <w:tcPr>
            <w:tcW w:w="1043" w:type="dxa"/>
            <w:tcBorders>
              <w:top w:val="nil"/>
              <w:left w:val="nil"/>
              <w:bottom w:val="double" w:sz="6" w:space="0" w:color="auto"/>
              <w:right w:val="nil"/>
            </w:tcBorders>
            <w:shd w:val="clear" w:color="auto" w:fill="auto"/>
            <w:noWrap/>
            <w:vAlign w:val="bottom"/>
            <w:hideMark/>
          </w:tcPr>
          <w:p w14:paraId="3C491135" w14:textId="7A822343" w:rsidR="008432BE" w:rsidRPr="00730B1E" w:rsidRDefault="008432BE" w:rsidP="008432BE">
            <w:pPr>
              <w:spacing w:line="240" w:lineRule="auto"/>
              <w:jc w:val="center"/>
              <w:rPr>
                <w:rFonts w:eastAsia="Times New Roman"/>
                <w:b/>
                <w:bCs/>
                <w:szCs w:val="24"/>
                <w:lang w:eastAsia="cs-CZ"/>
              </w:rPr>
            </w:pPr>
            <w:r w:rsidRPr="00730B1E">
              <w:rPr>
                <w:rFonts w:eastAsia="Times New Roman"/>
                <w:b/>
                <w:bCs/>
                <w:szCs w:val="24"/>
                <w:lang w:eastAsia="cs-CZ"/>
              </w:rPr>
              <w:t>43,55</w:t>
            </w:r>
          </w:p>
        </w:tc>
        <w:tc>
          <w:tcPr>
            <w:tcW w:w="951" w:type="dxa"/>
            <w:tcBorders>
              <w:top w:val="nil"/>
              <w:left w:val="nil"/>
              <w:bottom w:val="double" w:sz="6" w:space="0" w:color="auto"/>
              <w:right w:val="nil"/>
            </w:tcBorders>
            <w:shd w:val="clear" w:color="auto" w:fill="auto"/>
            <w:noWrap/>
            <w:vAlign w:val="center"/>
            <w:hideMark/>
          </w:tcPr>
          <w:p w14:paraId="5A25F58B" w14:textId="77777777" w:rsidR="008432BE" w:rsidRPr="00730B1E" w:rsidRDefault="008432BE" w:rsidP="008432BE">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-14 %  </w:t>
            </w:r>
          </w:p>
        </w:tc>
      </w:tr>
      <w:tr w:rsidR="00B64E96" w:rsidRPr="00730B1E" w14:paraId="081284E1" w14:textId="77777777" w:rsidTr="00F45913">
        <w:trPr>
          <w:trHeight w:val="330"/>
        </w:trPr>
        <w:tc>
          <w:tcPr>
            <w:tcW w:w="1985" w:type="dxa"/>
            <w:tcBorders>
              <w:top w:val="nil"/>
              <w:left w:val="nil"/>
              <w:bottom w:val="nil"/>
              <w:right w:val="nil"/>
            </w:tcBorders>
            <w:shd w:val="clear" w:color="auto" w:fill="auto"/>
            <w:noWrap/>
            <w:vAlign w:val="bottom"/>
            <w:hideMark/>
          </w:tcPr>
          <w:p w14:paraId="125BFF70" w14:textId="77777777" w:rsidR="008432BE" w:rsidRPr="00730B1E" w:rsidRDefault="008432BE" w:rsidP="008432BE">
            <w:pPr>
              <w:spacing w:line="240" w:lineRule="auto"/>
              <w:jc w:val="center"/>
              <w:rPr>
                <w:rFonts w:eastAsia="Times New Roman"/>
                <w:b/>
                <w:bCs/>
                <w:sz w:val="20"/>
                <w:szCs w:val="20"/>
                <w:lang w:eastAsia="cs-CZ"/>
              </w:rPr>
            </w:pPr>
          </w:p>
        </w:tc>
        <w:tc>
          <w:tcPr>
            <w:tcW w:w="1060" w:type="dxa"/>
            <w:tcBorders>
              <w:top w:val="nil"/>
              <w:left w:val="nil"/>
              <w:bottom w:val="nil"/>
              <w:right w:val="nil"/>
            </w:tcBorders>
            <w:shd w:val="clear" w:color="auto" w:fill="auto"/>
            <w:noWrap/>
            <w:vAlign w:val="bottom"/>
            <w:hideMark/>
          </w:tcPr>
          <w:p w14:paraId="6E632D3F" w14:textId="77777777" w:rsidR="008432BE" w:rsidRPr="00DF07F3" w:rsidRDefault="008432BE" w:rsidP="008432BE">
            <w:pPr>
              <w:spacing w:line="240" w:lineRule="auto"/>
              <w:jc w:val="left"/>
              <w:rPr>
                <w:sz w:val="20"/>
              </w:rPr>
            </w:pPr>
          </w:p>
        </w:tc>
        <w:tc>
          <w:tcPr>
            <w:tcW w:w="1044" w:type="dxa"/>
            <w:tcBorders>
              <w:top w:val="nil"/>
              <w:left w:val="nil"/>
              <w:bottom w:val="nil"/>
              <w:right w:val="nil"/>
            </w:tcBorders>
            <w:shd w:val="clear" w:color="auto" w:fill="auto"/>
            <w:noWrap/>
            <w:vAlign w:val="bottom"/>
            <w:hideMark/>
          </w:tcPr>
          <w:p w14:paraId="6DCBC79D" w14:textId="77777777" w:rsidR="008432BE" w:rsidRPr="00DF07F3" w:rsidRDefault="008432BE" w:rsidP="008432BE">
            <w:pPr>
              <w:spacing w:line="240" w:lineRule="auto"/>
              <w:jc w:val="left"/>
              <w:rPr>
                <w:sz w:val="20"/>
              </w:rPr>
            </w:pPr>
          </w:p>
        </w:tc>
        <w:tc>
          <w:tcPr>
            <w:tcW w:w="1088" w:type="dxa"/>
            <w:tcBorders>
              <w:top w:val="nil"/>
              <w:left w:val="nil"/>
              <w:bottom w:val="nil"/>
              <w:right w:val="nil"/>
            </w:tcBorders>
            <w:shd w:val="clear" w:color="auto" w:fill="auto"/>
            <w:noWrap/>
            <w:vAlign w:val="bottom"/>
            <w:hideMark/>
          </w:tcPr>
          <w:p w14:paraId="3DB5CA72" w14:textId="77777777" w:rsidR="008432BE" w:rsidRPr="00DF07F3" w:rsidRDefault="008432BE" w:rsidP="008432BE">
            <w:pPr>
              <w:spacing w:line="240" w:lineRule="auto"/>
              <w:jc w:val="left"/>
              <w:rPr>
                <w:sz w:val="20"/>
              </w:rPr>
            </w:pPr>
          </w:p>
        </w:tc>
        <w:tc>
          <w:tcPr>
            <w:tcW w:w="1043" w:type="dxa"/>
            <w:tcBorders>
              <w:top w:val="nil"/>
              <w:left w:val="nil"/>
              <w:bottom w:val="nil"/>
              <w:right w:val="nil"/>
            </w:tcBorders>
            <w:shd w:val="clear" w:color="auto" w:fill="auto"/>
            <w:noWrap/>
            <w:vAlign w:val="bottom"/>
            <w:hideMark/>
          </w:tcPr>
          <w:p w14:paraId="02244D5C" w14:textId="77777777" w:rsidR="008432BE" w:rsidRPr="00DF07F3" w:rsidRDefault="008432BE" w:rsidP="008432BE">
            <w:pPr>
              <w:spacing w:line="240" w:lineRule="auto"/>
              <w:jc w:val="left"/>
              <w:rPr>
                <w:sz w:val="20"/>
              </w:rPr>
            </w:pPr>
          </w:p>
        </w:tc>
        <w:tc>
          <w:tcPr>
            <w:tcW w:w="951" w:type="dxa"/>
            <w:tcBorders>
              <w:top w:val="nil"/>
              <w:left w:val="nil"/>
              <w:bottom w:val="nil"/>
              <w:right w:val="nil"/>
            </w:tcBorders>
            <w:shd w:val="clear" w:color="auto" w:fill="auto"/>
            <w:noWrap/>
            <w:vAlign w:val="bottom"/>
            <w:hideMark/>
          </w:tcPr>
          <w:p w14:paraId="45B88303" w14:textId="77777777" w:rsidR="008432BE" w:rsidRPr="00DF07F3" w:rsidRDefault="008432BE" w:rsidP="008432BE">
            <w:pPr>
              <w:spacing w:line="240" w:lineRule="auto"/>
              <w:jc w:val="left"/>
              <w:rPr>
                <w:sz w:val="20"/>
              </w:rPr>
            </w:pPr>
          </w:p>
        </w:tc>
        <w:tc>
          <w:tcPr>
            <w:tcW w:w="1043" w:type="dxa"/>
            <w:tcBorders>
              <w:top w:val="nil"/>
              <w:left w:val="nil"/>
              <w:bottom w:val="nil"/>
              <w:right w:val="nil"/>
            </w:tcBorders>
            <w:shd w:val="clear" w:color="auto" w:fill="auto"/>
            <w:noWrap/>
            <w:vAlign w:val="bottom"/>
            <w:hideMark/>
          </w:tcPr>
          <w:p w14:paraId="5286D399" w14:textId="77777777" w:rsidR="008432BE" w:rsidRPr="00DF07F3" w:rsidRDefault="008432BE" w:rsidP="008432BE">
            <w:pPr>
              <w:spacing w:line="240" w:lineRule="auto"/>
              <w:jc w:val="left"/>
              <w:rPr>
                <w:sz w:val="20"/>
              </w:rPr>
            </w:pPr>
          </w:p>
        </w:tc>
        <w:tc>
          <w:tcPr>
            <w:tcW w:w="951" w:type="dxa"/>
            <w:tcBorders>
              <w:top w:val="nil"/>
              <w:left w:val="nil"/>
              <w:bottom w:val="nil"/>
              <w:right w:val="nil"/>
            </w:tcBorders>
            <w:shd w:val="clear" w:color="auto" w:fill="auto"/>
            <w:noWrap/>
            <w:vAlign w:val="bottom"/>
            <w:hideMark/>
          </w:tcPr>
          <w:p w14:paraId="19706655" w14:textId="77777777" w:rsidR="008432BE" w:rsidRPr="00DF07F3" w:rsidRDefault="008432BE" w:rsidP="008432BE">
            <w:pPr>
              <w:spacing w:line="240" w:lineRule="auto"/>
              <w:jc w:val="left"/>
              <w:rPr>
                <w:sz w:val="20"/>
              </w:rPr>
            </w:pPr>
          </w:p>
        </w:tc>
      </w:tr>
    </w:tbl>
    <w:p w14:paraId="3B660CD5" w14:textId="3CC2A236" w:rsidR="008432BE" w:rsidRPr="00730B1E" w:rsidRDefault="008432BE" w:rsidP="008432BE">
      <w:pPr>
        <w:pStyle w:val="OdstavecASR"/>
      </w:pPr>
      <w:r w:rsidRPr="00730B1E">
        <w:t>U všech soudů došlo k poklesu v počtu nevyřízených věcí na soudce. Největší pokles vidíme u MS v Praze a KS v Plzni. Nejvyšší počet nevyřízených věcí na soudce stále vykazují KS Brno (s velkým náskokem) a </w:t>
      </w:r>
      <w:r w:rsidR="00F45913" w:rsidRPr="00730B1E">
        <w:t>K</w:t>
      </w:r>
      <w:r w:rsidRPr="00730B1E">
        <w:t>S</w:t>
      </w:r>
      <w:r w:rsidR="00F45913" w:rsidRPr="00730B1E">
        <w:t xml:space="preserve"> Ostrava</w:t>
      </w:r>
      <w:r w:rsidRPr="00730B1E">
        <w:t>. Naopak nejnižší počet je stále u KS v Hradci Králové (zde hraje roli i to, že soud má na úseku relativně vyšší počet soudců než většina ostatních soudů). Celkově vidíme, že počet nevyřízených věcí na soudce klesl o 14 %.</w:t>
      </w:r>
    </w:p>
    <w:p w14:paraId="0993016B" w14:textId="3A61D470" w:rsidR="009F4322" w:rsidRPr="00730B1E" w:rsidRDefault="008430BD" w:rsidP="008430BD">
      <w:pPr>
        <w:pStyle w:val="Nadpis3"/>
        <w:numPr>
          <w:ilvl w:val="2"/>
          <w:numId w:val="1"/>
        </w:numPr>
        <w:rPr>
          <w:color w:val="auto"/>
        </w:rPr>
      </w:pPr>
      <w:bookmarkStart w:id="1162" w:name="_Toc515871270"/>
      <w:bookmarkStart w:id="1163" w:name="_Toc106092778"/>
      <w:bookmarkStart w:id="1164" w:name="_Toc169250854"/>
      <w:bookmarkStart w:id="1165" w:name="_Toc174080890"/>
      <w:r w:rsidRPr="00730B1E">
        <w:rPr>
          <w:color w:val="auto"/>
        </w:rPr>
        <w:t>Disposition time</w:t>
      </w:r>
      <w:bookmarkEnd w:id="1162"/>
      <w:r w:rsidRPr="00730B1E">
        <w:rPr>
          <w:color w:val="auto"/>
        </w:rPr>
        <w:t xml:space="preserve"> (dispoziční čas)</w:t>
      </w:r>
      <w:bookmarkEnd w:id="1163"/>
      <w:bookmarkEnd w:id="1164"/>
      <w:bookmarkEnd w:id="1165"/>
    </w:p>
    <w:p w14:paraId="78AF48C2" w14:textId="101617FA" w:rsidR="00410F97" w:rsidRPr="00730B1E" w:rsidRDefault="00410F97" w:rsidP="00410F97">
      <w:pPr>
        <w:pStyle w:val="OdstavecASR"/>
      </w:pPr>
      <w:r w:rsidRPr="00730B1E">
        <w:t>DT dále potvrzuje závěry z předchozích podkapitol. Od roku 2019 DT klesá v důsledku výrazného poklesu v počtu nevyřízených věcí. DT se tak drží pod 365 dny po šestiletém období, od roku 2021 již opravdu výrazně. To znamená, že počet nevyřízených věcí je nižší než počet věcí vyřízených. Od roku 2018 do roku 2022 klesl DT o 187 dnů (o 45 %). V roce 2023 došlo k dalšímu, i když již mírnějšímu poklesu. Z tabulky pak vidíme, že celkový pokles v DT je tažen především díky MS Praha.</w:t>
      </w:r>
    </w:p>
    <w:p w14:paraId="561F9BF6" w14:textId="77777777" w:rsidR="009F4322" w:rsidRPr="00730B1E" w:rsidRDefault="009F4322">
      <w:pPr>
        <w:spacing w:after="160" w:line="259" w:lineRule="auto"/>
        <w:jc w:val="left"/>
      </w:pPr>
      <w:r w:rsidRPr="00730B1E">
        <w:br w:type="page"/>
      </w:r>
    </w:p>
    <w:p w14:paraId="1FD73CD4" w14:textId="72846803" w:rsidR="00410F97" w:rsidRPr="00730B1E" w:rsidRDefault="00410F97" w:rsidP="00410F97">
      <w:pPr>
        <w:pStyle w:val="Podnadpis"/>
        <w:numPr>
          <w:ilvl w:val="0"/>
          <w:numId w:val="0"/>
        </w:numPr>
        <w:rPr>
          <w:color w:val="auto"/>
        </w:rPr>
      </w:pPr>
      <w:bookmarkStart w:id="1166" w:name="_Toc515871401"/>
      <w:bookmarkStart w:id="1167" w:name="_Toc11135132"/>
      <w:bookmarkStart w:id="1168" w:name="_Toc43841451"/>
      <w:bookmarkStart w:id="1169" w:name="_Toc75952253"/>
      <w:bookmarkStart w:id="1170" w:name="_Toc106106712"/>
      <w:bookmarkStart w:id="1171" w:name="_Toc109802036"/>
      <w:bookmarkStart w:id="1172" w:name="_Toc144104186"/>
      <w:bookmarkStart w:id="1173" w:name="_Toc169250999"/>
      <w:bookmarkStart w:id="1174" w:name="_Toc174080685"/>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80</w:t>
      </w:r>
      <w:r w:rsidRPr="00730B1E">
        <w:rPr>
          <w:color w:val="auto"/>
        </w:rPr>
        <w:fldChar w:fldCharType="end"/>
      </w:r>
      <w:r w:rsidRPr="00730B1E">
        <w:rPr>
          <w:color w:val="auto"/>
        </w:rPr>
        <w:t>: KS – DT správního řízení v letech 2014–20</w:t>
      </w:r>
      <w:bookmarkEnd w:id="1166"/>
      <w:bookmarkEnd w:id="1167"/>
      <w:bookmarkEnd w:id="1168"/>
      <w:r w:rsidRPr="00730B1E">
        <w:rPr>
          <w:color w:val="auto"/>
        </w:rPr>
        <w:t>2</w:t>
      </w:r>
      <w:bookmarkEnd w:id="1169"/>
      <w:bookmarkEnd w:id="1170"/>
      <w:bookmarkEnd w:id="1171"/>
      <w:bookmarkEnd w:id="1172"/>
      <w:r w:rsidRPr="00730B1E">
        <w:rPr>
          <w:color w:val="auto"/>
        </w:rPr>
        <w:t>3</w:t>
      </w:r>
      <w:bookmarkEnd w:id="1173"/>
      <w:bookmarkEnd w:id="1174"/>
    </w:p>
    <w:p w14:paraId="0DD8B27C" w14:textId="2BCD269F" w:rsidR="00410F97" w:rsidRPr="00730B1E" w:rsidRDefault="00410F97" w:rsidP="00410F97">
      <w:r w:rsidRPr="00730B1E">
        <w:rPr>
          <w:noProof/>
          <w:lang w:eastAsia="cs-CZ"/>
        </w:rPr>
        <w:drawing>
          <wp:inline distT="0" distB="0" distL="0" distR="0" wp14:anchorId="4BB041FB" wp14:editId="34408F7B">
            <wp:extent cx="5029200" cy="3657600"/>
            <wp:effectExtent l="0" t="0" r="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BF27B51" w14:textId="77777777" w:rsidR="008432BE" w:rsidRPr="00730B1E" w:rsidRDefault="008432BE">
      <w:pPr>
        <w:spacing w:after="160" w:line="259" w:lineRule="auto"/>
        <w:jc w:val="left"/>
        <w:rPr>
          <w:rFonts w:eastAsia="Times New Roman"/>
          <w:b/>
          <w:bCs/>
        </w:rPr>
      </w:pPr>
    </w:p>
    <w:p w14:paraId="47782586" w14:textId="3EC28D14" w:rsidR="00410F97" w:rsidRPr="00730B1E" w:rsidRDefault="00410F97" w:rsidP="00410F97">
      <w:pPr>
        <w:pStyle w:val="Podnadpis"/>
        <w:rPr>
          <w:color w:val="auto"/>
        </w:rPr>
      </w:pPr>
      <w:bookmarkStart w:id="1175" w:name="_Toc106106828"/>
      <w:bookmarkStart w:id="1176" w:name="_Toc109802151"/>
      <w:bookmarkStart w:id="1177" w:name="_Toc144104310"/>
      <w:bookmarkStart w:id="1178" w:name="_Toc169251124"/>
      <w:bookmarkStart w:id="1179" w:name="_Toc174080810"/>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67</w:t>
      </w:r>
      <w:r w:rsidRPr="00730B1E">
        <w:rPr>
          <w:noProof/>
          <w:color w:val="auto"/>
        </w:rPr>
        <w:fldChar w:fldCharType="end"/>
      </w:r>
      <w:r w:rsidRPr="00730B1E">
        <w:rPr>
          <w:color w:val="auto"/>
        </w:rPr>
        <w:t>: KS – DT správního řízení dle soudů</w:t>
      </w:r>
      <w:bookmarkEnd w:id="1175"/>
      <w:bookmarkEnd w:id="1176"/>
      <w:bookmarkEnd w:id="1177"/>
      <w:r w:rsidR="00606356" w:rsidRPr="00730B1E">
        <w:rPr>
          <w:color w:val="auto"/>
        </w:rPr>
        <w:t>, 2023</w:t>
      </w:r>
      <w:bookmarkEnd w:id="1178"/>
      <w:bookmarkEnd w:id="1179"/>
    </w:p>
    <w:tbl>
      <w:tblPr>
        <w:tblW w:w="5960" w:type="dxa"/>
        <w:tblCellMar>
          <w:left w:w="70" w:type="dxa"/>
          <w:right w:w="70" w:type="dxa"/>
        </w:tblCellMar>
        <w:tblLook w:val="04A0" w:firstRow="1" w:lastRow="0" w:firstColumn="1" w:lastColumn="0" w:noHBand="0" w:noVBand="1"/>
      </w:tblPr>
      <w:tblGrid>
        <w:gridCol w:w="2780"/>
        <w:gridCol w:w="1253"/>
        <w:gridCol w:w="1927"/>
      </w:tblGrid>
      <w:tr w:rsidR="00B64E96" w:rsidRPr="00730B1E" w14:paraId="47BAAFA7" w14:textId="77777777" w:rsidTr="00410F97">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07DD745" w14:textId="77777777" w:rsidR="00410F97" w:rsidRPr="00730B1E" w:rsidRDefault="00410F97" w:rsidP="00410F97">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66B84EFA" w14:textId="77777777" w:rsidR="00410F97" w:rsidRPr="00730B1E" w:rsidRDefault="00410F97" w:rsidP="00410F97">
            <w:pPr>
              <w:spacing w:line="240" w:lineRule="auto"/>
              <w:jc w:val="center"/>
              <w:rPr>
                <w:rFonts w:eastAsia="Times New Roman"/>
                <w:b/>
                <w:bCs/>
                <w:szCs w:val="24"/>
                <w:lang w:eastAsia="cs-CZ"/>
              </w:rPr>
            </w:pPr>
            <w:r w:rsidRPr="00730B1E">
              <w:rPr>
                <w:rFonts w:eastAsia="Times New Roman"/>
                <w:b/>
                <w:bCs/>
                <w:szCs w:val="24"/>
                <w:lang w:eastAsia="cs-CZ"/>
              </w:rPr>
              <w:t>Disposition time</w:t>
            </w:r>
          </w:p>
        </w:tc>
      </w:tr>
      <w:tr w:rsidR="00B64E96" w:rsidRPr="00730B1E" w14:paraId="65C951F3" w14:textId="77777777" w:rsidTr="00410F97">
        <w:trPr>
          <w:trHeight w:val="330"/>
        </w:trPr>
        <w:tc>
          <w:tcPr>
            <w:tcW w:w="2780" w:type="dxa"/>
            <w:tcBorders>
              <w:top w:val="nil"/>
              <w:left w:val="nil"/>
              <w:bottom w:val="single" w:sz="4" w:space="0" w:color="auto"/>
              <w:right w:val="nil"/>
            </w:tcBorders>
            <w:shd w:val="clear" w:color="auto" w:fill="auto"/>
            <w:noWrap/>
            <w:vAlign w:val="bottom"/>
            <w:hideMark/>
          </w:tcPr>
          <w:p w14:paraId="5FF1638C" w14:textId="77777777" w:rsidR="00410F97" w:rsidRPr="00730B1E" w:rsidRDefault="00410F97" w:rsidP="00410F97">
            <w:pPr>
              <w:spacing w:line="240" w:lineRule="auto"/>
              <w:jc w:val="left"/>
              <w:rPr>
                <w:rFonts w:eastAsia="Times New Roman"/>
                <w:szCs w:val="24"/>
                <w:lang w:eastAsia="cs-CZ"/>
              </w:rPr>
            </w:pPr>
            <w:r w:rsidRPr="00730B1E">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4A84CF72" w14:textId="77777777" w:rsidR="00410F97" w:rsidRPr="00730B1E" w:rsidRDefault="00410F97" w:rsidP="00410F97">
            <w:pPr>
              <w:spacing w:line="240" w:lineRule="auto"/>
              <w:jc w:val="center"/>
              <w:rPr>
                <w:rFonts w:eastAsia="Times New Roman"/>
                <w:szCs w:val="24"/>
                <w:lang w:eastAsia="cs-CZ"/>
              </w:rPr>
            </w:pPr>
            <w:r w:rsidRPr="00730B1E">
              <w:rPr>
                <w:rFonts w:eastAsia="Times New Roman"/>
                <w:szCs w:val="24"/>
                <w:lang w:eastAsia="cs-CZ"/>
              </w:rPr>
              <w:t>196</w:t>
            </w:r>
          </w:p>
        </w:tc>
        <w:tc>
          <w:tcPr>
            <w:tcW w:w="1927" w:type="dxa"/>
            <w:tcBorders>
              <w:top w:val="nil"/>
              <w:left w:val="nil"/>
              <w:bottom w:val="single" w:sz="4" w:space="0" w:color="auto"/>
              <w:right w:val="nil"/>
            </w:tcBorders>
            <w:shd w:val="clear" w:color="auto" w:fill="auto"/>
            <w:noWrap/>
            <w:vAlign w:val="center"/>
            <w:hideMark/>
          </w:tcPr>
          <w:p w14:paraId="64171D3B" w14:textId="77777777" w:rsidR="00410F97" w:rsidRPr="00730B1E" w:rsidRDefault="00410F97" w:rsidP="00410F97">
            <w:pPr>
              <w:spacing w:line="240" w:lineRule="auto"/>
              <w:jc w:val="center"/>
              <w:rPr>
                <w:rFonts w:eastAsia="Times New Roman"/>
                <w:sz w:val="20"/>
                <w:szCs w:val="20"/>
                <w:lang w:eastAsia="cs-CZ"/>
              </w:rPr>
            </w:pPr>
            <w:r w:rsidRPr="00730B1E">
              <w:rPr>
                <w:rFonts w:eastAsia="Times New Roman"/>
                <w:sz w:val="20"/>
                <w:szCs w:val="20"/>
                <w:lang w:eastAsia="cs-CZ"/>
              </w:rPr>
              <w:t xml:space="preserve">-25 %  </w:t>
            </w:r>
          </w:p>
        </w:tc>
      </w:tr>
      <w:tr w:rsidR="00B64E96" w:rsidRPr="00730B1E" w14:paraId="5A5BC451" w14:textId="77777777" w:rsidTr="00410F97">
        <w:trPr>
          <w:trHeight w:val="315"/>
        </w:trPr>
        <w:tc>
          <w:tcPr>
            <w:tcW w:w="2780" w:type="dxa"/>
            <w:tcBorders>
              <w:top w:val="nil"/>
              <w:left w:val="nil"/>
              <w:bottom w:val="single" w:sz="4" w:space="0" w:color="auto"/>
              <w:right w:val="nil"/>
            </w:tcBorders>
            <w:shd w:val="clear" w:color="auto" w:fill="auto"/>
            <w:noWrap/>
            <w:vAlign w:val="bottom"/>
            <w:hideMark/>
          </w:tcPr>
          <w:p w14:paraId="7759B83B" w14:textId="77777777" w:rsidR="00410F97" w:rsidRPr="00730B1E" w:rsidRDefault="00410F97" w:rsidP="00410F97">
            <w:pPr>
              <w:spacing w:line="240" w:lineRule="auto"/>
              <w:jc w:val="left"/>
              <w:rPr>
                <w:rFonts w:eastAsia="Times New Roman"/>
                <w:szCs w:val="24"/>
                <w:lang w:eastAsia="cs-CZ"/>
              </w:rPr>
            </w:pPr>
            <w:r w:rsidRPr="00730B1E">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47FDB149" w14:textId="77777777" w:rsidR="00410F97" w:rsidRPr="00730B1E" w:rsidRDefault="00410F97" w:rsidP="00410F97">
            <w:pPr>
              <w:spacing w:line="240" w:lineRule="auto"/>
              <w:jc w:val="center"/>
              <w:rPr>
                <w:rFonts w:eastAsia="Times New Roman"/>
                <w:szCs w:val="24"/>
                <w:lang w:eastAsia="cs-CZ"/>
              </w:rPr>
            </w:pPr>
            <w:r w:rsidRPr="00730B1E">
              <w:rPr>
                <w:rFonts w:eastAsia="Times New Roman"/>
                <w:szCs w:val="24"/>
                <w:lang w:eastAsia="cs-CZ"/>
              </w:rPr>
              <w:t>205</w:t>
            </w:r>
          </w:p>
        </w:tc>
        <w:tc>
          <w:tcPr>
            <w:tcW w:w="1927" w:type="dxa"/>
            <w:tcBorders>
              <w:top w:val="nil"/>
              <w:left w:val="nil"/>
              <w:bottom w:val="single" w:sz="4" w:space="0" w:color="auto"/>
              <w:right w:val="nil"/>
            </w:tcBorders>
            <w:shd w:val="clear" w:color="auto" w:fill="auto"/>
            <w:noWrap/>
            <w:vAlign w:val="center"/>
            <w:hideMark/>
          </w:tcPr>
          <w:p w14:paraId="6A870F1D" w14:textId="77777777" w:rsidR="00410F97" w:rsidRPr="00730B1E" w:rsidRDefault="00410F97" w:rsidP="00410F97">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r>
      <w:tr w:rsidR="00B64E96" w:rsidRPr="00730B1E" w14:paraId="522B6578" w14:textId="77777777" w:rsidTr="00410F97">
        <w:trPr>
          <w:trHeight w:val="315"/>
        </w:trPr>
        <w:tc>
          <w:tcPr>
            <w:tcW w:w="2780" w:type="dxa"/>
            <w:tcBorders>
              <w:top w:val="nil"/>
              <w:left w:val="nil"/>
              <w:bottom w:val="single" w:sz="4" w:space="0" w:color="auto"/>
              <w:right w:val="nil"/>
            </w:tcBorders>
            <w:shd w:val="clear" w:color="auto" w:fill="auto"/>
            <w:noWrap/>
            <w:vAlign w:val="bottom"/>
            <w:hideMark/>
          </w:tcPr>
          <w:p w14:paraId="0D875023" w14:textId="77777777" w:rsidR="00410F97" w:rsidRPr="00730B1E" w:rsidRDefault="00410F97" w:rsidP="00410F97">
            <w:pPr>
              <w:spacing w:line="240" w:lineRule="auto"/>
              <w:jc w:val="left"/>
              <w:rPr>
                <w:rFonts w:eastAsia="Times New Roman"/>
                <w:szCs w:val="24"/>
                <w:lang w:eastAsia="cs-CZ"/>
              </w:rPr>
            </w:pPr>
            <w:r w:rsidRPr="00730B1E">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1B1A1A18" w14:textId="77777777" w:rsidR="00410F97" w:rsidRPr="00730B1E" w:rsidRDefault="00410F97" w:rsidP="00410F97">
            <w:pPr>
              <w:spacing w:line="240" w:lineRule="auto"/>
              <w:jc w:val="center"/>
              <w:rPr>
                <w:rFonts w:eastAsia="Times New Roman"/>
                <w:szCs w:val="24"/>
                <w:lang w:eastAsia="cs-CZ"/>
              </w:rPr>
            </w:pPr>
            <w:r w:rsidRPr="00730B1E">
              <w:rPr>
                <w:rFonts w:eastAsia="Times New Roman"/>
                <w:szCs w:val="24"/>
                <w:lang w:eastAsia="cs-CZ"/>
              </w:rPr>
              <w:t>123</w:t>
            </w:r>
          </w:p>
        </w:tc>
        <w:tc>
          <w:tcPr>
            <w:tcW w:w="1927" w:type="dxa"/>
            <w:tcBorders>
              <w:top w:val="nil"/>
              <w:left w:val="nil"/>
              <w:bottom w:val="single" w:sz="4" w:space="0" w:color="auto"/>
              <w:right w:val="nil"/>
            </w:tcBorders>
            <w:shd w:val="clear" w:color="auto" w:fill="auto"/>
            <w:noWrap/>
            <w:vAlign w:val="center"/>
            <w:hideMark/>
          </w:tcPr>
          <w:p w14:paraId="5367DA38" w14:textId="77777777" w:rsidR="00410F97" w:rsidRPr="00730B1E" w:rsidRDefault="00410F97" w:rsidP="00410F97">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r>
      <w:tr w:rsidR="00B64E96" w:rsidRPr="00730B1E" w14:paraId="01758062" w14:textId="77777777" w:rsidTr="00410F97">
        <w:trPr>
          <w:trHeight w:val="315"/>
        </w:trPr>
        <w:tc>
          <w:tcPr>
            <w:tcW w:w="2780" w:type="dxa"/>
            <w:tcBorders>
              <w:top w:val="nil"/>
              <w:left w:val="nil"/>
              <w:bottom w:val="single" w:sz="4" w:space="0" w:color="auto"/>
              <w:right w:val="nil"/>
            </w:tcBorders>
            <w:shd w:val="clear" w:color="auto" w:fill="auto"/>
            <w:noWrap/>
            <w:vAlign w:val="bottom"/>
            <w:hideMark/>
          </w:tcPr>
          <w:p w14:paraId="65E07F3D" w14:textId="77777777" w:rsidR="00410F97" w:rsidRPr="00730B1E" w:rsidRDefault="00410F97" w:rsidP="00410F97">
            <w:pPr>
              <w:spacing w:line="240" w:lineRule="auto"/>
              <w:jc w:val="left"/>
              <w:rPr>
                <w:rFonts w:eastAsia="Times New Roman"/>
                <w:szCs w:val="24"/>
                <w:lang w:eastAsia="cs-CZ"/>
              </w:rPr>
            </w:pPr>
            <w:r w:rsidRPr="00730B1E">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707E2E69" w14:textId="77777777" w:rsidR="00410F97" w:rsidRPr="00730B1E" w:rsidRDefault="00410F97" w:rsidP="00410F97">
            <w:pPr>
              <w:spacing w:line="240" w:lineRule="auto"/>
              <w:jc w:val="center"/>
              <w:rPr>
                <w:rFonts w:eastAsia="Times New Roman"/>
                <w:szCs w:val="24"/>
                <w:lang w:eastAsia="cs-CZ"/>
              </w:rPr>
            </w:pPr>
            <w:r w:rsidRPr="00730B1E">
              <w:rPr>
                <w:rFonts w:eastAsia="Times New Roman"/>
                <w:szCs w:val="24"/>
                <w:lang w:eastAsia="cs-CZ"/>
              </w:rPr>
              <w:t>159</w:t>
            </w:r>
          </w:p>
        </w:tc>
        <w:tc>
          <w:tcPr>
            <w:tcW w:w="1927" w:type="dxa"/>
            <w:tcBorders>
              <w:top w:val="nil"/>
              <w:left w:val="nil"/>
              <w:bottom w:val="single" w:sz="4" w:space="0" w:color="auto"/>
              <w:right w:val="nil"/>
            </w:tcBorders>
            <w:shd w:val="clear" w:color="auto" w:fill="auto"/>
            <w:noWrap/>
            <w:vAlign w:val="center"/>
            <w:hideMark/>
          </w:tcPr>
          <w:p w14:paraId="33C75786" w14:textId="77777777" w:rsidR="00410F97" w:rsidRPr="00730B1E" w:rsidRDefault="00410F97" w:rsidP="00410F97">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r>
      <w:tr w:rsidR="00B64E96" w:rsidRPr="00730B1E" w14:paraId="5FD0B05F" w14:textId="77777777" w:rsidTr="00410F97">
        <w:trPr>
          <w:trHeight w:val="315"/>
        </w:trPr>
        <w:tc>
          <w:tcPr>
            <w:tcW w:w="2780" w:type="dxa"/>
            <w:tcBorders>
              <w:top w:val="nil"/>
              <w:left w:val="nil"/>
              <w:bottom w:val="single" w:sz="4" w:space="0" w:color="auto"/>
              <w:right w:val="nil"/>
            </w:tcBorders>
            <w:shd w:val="clear" w:color="auto" w:fill="auto"/>
            <w:noWrap/>
            <w:vAlign w:val="bottom"/>
            <w:hideMark/>
          </w:tcPr>
          <w:p w14:paraId="13CAD4C5" w14:textId="77777777" w:rsidR="00410F97" w:rsidRPr="00730B1E" w:rsidRDefault="00410F97" w:rsidP="00410F97">
            <w:pPr>
              <w:spacing w:line="240" w:lineRule="auto"/>
              <w:jc w:val="left"/>
              <w:rPr>
                <w:rFonts w:eastAsia="Times New Roman"/>
                <w:szCs w:val="24"/>
                <w:lang w:eastAsia="cs-CZ"/>
              </w:rPr>
            </w:pPr>
            <w:r w:rsidRPr="00730B1E">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675140A3" w14:textId="77777777" w:rsidR="00410F97" w:rsidRPr="00730B1E" w:rsidRDefault="00410F97" w:rsidP="00410F97">
            <w:pPr>
              <w:spacing w:line="240" w:lineRule="auto"/>
              <w:jc w:val="center"/>
              <w:rPr>
                <w:rFonts w:eastAsia="Times New Roman"/>
                <w:szCs w:val="24"/>
                <w:lang w:eastAsia="cs-CZ"/>
              </w:rPr>
            </w:pPr>
            <w:r w:rsidRPr="00730B1E">
              <w:rPr>
                <w:rFonts w:eastAsia="Times New Roman"/>
                <w:szCs w:val="24"/>
                <w:lang w:eastAsia="cs-CZ"/>
              </w:rPr>
              <w:t>220</w:t>
            </w:r>
          </w:p>
        </w:tc>
        <w:tc>
          <w:tcPr>
            <w:tcW w:w="1927" w:type="dxa"/>
            <w:tcBorders>
              <w:top w:val="nil"/>
              <w:left w:val="nil"/>
              <w:bottom w:val="single" w:sz="4" w:space="0" w:color="auto"/>
              <w:right w:val="nil"/>
            </w:tcBorders>
            <w:shd w:val="clear" w:color="auto" w:fill="auto"/>
            <w:noWrap/>
            <w:vAlign w:val="center"/>
            <w:hideMark/>
          </w:tcPr>
          <w:p w14:paraId="3329A5F6" w14:textId="77777777" w:rsidR="00410F97" w:rsidRPr="00730B1E" w:rsidRDefault="00410F97" w:rsidP="00410F97">
            <w:pPr>
              <w:spacing w:line="240" w:lineRule="auto"/>
              <w:jc w:val="center"/>
              <w:rPr>
                <w:rFonts w:eastAsia="Times New Roman"/>
                <w:sz w:val="20"/>
                <w:szCs w:val="20"/>
                <w:lang w:eastAsia="cs-CZ"/>
              </w:rPr>
            </w:pPr>
            <w:r w:rsidRPr="00730B1E">
              <w:rPr>
                <w:rFonts w:eastAsia="Times New Roman"/>
                <w:sz w:val="20"/>
                <w:szCs w:val="20"/>
                <w:lang w:eastAsia="cs-CZ"/>
              </w:rPr>
              <w:t xml:space="preserve">+31 %  </w:t>
            </w:r>
          </w:p>
        </w:tc>
      </w:tr>
      <w:tr w:rsidR="00B64E96" w:rsidRPr="00730B1E" w14:paraId="38F6A830" w14:textId="77777777" w:rsidTr="00410F97">
        <w:trPr>
          <w:trHeight w:val="315"/>
        </w:trPr>
        <w:tc>
          <w:tcPr>
            <w:tcW w:w="2780" w:type="dxa"/>
            <w:tcBorders>
              <w:top w:val="nil"/>
              <w:left w:val="nil"/>
              <w:bottom w:val="single" w:sz="4" w:space="0" w:color="auto"/>
              <w:right w:val="nil"/>
            </w:tcBorders>
            <w:shd w:val="clear" w:color="auto" w:fill="auto"/>
            <w:noWrap/>
            <w:vAlign w:val="bottom"/>
            <w:hideMark/>
          </w:tcPr>
          <w:p w14:paraId="640B1CD4" w14:textId="77777777" w:rsidR="00410F97" w:rsidRPr="00730B1E" w:rsidRDefault="00410F97" w:rsidP="00410F97">
            <w:pPr>
              <w:spacing w:line="240" w:lineRule="auto"/>
              <w:jc w:val="left"/>
              <w:rPr>
                <w:rFonts w:eastAsia="Times New Roman"/>
                <w:szCs w:val="24"/>
                <w:lang w:eastAsia="cs-CZ"/>
              </w:rPr>
            </w:pPr>
            <w:r w:rsidRPr="00730B1E">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195DD592" w14:textId="77777777" w:rsidR="00410F97" w:rsidRPr="00730B1E" w:rsidRDefault="00410F97" w:rsidP="00410F97">
            <w:pPr>
              <w:spacing w:line="240" w:lineRule="auto"/>
              <w:jc w:val="center"/>
              <w:rPr>
                <w:rFonts w:eastAsia="Times New Roman"/>
                <w:szCs w:val="24"/>
                <w:lang w:eastAsia="cs-CZ"/>
              </w:rPr>
            </w:pPr>
            <w:r w:rsidRPr="00730B1E">
              <w:rPr>
                <w:rFonts w:eastAsia="Times New Roman"/>
                <w:szCs w:val="24"/>
                <w:lang w:eastAsia="cs-CZ"/>
              </w:rPr>
              <w:t>156</w:t>
            </w:r>
          </w:p>
        </w:tc>
        <w:tc>
          <w:tcPr>
            <w:tcW w:w="1927" w:type="dxa"/>
            <w:tcBorders>
              <w:top w:val="nil"/>
              <w:left w:val="nil"/>
              <w:bottom w:val="single" w:sz="4" w:space="0" w:color="auto"/>
              <w:right w:val="nil"/>
            </w:tcBorders>
            <w:shd w:val="clear" w:color="auto" w:fill="auto"/>
            <w:noWrap/>
            <w:vAlign w:val="center"/>
            <w:hideMark/>
          </w:tcPr>
          <w:p w14:paraId="3FD712BD" w14:textId="77777777" w:rsidR="00410F97" w:rsidRPr="00730B1E" w:rsidRDefault="00410F97" w:rsidP="00410F97">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r>
      <w:tr w:rsidR="00B64E96" w:rsidRPr="00730B1E" w14:paraId="032C1DB9" w14:textId="77777777" w:rsidTr="00410F97">
        <w:trPr>
          <w:trHeight w:val="315"/>
        </w:trPr>
        <w:tc>
          <w:tcPr>
            <w:tcW w:w="2780" w:type="dxa"/>
            <w:tcBorders>
              <w:top w:val="nil"/>
              <w:left w:val="nil"/>
              <w:bottom w:val="single" w:sz="4" w:space="0" w:color="auto"/>
              <w:right w:val="nil"/>
            </w:tcBorders>
            <w:shd w:val="clear" w:color="auto" w:fill="auto"/>
            <w:noWrap/>
            <w:vAlign w:val="bottom"/>
            <w:hideMark/>
          </w:tcPr>
          <w:p w14:paraId="699F16DF" w14:textId="77777777" w:rsidR="00410F97" w:rsidRPr="00730B1E" w:rsidRDefault="00410F97" w:rsidP="00410F97">
            <w:pPr>
              <w:spacing w:line="240" w:lineRule="auto"/>
              <w:jc w:val="left"/>
              <w:rPr>
                <w:rFonts w:eastAsia="Times New Roman"/>
                <w:szCs w:val="24"/>
                <w:lang w:eastAsia="cs-CZ"/>
              </w:rPr>
            </w:pPr>
            <w:r w:rsidRPr="00730B1E">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173D5643" w14:textId="77777777" w:rsidR="00410F97" w:rsidRPr="00730B1E" w:rsidRDefault="00410F97" w:rsidP="00410F97">
            <w:pPr>
              <w:spacing w:line="240" w:lineRule="auto"/>
              <w:jc w:val="center"/>
              <w:rPr>
                <w:rFonts w:eastAsia="Times New Roman"/>
                <w:szCs w:val="24"/>
                <w:lang w:eastAsia="cs-CZ"/>
              </w:rPr>
            </w:pPr>
            <w:r w:rsidRPr="00730B1E">
              <w:rPr>
                <w:rFonts w:eastAsia="Times New Roman"/>
                <w:szCs w:val="24"/>
                <w:lang w:eastAsia="cs-CZ"/>
              </w:rPr>
              <w:t>298</w:t>
            </w:r>
          </w:p>
        </w:tc>
        <w:tc>
          <w:tcPr>
            <w:tcW w:w="1927" w:type="dxa"/>
            <w:tcBorders>
              <w:top w:val="nil"/>
              <w:left w:val="nil"/>
              <w:bottom w:val="single" w:sz="4" w:space="0" w:color="auto"/>
              <w:right w:val="nil"/>
            </w:tcBorders>
            <w:shd w:val="clear" w:color="auto" w:fill="auto"/>
            <w:noWrap/>
            <w:vAlign w:val="center"/>
            <w:hideMark/>
          </w:tcPr>
          <w:p w14:paraId="2722F560" w14:textId="77777777" w:rsidR="00410F97" w:rsidRPr="00730B1E" w:rsidRDefault="00410F97" w:rsidP="00410F97">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r>
      <w:tr w:rsidR="00B64E96" w:rsidRPr="00730B1E" w14:paraId="33D28FD6" w14:textId="77777777" w:rsidTr="00410F97">
        <w:trPr>
          <w:trHeight w:val="330"/>
        </w:trPr>
        <w:tc>
          <w:tcPr>
            <w:tcW w:w="2780" w:type="dxa"/>
            <w:tcBorders>
              <w:top w:val="nil"/>
              <w:left w:val="nil"/>
              <w:bottom w:val="double" w:sz="6" w:space="0" w:color="auto"/>
              <w:right w:val="nil"/>
            </w:tcBorders>
            <w:shd w:val="clear" w:color="auto" w:fill="auto"/>
            <w:noWrap/>
            <w:vAlign w:val="bottom"/>
            <w:hideMark/>
          </w:tcPr>
          <w:p w14:paraId="4E7CFE60" w14:textId="77777777" w:rsidR="00410F97" w:rsidRPr="00730B1E" w:rsidRDefault="00410F97" w:rsidP="00410F97">
            <w:pPr>
              <w:spacing w:line="240" w:lineRule="auto"/>
              <w:jc w:val="left"/>
              <w:rPr>
                <w:rFonts w:eastAsia="Times New Roman"/>
                <w:szCs w:val="24"/>
                <w:lang w:eastAsia="cs-CZ"/>
              </w:rPr>
            </w:pPr>
            <w:r w:rsidRPr="00730B1E">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2C377D40" w14:textId="77777777" w:rsidR="00410F97" w:rsidRPr="00730B1E" w:rsidRDefault="00410F97" w:rsidP="00410F97">
            <w:pPr>
              <w:spacing w:line="240" w:lineRule="auto"/>
              <w:jc w:val="center"/>
              <w:rPr>
                <w:rFonts w:eastAsia="Times New Roman"/>
                <w:szCs w:val="24"/>
                <w:lang w:eastAsia="cs-CZ"/>
              </w:rPr>
            </w:pPr>
            <w:r w:rsidRPr="00730B1E">
              <w:rPr>
                <w:rFonts w:eastAsia="Times New Roman"/>
                <w:szCs w:val="24"/>
                <w:lang w:eastAsia="cs-CZ"/>
              </w:rPr>
              <w:t>238</w:t>
            </w:r>
          </w:p>
        </w:tc>
        <w:tc>
          <w:tcPr>
            <w:tcW w:w="1927" w:type="dxa"/>
            <w:tcBorders>
              <w:top w:val="nil"/>
              <w:left w:val="nil"/>
              <w:bottom w:val="double" w:sz="6" w:space="0" w:color="auto"/>
              <w:right w:val="nil"/>
            </w:tcBorders>
            <w:shd w:val="clear" w:color="auto" w:fill="auto"/>
            <w:noWrap/>
            <w:vAlign w:val="center"/>
            <w:hideMark/>
          </w:tcPr>
          <w:p w14:paraId="67CCB898" w14:textId="77777777" w:rsidR="00410F97" w:rsidRPr="00730B1E" w:rsidRDefault="00410F97" w:rsidP="00410F97">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r>
      <w:tr w:rsidR="00B64E96" w:rsidRPr="00730B1E" w14:paraId="0E3DED1F" w14:textId="77777777" w:rsidTr="00410F97">
        <w:trPr>
          <w:trHeight w:val="345"/>
        </w:trPr>
        <w:tc>
          <w:tcPr>
            <w:tcW w:w="2780" w:type="dxa"/>
            <w:tcBorders>
              <w:top w:val="nil"/>
              <w:left w:val="nil"/>
              <w:bottom w:val="double" w:sz="6" w:space="0" w:color="auto"/>
              <w:right w:val="nil"/>
            </w:tcBorders>
            <w:shd w:val="clear" w:color="auto" w:fill="auto"/>
            <w:noWrap/>
            <w:vAlign w:val="bottom"/>
            <w:hideMark/>
          </w:tcPr>
          <w:p w14:paraId="2FE4DECF" w14:textId="77777777" w:rsidR="00410F97" w:rsidRPr="00730B1E" w:rsidRDefault="00410F97" w:rsidP="00410F97">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7A446B69" w14:textId="77777777" w:rsidR="00410F97" w:rsidRPr="00730B1E" w:rsidRDefault="00410F97" w:rsidP="00410F97">
            <w:pPr>
              <w:spacing w:line="240" w:lineRule="auto"/>
              <w:jc w:val="center"/>
              <w:rPr>
                <w:rFonts w:eastAsia="Times New Roman"/>
                <w:b/>
                <w:bCs/>
                <w:szCs w:val="24"/>
                <w:lang w:eastAsia="cs-CZ"/>
              </w:rPr>
            </w:pPr>
            <w:r w:rsidRPr="00730B1E">
              <w:rPr>
                <w:rFonts w:eastAsia="Times New Roman"/>
                <w:b/>
                <w:bCs/>
                <w:szCs w:val="24"/>
                <w:lang w:eastAsia="cs-CZ"/>
              </w:rPr>
              <w:t>212</w:t>
            </w:r>
          </w:p>
        </w:tc>
        <w:tc>
          <w:tcPr>
            <w:tcW w:w="1927" w:type="dxa"/>
            <w:tcBorders>
              <w:top w:val="nil"/>
              <w:left w:val="nil"/>
              <w:bottom w:val="double" w:sz="6" w:space="0" w:color="auto"/>
              <w:right w:val="nil"/>
            </w:tcBorders>
            <w:shd w:val="clear" w:color="auto" w:fill="auto"/>
            <w:noWrap/>
            <w:vAlign w:val="center"/>
            <w:hideMark/>
          </w:tcPr>
          <w:p w14:paraId="2DD98E89" w14:textId="77777777" w:rsidR="00410F97" w:rsidRPr="00730B1E" w:rsidRDefault="00410F97" w:rsidP="00410F97">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-6 %  </w:t>
            </w:r>
          </w:p>
        </w:tc>
      </w:tr>
      <w:tr w:rsidR="00B64E96" w:rsidRPr="00730B1E" w14:paraId="71185144" w14:textId="77777777" w:rsidTr="00410F97">
        <w:trPr>
          <w:trHeight w:val="330"/>
        </w:trPr>
        <w:tc>
          <w:tcPr>
            <w:tcW w:w="2780" w:type="dxa"/>
            <w:tcBorders>
              <w:top w:val="nil"/>
              <w:left w:val="nil"/>
              <w:bottom w:val="nil"/>
              <w:right w:val="nil"/>
            </w:tcBorders>
            <w:shd w:val="clear" w:color="auto" w:fill="auto"/>
            <w:noWrap/>
            <w:vAlign w:val="bottom"/>
            <w:hideMark/>
          </w:tcPr>
          <w:p w14:paraId="78BE7F72" w14:textId="77777777" w:rsidR="00410F97" w:rsidRPr="00730B1E" w:rsidRDefault="00410F97" w:rsidP="00410F97">
            <w:pPr>
              <w:spacing w:line="240" w:lineRule="auto"/>
              <w:jc w:val="center"/>
              <w:rPr>
                <w:rFonts w:eastAsia="Times New Roman"/>
                <w:b/>
                <w:bCs/>
                <w:sz w:val="20"/>
                <w:szCs w:val="20"/>
                <w:lang w:eastAsia="cs-CZ"/>
              </w:rPr>
            </w:pPr>
          </w:p>
        </w:tc>
        <w:tc>
          <w:tcPr>
            <w:tcW w:w="1253" w:type="dxa"/>
            <w:tcBorders>
              <w:top w:val="nil"/>
              <w:left w:val="nil"/>
              <w:bottom w:val="nil"/>
              <w:right w:val="nil"/>
            </w:tcBorders>
            <w:shd w:val="clear" w:color="auto" w:fill="auto"/>
            <w:noWrap/>
            <w:vAlign w:val="bottom"/>
            <w:hideMark/>
          </w:tcPr>
          <w:p w14:paraId="3F2C39AA" w14:textId="77777777" w:rsidR="00410F97" w:rsidRPr="00DF07F3" w:rsidRDefault="00410F97" w:rsidP="00410F97">
            <w:pPr>
              <w:spacing w:line="240" w:lineRule="auto"/>
              <w:jc w:val="left"/>
              <w:rPr>
                <w:sz w:val="20"/>
              </w:rPr>
            </w:pPr>
          </w:p>
        </w:tc>
        <w:tc>
          <w:tcPr>
            <w:tcW w:w="1927" w:type="dxa"/>
            <w:tcBorders>
              <w:top w:val="nil"/>
              <w:left w:val="nil"/>
              <w:bottom w:val="nil"/>
              <w:right w:val="nil"/>
            </w:tcBorders>
            <w:shd w:val="clear" w:color="auto" w:fill="auto"/>
            <w:noWrap/>
            <w:vAlign w:val="bottom"/>
            <w:hideMark/>
          </w:tcPr>
          <w:p w14:paraId="1EAD1556" w14:textId="77777777" w:rsidR="00410F97" w:rsidRPr="00DF07F3" w:rsidRDefault="00410F97" w:rsidP="00410F97">
            <w:pPr>
              <w:spacing w:line="240" w:lineRule="auto"/>
              <w:jc w:val="left"/>
              <w:rPr>
                <w:sz w:val="20"/>
              </w:rPr>
            </w:pPr>
          </w:p>
        </w:tc>
      </w:tr>
    </w:tbl>
    <w:p w14:paraId="5906A287" w14:textId="6DBFFB35" w:rsidR="00F45913" w:rsidRPr="00730B1E" w:rsidRDefault="00F45913" w:rsidP="00410F97">
      <w:pPr>
        <w:pStyle w:val="OdstavecASR"/>
      </w:pPr>
      <w:r w:rsidRPr="00730B1E">
        <w:t>Situace lze shrnout tak, že d</w:t>
      </w:r>
      <w:r w:rsidR="00410F97" w:rsidRPr="00730B1E">
        <w:t xml:space="preserve">élky řízení ve správním soudnictví byly velmi vysoké, ale v letech 2022 a 2023 konečně vykázaly značný pokles. </w:t>
      </w:r>
      <w:r w:rsidR="003E5015" w:rsidRPr="00730B1E">
        <w:t xml:space="preserve">Rychle klesá </w:t>
      </w:r>
      <w:r w:rsidR="00410F97" w:rsidRPr="00730B1E">
        <w:t>i případová zátěž správních úseků soudů. Situac</w:t>
      </w:r>
      <w:r w:rsidR="003E5015" w:rsidRPr="00730B1E">
        <w:t>e</w:t>
      </w:r>
      <w:r w:rsidR="00410F97" w:rsidRPr="00730B1E">
        <w:t xml:space="preserve"> ve správním soudnictví </w:t>
      </w:r>
      <w:r w:rsidR="003E5015" w:rsidRPr="00730B1E">
        <w:t xml:space="preserve">se </w:t>
      </w:r>
      <w:r w:rsidR="00410F97" w:rsidRPr="00730B1E">
        <w:t>tak zatím díky posilování správních úseků a poklesu v nápadu v posledních pěti letech výrazně zlepšil</w:t>
      </w:r>
      <w:r w:rsidR="003E5015" w:rsidRPr="00730B1E">
        <w:t>a</w:t>
      </w:r>
      <w:r w:rsidR="00410F97" w:rsidRPr="00730B1E">
        <w:t>, ale další vývoj bude třeba sledovat i proto, že správní agendy mohou podléhat náhlým a nepředvídatelným externím vlivům.</w:t>
      </w:r>
    </w:p>
    <w:p w14:paraId="79150182" w14:textId="77777777" w:rsidR="00F45913" w:rsidRPr="00730B1E" w:rsidRDefault="00F45913">
      <w:pPr>
        <w:spacing w:after="160" w:line="259" w:lineRule="auto"/>
        <w:jc w:val="left"/>
      </w:pPr>
      <w:r w:rsidRPr="00730B1E">
        <w:br w:type="page"/>
      </w:r>
    </w:p>
    <w:p w14:paraId="14AF05E3" w14:textId="57E803AA" w:rsidR="008430BD" w:rsidRPr="00730B1E" w:rsidRDefault="008430BD" w:rsidP="008430BD">
      <w:pPr>
        <w:pStyle w:val="Nadpis2"/>
        <w:numPr>
          <w:ilvl w:val="1"/>
          <w:numId w:val="1"/>
        </w:numPr>
        <w:spacing w:before="120"/>
        <w:rPr>
          <w:color w:val="auto"/>
        </w:rPr>
      </w:pPr>
      <w:bookmarkStart w:id="1180" w:name="_Ref511982760"/>
      <w:bookmarkStart w:id="1181" w:name="_Toc515871272"/>
      <w:bookmarkStart w:id="1182" w:name="_Toc106092779"/>
      <w:bookmarkStart w:id="1183" w:name="_Toc169250855"/>
      <w:bookmarkStart w:id="1184" w:name="_Toc174080891"/>
      <w:r w:rsidRPr="00730B1E">
        <w:rPr>
          <w:color w:val="auto"/>
        </w:rPr>
        <w:lastRenderedPageBreak/>
        <w:t>Insolvenční agenda</w:t>
      </w:r>
      <w:bookmarkEnd w:id="1180"/>
      <w:bookmarkEnd w:id="1181"/>
      <w:bookmarkEnd w:id="1182"/>
      <w:bookmarkEnd w:id="1183"/>
      <w:bookmarkEnd w:id="1184"/>
    </w:p>
    <w:p w14:paraId="458F6858" w14:textId="77777777" w:rsidR="00B50CF7" w:rsidRPr="00730B1E" w:rsidRDefault="00B50CF7" w:rsidP="00B50CF7">
      <w:pPr>
        <w:pStyle w:val="OdstavecASR"/>
      </w:pPr>
      <w:r w:rsidRPr="00730B1E">
        <w:t>Insolvenční agenda je vedena v prvostupňovém rejstříku INS. Ve vedení statistik nedošlo v průběhu sledovaných let k žádným změnám. Přesto můžeme pozorovat, že se většina ukazatelů během let výrazně měnila. Jedná se totiž o poměrně novou agendu z roku 2008 (do té doby bylo řízení o úpadku upraveno jiným systémem a bylo vedeno v jiných rejstřících) a obvykle trvá několik let, než se ukazatele ustálí. Je ještě třeba připomenout, že součástí insolvenční agendy je projednávání a rozhodování incidenčních sporů, které jsou vedeny v rejstříku ICm. Tomuto rejstříku se věnuje další kapitola.</w:t>
      </w:r>
    </w:p>
    <w:p w14:paraId="29A2CF43" w14:textId="2E4CE27E" w:rsidR="00B50CF7" w:rsidRPr="00730B1E" w:rsidRDefault="00B50CF7" w:rsidP="00B50CF7">
      <w:pPr>
        <w:pStyle w:val="OdstavecASR"/>
      </w:pPr>
      <w:r w:rsidRPr="00730B1E">
        <w:t xml:space="preserve">Původně insolvence zahrnovala dvě zcela odlišné agendy – insolvenci podnikatelů (osob právnických a podnikajících fyzických osob) a insolvenci nepodnikatelů (zpravidla fyzických osob jako spotřebitelů). Insolvence fyzických osob – spotřebitelů se označovaly jako spotřebitelské insolvence. Podnikatelské a spotřebitelské insolvence tak představovaly skutkově i právně rozdílné druhy insolvencí. V naprosté většině případů se spotřebitelské insolvence řešily a doposud řeší tzv. oddlužením, naopak ty podnikatelské zpravidla konkursem. Toto rozdělení v souvislosti s dalšími novelizacemi zákona č. 182/2006 Sb., o úpadku a způsobech jeho řešení (insolvenční zákon), který tuto agendu upravuje, není již tak striktní. Zejména významná novela insolvenčního zákona účinná od 1. července 2017, provedená zákonem č. 64/2017 Sb., ještě podstatněji otevřela podnikajícím fyzickým osobám možnost řešit úpadek oddlužením. I právnické osoby, které zákon nezařazuje mezi podnikatele, nadto mají možnost projít oddlužením. V důsledku toho již rozdělení na spotřebitelské a podnikatelské insolvence jen podle členění na fyzické a právnické osoby nadále plně nekoresponduje. Ministerstvo spravedlnosti v důsledku toho v současné době ne vždy disponuje daty, která by umožnila spotřebitelské a podnikatelské insolvence důsledně rozlišit. V podkapitole věnované délkám řízení proto dělíme insolvence na insolvence fyzických osob (ty ale zahrnují i podnikající fyzické osoby) a insolvence právnických osob. V ostatních podkapitolách nejsou k dispozici data, která by dělení umožnila. Další významná novela insolvenčního zákona (zákon č. 31/2019 Sb.), která nabyla účinnost dne 1. června 2019, kromě řady změn technického charakteru opětovně zásadně zasáhla do procesu oddlužení. Jejím hlavním záměrem je zpřístupnění institutu oddlužení i dlužníkům v tzv. </w:t>
      </w:r>
      <w:r w:rsidRPr="00730B1E">
        <w:rPr>
          <w:i/>
        </w:rPr>
        <w:t>dluhové pasti</w:t>
      </w:r>
      <w:r w:rsidRPr="00730B1E">
        <w:t>. Novela zároveň reagovala na potřeby, které vyplynuly z aplikační praxe pro oddlužení fyzických osob – podnikatelů. Změny zavedené touto novelou jsou velmi významné a jejich účinek bude mít dopad v delším časovém horizontu. Mohou ovlivnit jak délky řízení, tak vyřizování insolvenčních věcí.</w:t>
      </w:r>
    </w:p>
    <w:p w14:paraId="318375B4" w14:textId="41F1ACA5" w:rsidR="008430BD" w:rsidRPr="00730B1E" w:rsidRDefault="008430BD" w:rsidP="008430BD">
      <w:pPr>
        <w:pStyle w:val="Nadpis3"/>
        <w:numPr>
          <w:ilvl w:val="2"/>
          <w:numId w:val="1"/>
        </w:numPr>
        <w:rPr>
          <w:color w:val="auto"/>
        </w:rPr>
      </w:pPr>
      <w:bookmarkStart w:id="1185" w:name="_Toc515871273"/>
      <w:bookmarkStart w:id="1186" w:name="_Toc106092780"/>
      <w:bookmarkStart w:id="1187" w:name="_Toc169250856"/>
      <w:bookmarkStart w:id="1188" w:name="_Toc174080892"/>
      <w:r w:rsidRPr="00730B1E">
        <w:rPr>
          <w:color w:val="auto"/>
        </w:rPr>
        <w:t>Délka řízení</w:t>
      </w:r>
      <w:bookmarkEnd w:id="1185"/>
      <w:bookmarkEnd w:id="1186"/>
      <w:bookmarkEnd w:id="1187"/>
      <w:bookmarkEnd w:id="1188"/>
    </w:p>
    <w:p w14:paraId="49353619" w14:textId="21774B77" w:rsidR="00B112C8" w:rsidRPr="00730B1E" w:rsidRDefault="00B112C8" w:rsidP="00B112C8">
      <w:pPr>
        <w:pStyle w:val="OdstavecASR"/>
      </w:pPr>
      <w:r w:rsidRPr="00730B1E">
        <w:t>Sledování délky řízení je u této agendy složitější, protože se jedná o vícefázové řízení upravené insolvenčním zákonem. Jednoduše řečeno, v první fázi je rozhodnuto o insolvenčním návrhu, případně i o způsobu řešení úpadku. Pokud insolvenční soud nerozhodne o úpadku a vyřídí tedy insolvenční návrh jiným způsobem, řízení končí. V opačném případě nastává další fáze řízení, jejíž délka se odvíjí především od způsobu řešení úpadku (oddlužení, konkurs, reorganizace). Například oddlužení běžně trvá pět let. Soud má reálný vliv na délku řízení pouze v první fázi, ve fázi řešení úpadku má u oddlužení pouze nepřímý vliv na délku řízení. Zkoumat tedy budeme délku řízení týkající se právě první fáze insolvenčního řízení. Budeme pracovat s délkou řízení ode dne zahájení řízení do dne rozhodnutí o insolvenčním návrhu, tedy do dne, kdy bylo rozhodnuto o úpadku nebo bylo o insolvenčním návrhu rozhodnuto jinak.</w:t>
      </w:r>
    </w:p>
    <w:p w14:paraId="1969459C" w14:textId="3D72902D" w:rsidR="00B112C8" w:rsidRPr="00730B1E" w:rsidRDefault="00B112C8" w:rsidP="00B112C8">
      <w:pPr>
        <w:pStyle w:val="Podnadpis"/>
        <w:numPr>
          <w:ilvl w:val="0"/>
          <w:numId w:val="0"/>
        </w:numPr>
        <w:rPr>
          <w:color w:val="auto"/>
        </w:rPr>
      </w:pPr>
      <w:bookmarkStart w:id="1189" w:name="_Toc515871402"/>
      <w:bookmarkStart w:id="1190" w:name="_Toc11135133"/>
      <w:bookmarkStart w:id="1191" w:name="_Toc43841452"/>
      <w:bookmarkStart w:id="1192" w:name="_Toc75952254"/>
      <w:bookmarkStart w:id="1193" w:name="_Toc106106713"/>
      <w:bookmarkStart w:id="1194" w:name="_Toc109802037"/>
      <w:bookmarkStart w:id="1195" w:name="_Toc144104187"/>
      <w:bookmarkStart w:id="1196" w:name="_Toc169251000"/>
      <w:bookmarkStart w:id="1197" w:name="_Toc174080686"/>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81</w:t>
      </w:r>
      <w:r w:rsidRPr="00730B1E">
        <w:rPr>
          <w:color w:val="auto"/>
        </w:rPr>
        <w:fldChar w:fldCharType="end"/>
      </w:r>
      <w:r w:rsidRPr="00730B1E">
        <w:rPr>
          <w:color w:val="auto"/>
        </w:rPr>
        <w:t>: KS – délka insolvenčního řízení v letech 2014–20</w:t>
      </w:r>
      <w:bookmarkEnd w:id="1189"/>
      <w:bookmarkEnd w:id="1190"/>
      <w:bookmarkEnd w:id="1191"/>
      <w:r w:rsidRPr="00730B1E">
        <w:rPr>
          <w:color w:val="auto"/>
        </w:rPr>
        <w:t>2</w:t>
      </w:r>
      <w:bookmarkEnd w:id="1192"/>
      <w:bookmarkEnd w:id="1193"/>
      <w:bookmarkEnd w:id="1194"/>
      <w:bookmarkEnd w:id="1195"/>
      <w:r w:rsidRPr="00730B1E">
        <w:rPr>
          <w:color w:val="auto"/>
        </w:rPr>
        <w:t>3</w:t>
      </w:r>
      <w:bookmarkEnd w:id="1196"/>
      <w:bookmarkEnd w:id="1197"/>
    </w:p>
    <w:p w14:paraId="6A448AB7" w14:textId="3836582A" w:rsidR="00B112C8" w:rsidRPr="00730B1E" w:rsidRDefault="009C016C" w:rsidP="00B112C8">
      <w:r w:rsidRPr="00730B1E">
        <w:rPr>
          <w:noProof/>
          <w:lang w:eastAsia="cs-CZ"/>
        </w:rPr>
        <w:drawing>
          <wp:inline distT="0" distB="0" distL="0" distR="0" wp14:anchorId="3383BB7E" wp14:editId="3E82BA6A">
            <wp:extent cx="5029200" cy="3657600"/>
            <wp:effectExtent l="0" t="0" r="0"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28F29BF" w14:textId="77777777" w:rsidR="009C016C" w:rsidRPr="00730B1E" w:rsidRDefault="009C016C" w:rsidP="00B112C8"/>
    <w:p w14:paraId="08648FCD" w14:textId="3036F9CA" w:rsidR="009C016C" w:rsidRPr="00730B1E" w:rsidRDefault="00C53058" w:rsidP="009C016C">
      <w:pPr>
        <w:pStyle w:val="OdstavecASR"/>
      </w:pPr>
      <w:r w:rsidRPr="00730B1E">
        <w:t xml:space="preserve">Z grafu je patrný </w:t>
      </w:r>
      <w:r w:rsidR="009C016C" w:rsidRPr="00730B1E">
        <w:t>rostoucí trend v průměru a mediánu od roku 2014 do roku 2018. Rostoucí trend je v datech i před sledovaným obdobím</w:t>
      </w:r>
      <w:r w:rsidRPr="00730B1E">
        <w:t xml:space="preserve">, již </w:t>
      </w:r>
      <w:r w:rsidR="009C016C" w:rsidRPr="00730B1E">
        <w:t xml:space="preserve">od roku 2008. V roce 2019 se trend obrátil a délky řízení začaly klesat, </w:t>
      </w:r>
      <w:r w:rsidRPr="00730B1E">
        <w:t>vzhledem k jejich absolutní výši</w:t>
      </w:r>
      <w:r w:rsidR="009C016C" w:rsidRPr="00730B1E">
        <w:t xml:space="preserve"> poměrně rychle. Od roku 2019 do roku 2023 klesly </w:t>
      </w:r>
      <w:r w:rsidRPr="00730B1E">
        <w:t>přibližně</w:t>
      </w:r>
      <w:r w:rsidR="009C016C" w:rsidRPr="00730B1E">
        <w:t xml:space="preserve"> na polovinu. V absolutních číslech jsou vykazované délky řízení v porovnání s ostatními agendami relativně </w:t>
      </w:r>
      <w:r w:rsidR="00602BF6" w:rsidRPr="00730B1E">
        <w:t>nízké</w:t>
      </w:r>
      <w:r w:rsidR="009C016C" w:rsidRPr="00730B1E">
        <w:t>.</w:t>
      </w:r>
    </w:p>
    <w:p w14:paraId="226BC9C1" w14:textId="1384FCA7" w:rsidR="009C016C" w:rsidRPr="00730B1E" w:rsidRDefault="009C016C" w:rsidP="009C016C">
      <w:pPr>
        <w:pStyle w:val="Podnadpis"/>
        <w:rPr>
          <w:color w:val="auto"/>
        </w:rPr>
      </w:pPr>
      <w:bookmarkStart w:id="1198" w:name="_Toc75952374"/>
      <w:bookmarkStart w:id="1199" w:name="_Toc106106829"/>
      <w:bookmarkStart w:id="1200" w:name="_Toc109802152"/>
      <w:bookmarkStart w:id="1201" w:name="_Toc144104311"/>
      <w:bookmarkStart w:id="1202" w:name="_Toc169251125"/>
      <w:bookmarkStart w:id="1203" w:name="_Toc174080811"/>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68</w:t>
      </w:r>
      <w:r w:rsidRPr="00730B1E">
        <w:rPr>
          <w:noProof/>
          <w:color w:val="auto"/>
        </w:rPr>
        <w:fldChar w:fldCharType="end"/>
      </w:r>
      <w:r w:rsidRPr="00730B1E">
        <w:rPr>
          <w:color w:val="auto"/>
        </w:rPr>
        <w:t>: KS – délky insolvenčního řízení dle soudů</w:t>
      </w:r>
      <w:bookmarkEnd w:id="1198"/>
      <w:bookmarkEnd w:id="1199"/>
      <w:bookmarkEnd w:id="1200"/>
      <w:bookmarkEnd w:id="1201"/>
      <w:r w:rsidR="00606356" w:rsidRPr="00730B1E">
        <w:rPr>
          <w:color w:val="auto"/>
        </w:rPr>
        <w:t>, 2023</w:t>
      </w:r>
      <w:bookmarkEnd w:id="1202"/>
      <w:bookmarkEnd w:id="1203"/>
    </w:p>
    <w:tbl>
      <w:tblPr>
        <w:tblW w:w="6380" w:type="dxa"/>
        <w:tblCellMar>
          <w:left w:w="70" w:type="dxa"/>
          <w:right w:w="70" w:type="dxa"/>
        </w:tblCellMar>
        <w:tblLook w:val="04A0" w:firstRow="1" w:lastRow="0" w:firstColumn="1" w:lastColumn="0" w:noHBand="0" w:noVBand="1"/>
      </w:tblPr>
      <w:tblGrid>
        <w:gridCol w:w="2480"/>
        <w:gridCol w:w="1094"/>
        <w:gridCol w:w="1119"/>
        <w:gridCol w:w="1687"/>
      </w:tblGrid>
      <w:tr w:rsidR="00B64E96" w:rsidRPr="00730B1E" w14:paraId="23242356" w14:textId="77777777" w:rsidTr="009C016C">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0DE2D5B" w14:textId="77777777" w:rsidR="009C016C" w:rsidRPr="00730B1E" w:rsidRDefault="009C016C" w:rsidP="009C016C">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3900" w:type="dxa"/>
            <w:gridSpan w:val="3"/>
            <w:tcBorders>
              <w:top w:val="double" w:sz="6" w:space="0" w:color="auto"/>
              <w:left w:val="nil"/>
              <w:bottom w:val="nil"/>
              <w:right w:val="nil"/>
            </w:tcBorders>
            <w:shd w:val="clear" w:color="auto" w:fill="auto"/>
            <w:noWrap/>
            <w:vAlign w:val="center"/>
            <w:hideMark/>
          </w:tcPr>
          <w:p w14:paraId="667EA245" w14:textId="77777777" w:rsidR="009C016C" w:rsidRPr="00730B1E" w:rsidRDefault="009C016C" w:rsidP="009C016C">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57C658BE" w14:textId="77777777" w:rsidTr="009C016C">
        <w:trPr>
          <w:trHeight w:val="330"/>
        </w:trPr>
        <w:tc>
          <w:tcPr>
            <w:tcW w:w="2480" w:type="dxa"/>
            <w:vMerge/>
            <w:tcBorders>
              <w:top w:val="double" w:sz="6" w:space="0" w:color="auto"/>
              <w:left w:val="nil"/>
              <w:bottom w:val="double" w:sz="6" w:space="0" w:color="000000"/>
              <w:right w:val="nil"/>
            </w:tcBorders>
            <w:vAlign w:val="center"/>
            <w:hideMark/>
          </w:tcPr>
          <w:p w14:paraId="3C6C5942" w14:textId="77777777" w:rsidR="009C016C" w:rsidRPr="00730B1E" w:rsidRDefault="009C016C" w:rsidP="009C016C">
            <w:pPr>
              <w:spacing w:line="240" w:lineRule="auto"/>
              <w:jc w:val="left"/>
              <w:rPr>
                <w:rFonts w:eastAsia="Times New Roman"/>
                <w:b/>
                <w:bCs/>
                <w:szCs w:val="24"/>
                <w:lang w:eastAsia="cs-CZ"/>
              </w:rPr>
            </w:pPr>
          </w:p>
        </w:tc>
        <w:tc>
          <w:tcPr>
            <w:tcW w:w="1094" w:type="dxa"/>
            <w:tcBorders>
              <w:top w:val="nil"/>
              <w:left w:val="nil"/>
              <w:bottom w:val="double" w:sz="6" w:space="0" w:color="auto"/>
              <w:right w:val="nil"/>
            </w:tcBorders>
            <w:shd w:val="clear" w:color="auto" w:fill="auto"/>
            <w:noWrap/>
            <w:vAlign w:val="center"/>
            <w:hideMark/>
          </w:tcPr>
          <w:p w14:paraId="23A9099A" w14:textId="77777777" w:rsidR="009C016C" w:rsidRPr="00730B1E" w:rsidRDefault="009C016C" w:rsidP="009C016C">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1119" w:type="dxa"/>
            <w:tcBorders>
              <w:top w:val="nil"/>
              <w:left w:val="nil"/>
              <w:bottom w:val="double" w:sz="6" w:space="0" w:color="auto"/>
              <w:right w:val="nil"/>
            </w:tcBorders>
            <w:shd w:val="clear" w:color="auto" w:fill="auto"/>
            <w:noWrap/>
            <w:vAlign w:val="center"/>
            <w:hideMark/>
          </w:tcPr>
          <w:p w14:paraId="26E21D82" w14:textId="77777777" w:rsidR="009C016C" w:rsidRPr="00730B1E" w:rsidRDefault="009C016C" w:rsidP="009C016C">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1687" w:type="dxa"/>
            <w:tcBorders>
              <w:top w:val="nil"/>
              <w:left w:val="nil"/>
              <w:bottom w:val="double" w:sz="6" w:space="0" w:color="auto"/>
              <w:right w:val="nil"/>
            </w:tcBorders>
            <w:shd w:val="clear" w:color="auto" w:fill="auto"/>
            <w:noWrap/>
            <w:vAlign w:val="center"/>
            <w:hideMark/>
          </w:tcPr>
          <w:p w14:paraId="4B92BF6B" w14:textId="77777777" w:rsidR="009C016C" w:rsidRPr="00730B1E" w:rsidRDefault="009C016C" w:rsidP="009C016C">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168CF2A0" w14:textId="77777777" w:rsidTr="009C016C">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F4747F0" w14:textId="77777777" w:rsidR="009C016C" w:rsidRPr="00730B1E" w:rsidRDefault="009C016C" w:rsidP="009C016C">
            <w:pPr>
              <w:spacing w:line="240" w:lineRule="auto"/>
              <w:jc w:val="left"/>
              <w:rPr>
                <w:rFonts w:eastAsia="Times New Roman"/>
                <w:szCs w:val="24"/>
                <w:lang w:eastAsia="cs-CZ"/>
              </w:rPr>
            </w:pPr>
            <w:r w:rsidRPr="00730B1E">
              <w:rPr>
                <w:rFonts w:eastAsia="Times New Roman"/>
                <w:szCs w:val="24"/>
                <w:lang w:eastAsia="cs-CZ"/>
              </w:rPr>
              <w:t>MS Praha</w:t>
            </w:r>
          </w:p>
        </w:tc>
        <w:tc>
          <w:tcPr>
            <w:tcW w:w="1094" w:type="dxa"/>
            <w:tcBorders>
              <w:top w:val="single" w:sz="4" w:space="0" w:color="auto"/>
              <w:left w:val="nil"/>
              <w:bottom w:val="single" w:sz="4" w:space="0" w:color="auto"/>
              <w:right w:val="nil"/>
            </w:tcBorders>
            <w:shd w:val="clear" w:color="auto" w:fill="auto"/>
            <w:noWrap/>
            <w:vAlign w:val="bottom"/>
            <w:hideMark/>
          </w:tcPr>
          <w:p w14:paraId="1C9FB701"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61</w:t>
            </w:r>
          </w:p>
        </w:tc>
        <w:tc>
          <w:tcPr>
            <w:tcW w:w="1119" w:type="dxa"/>
            <w:tcBorders>
              <w:top w:val="single" w:sz="4" w:space="0" w:color="auto"/>
              <w:left w:val="nil"/>
              <w:bottom w:val="single" w:sz="4" w:space="0" w:color="auto"/>
              <w:right w:val="nil"/>
            </w:tcBorders>
            <w:shd w:val="clear" w:color="auto" w:fill="auto"/>
            <w:noWrap/>
            <w:vAlign w:val="bottom"/>
            <w:hideMark/>
          </w:tcPr>
          <w:p w14:paraId="363C5BBC"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39</w:t>
            </w:r>
          </w:p>
        </w:tc>
        <w:tc>
          <w:tcPr>
            <w:tcW w:w="1687" w:type="dxa"/>
            <w:tcBorders>
              <w:top w:val="single" w:sz="4" w:space="0" w:color="auto"/>
              <w:left w:val="nil"/>
              <w:bottom w:val="single" w:sz="4" w:space="0" w:color="auto"/>
              <w:right w:val="nil"/>
            </w:tcBorders>
            <w:shd w:val="clear" w:color="auto" w:fill="auto"/>
            <w:noWrap/>
            <w:vAlign w:val="bottom"/>
            <w:hideMark/>
          </w:tcPr>
          <w:p w14:paraId="449801E1"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130</w:t>
            </w:r>
          </w:p>
        </w:tc>
      </w:tr>
      <w:tr w:rsidR="00B64E96" w:rsidRPr="00730B1E" w14:paraId="3F33A0F8" w14:textId="77777777" w:rsidTr="009C016C">
        <w:trPr>
          <w:trHeight w:val="315"/>
        </w:trPr>
        <w:tc>
          <w:tcPr>
            <w:tcW w:w="2480" w:type="dxa"/>
            <w:tcBorders>
              <w:top w:val="nil"/>
              <w:left w:val="nil"/>
              <w:bottom w:val="single" w:sz="4" w:space="0" w:color="auto"/>
              <w:right w:val="nil"/>
            </w:tcBorders>
            <w:shd w:val="clear" w:color="auto" w:fill="auto"/>
            <w:noWrap/>
            <w:vAlign w:val="bottom"/>
            <w:hideMark/>
          </w:tcPr>
          <w:p w14:paraId="3844AE74" w14:textId="77777777" w:rsidR="009C016C" w:rsidRPr="00730B1E" w:rsidRDefault="009C016C" w:rsidP="009C016C">
            <w:pPr>
              <w:spacing w:line="240" w:lineRule="auto"/>
              <w:jc w:val="left"/>
              <w:rPr>
                <w:rFonts w:eastAsia="Times New Roman"/>
                <w:szCs w:val="24"/>
                <w:lang w:eastAsia="cs-CZ"/>
              </w:rPr>
            </w:pPr>
            <w:r w:rsidRPr="00730B1E">
              <w:rPr>
                <w:rFonts w:eastAsia="Times New Roman"/>
                <w:szCs w:val="24"/>
                <w:lang w:eastAsia="cs-CZ"/>
              </w:rPr>
              <w:t>KS Praha</w:t>
            </w:r>
          </w:p>
        </w:tc>
        <w:tc>
          <w:tcPr>
            <w:tcW w:w="1094" w:type="dxa"/>
            <w:tcBorders>
              <w:top w:val="nil"/>
              <w:left w:val="nil"/>
              <w:bottom w:val="single" w:sz="4" w:space="0" w:color="auto"/>
              <w:right w:val="nil"/>
            </w:tcBorders>
            <w:shd w:val="clear" w:color="auto" w:fill="auto"/>
            <w:noWrap/>
            <w:vAlign w:val="bottom"/>
            <w:hideMark/>
          </w:tcPr>
          <w:p w14:paraId="3DE5792C"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43</w:t>
            </w:r>
          </w:p>
        </w:tc>
        <w:tc>
          <w:tcPr>
            <w:tcW w:w="1119" w:type="dxa"/>
            <w:tcBorders>
              <w:top w:val="nil"/>
              <w:left w:val="nil"/>
              <w:bottom w:val="single" w:sz="4" w:space="0" w:color="auto"/>
              <w:right w:val="nil"/>
            </w:tcBorders>
            <w:shd w:val="clear" w:color="auto" w:fill="auto"/>
            <w:noWrap/>
            <w:vAlign w:val="bottom"/>
            <w:hideMark/>
          </w:tcPr>
          <w:p w14:paraId="27666F71"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28</w:t>
            </w:r>
          </w:p>
        </w:tc>
        <w:tc>
          <w:tcPr>
            <w:tcW w:w="1687" w:type="dxa"/>
            <w:tcBorders>
              <w:top w:val="nil"/>
              <w:left w:val="nil"/>
              <w:bottom w:val="single" w:sz="4" w:space="0" w:color="auto"/>
              <w:right w:val="nil"/>
            </w:tcBorders>
            <w:shd w:val="clear" w:color="auto" w:fill="auto"/>
            <w:noWrap/>
            <w:vAlign w:val="bottom"/>
            <w:hideMark/>
          </w:tcPr>
          <w:p w14:paraId="1FCE0F74"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91</w:t>
            </w:r>
          </w:p>
        </w:tc>
      </w:tr>
      <w:tr w:rsidR="00B64E96" w:rsidRPr="00730B1E" w14:paraId="1B9C67E0" w14:textId="77777777" w:rsidTr="009C016C">
        <w:trPr>
          <w:trHeight w:val="315"/>
        </w:trPr>
        <w:tc>
          <w:tcPr>
            <w:tcW w:w="2480" w:type="dxa"/>
            <w:tcBorders>
              <w:top w:val="nil"/>
              <w:left w:val="nil"/>
              <w:bottom w:val="single" w:sz="4" w:space="0" w:color="auto"/>
              <w:right w:val="nil"/>
            </w:tcBorders>
            <w:shd w:val="clear" w:color="auto" w:fill="auto"/>
            <w:noWrap/>
            <w:vAlign w:val="bottom"/>
            <w:hideMark/>
          </w:tcPr>
          <w:p w14:paraId="3AB31D0A" w14:textId="77777777" w:rsidR="009C016C" w:rsidRPr="00730B1E" w:rsidRDefault="009C016C" w:rsidP="009C016C">
            <w:pPr>
              <w:spacing w:line="240" w:lineRule="auto"/>
              <w:jc w:val="left"/>
              <w:rPr>
                <w:rFonts w:eastAsia="Times New Roman"/>
                <w:szCs w:val="24"/>
                <w:lang w:eastAsia="cs-CZ"/>
              </w:rPr>
            </w:pPr>
            <w:r w:rsidRPr="00730B1E">
              <w:rPr>
                <w:rFonts w:eastAsia="Times New Roman"/>
                <w:szCs w:val="24"/>
                <w:lang w:eastAsia="cs-CZ"/>
              </w:rPr>
              <w:t>KS Č. Budějovice</w:t>
            </w:r>
          </w:p>
        </w:tc>
        <w:tc>
          <w:tcPr>
            <w:tcW w:w="1094" w:type="dxa"/>
            <w:tcBorders>
              <w:top w:val="nil"/>
              <w:left w:val="nil"/>
              <w:bottom w:val="single" w:sz="4" w:space="0" w:color="auto"/>
              <w:right w:val="nil"/>
            </w:tcBorders>
            <w:shd w:val="clear" w:color="auto" w:fill="auto"/>
            <w:noWrap/>
            <w:vAlign w:val="bottom"/>
            <w:hideMark/>
          </w:tcPr>
          <w:p w14:paraId="046DE566"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18</w:t>
            </w:r>
          </w:p>
        </w:tc>
        <w:tc>
          <w:tcPr>
            <w:tcW w:w="1119" w:type="dxa"/>
            <w:tcBorders>
              <w:top w:val="nil"/>
              <w:left w:val="nil"/>
              <w:bottom w:val="single" w:sz="4" w:space="0" w:color="auto"/>
              <w:right w:val="nil"/>
            </w:tcBorders>
            <w:shd w:val="clear" w:color="auto" w:fill="auto"/>
            <w:noWrap/>
            <w:vAlign w:val="bottom"/>
            <w:hideMark/>
          </w:tcPr>
          <w:p w14:paraId="07062897"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8</w:t>
            </w:r>
          </w:p>
        </w:tc>
        <w:tc>
          <w:tcPr>
            <w:tcW w:w="1687" w:type="dxa"/>
            <w:tcBorders>
              <w:top w:val="nil"/>
              <w:left w:val="nil"/>
              <w:bottom w:val="single" w:sz="4" w:space="0" w:color="auto"/>
              <w:right w:val="nil"/>
            </w:tcBorders>
            <w:shd w:val="clear" w:color="auto" w:fill="auto"/>
            <w:noWrap/>
            <w:vAlign w:val="bottom"/>
            <w:hideMark/>
          </w:tcPr>
          <w:p w14:paraId="124FD49E"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39</w:t>
            </w:r>
          </w:p>
        </w:tc>
      </w:tr>
      <w:tr w:rsidR="00B64E96" w:rsidRPr="00730B1E" w14:paraId="07744CA4" w14:textId="77777777" w:rsidTr="009C016C">
        <w:trPr>
          <w:trHeight w:val="315"/>
        </w:trPr>
        <w:tc>
          <w:tcPr>
            <w:tcW w:w="2480" w:type="dxa"/>
            <w:tcBorders>
              <w:top w:val="nil"/>
              <w:left w:val="nil"/>
              <w:bottom w:val="single" w:sz="4" w:space="0" w:color="auto"/>
              <w:right w:val="nil"/>
            </w:tcBorders>
            <w:shd w:val="clear" w:color="auto" w:fill="auto"/>
            <w:noWrap/>
            <w:vAlign w:val="bottom"/>
            <w:hideMark/>
          </w:tcPr>
          <w:p w14:paraId="5A49B1DF" w14:textId="77777777" w:rsidR="009C016C" w:rsidRPr="00730B1E" w:rsidRDefault="009C016C" w:rsidP="009C016C">
            <w:pPr>
              <w:spacing w:line="240" w:lineRule="auto"/>
              <w:jc w:val="left"/>
              <w:rPr>
                <w:rFonts w:eastAsia="Times New Roman"/>
                <w:szCs w:val="24"/>
                <w:lang w:eastAsia="cs-CZ"/>
              </w:rPr>
            </w:pPr>
            <w:r w:rsidRPr="00730B1E">
              <w:rPr>
                <w:rFonts w:eastAsia="Times New Roman"/>
                <w:szCs w:val="24"/>
                <w:lang w:eastAsia="cs-CZ"/>
              </w:rPr>
              <w:t>KS Plzeň</w:t>
            </w:r>
          </w:p>
        </w:tc>
        <w:tc>
          <w:tcPr>
            <w:tcW w:w="1094" w:type="dxa"/>
            <w:tcBorders>
              <w:top w:val="nil"/>
              <w:left w:val="nil"/>
              <w:bottom w:val="single" w:sz="4" w:space="0" w:color="auto"/>
              <w:right w:val="nil"/>
            </w:tcBorders>
            <w:shd w:val="clear" w:color="auto" w:fill="auto"/>
            <w:noWrap/>
            <w:vAlign w:val="bottom"/>
            <w:hideMark/>
          </w:tcPr>
          <w:p w14:paraId="5839AC60"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48</w:t>
            </w:r>
          </w:p>
        </w:tc>
        <w:tc>
          <w:tcPr>
            <w:tcW w:w="1119" w:type="dxa"/>
            <w:tcBorders>
              <w:top w:val="nil"/>
              <w:left w:val="nil"/>
              <w:bottom w:val="single" w:sz="4" w:space="0" w:color="auto"/>
              <w:right w:val="nil"/>
            </w:tcBorders>
            <w:shd w:val="clear" w:color="auto" w:fill="auto"/>
            <w:noWrap/>
            <w:vAlign w:val="bottom"/>
            <w:hideMark/>
          </w:tcPr>
          <w:p w14:paraId="3796BC16"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30</w:t>
            </w:r>
          </w:p>
        </w:tc>
        <w:tc>
          <w:tcPr>
            <w:tcW w:w="1687" w:type="dxa"/>
            <w:tcBorders>
              <w:top w:val="nil"/>
              <w:left w:val="nil"/>
              <w:bottom w:val="single" w:sz="4" w:space="0" w:color="auto"/>
              <w:right w:val="nil"/>
            </w:tcBorders>
            <w:shd w:val="clear" w:color="auto" w:fill="auto"/>
            <w:noWrap/>
            <w:vAlign w:val="bottom"/>
            <w:hideMark/>
          </w:tcPr>
          <w:p w14:paraId="2CBA7056"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98</w:t>
            </w:r>
          </w:p>
        </w:tc>
      </w:tr>
      <w:tr w:rsidR="00B64E96" w:rsidRPr="00730B1E" w14:paraId="489212D4" w14:textId="77777777" w:rsidTr="009C016C">
        <w:trPr>
          <w:trHeight w:val="315"/>
        </w:trPr>
        <w:tc>
          <w:tcPr>
            <w:tcW w:w="2480" w:type="dxa"/>
            <w:tcBorders>
              <w:top w:val="nil"/>
              <w:left w:val="nil"/>
              <w:bottom w:val="single" w:sz="4" w:space="0" w:color="auto"/>
              <w:right w:val="nil"/>
            </w:tcBorders>
            <w:shd w:val="clear" w:color="auto" w:fill="auto"/>
            <w:noWrap/>
            <w:vAlign w:val="bottom"/>
            <w:hideMark/>
          </w:tcPr>
          <w:p w14:paraId="13ACE84D" w14:textId="77777777" w:rsidR="009C016C" w:rsidRPr="00730B1E" w:rsidRDefault="009C016C" w:rsidP="009C016C">
            <w:pPr>
              <w:spacing w:line="240" w:lineRule="auto"/>
              <w:jc w:val="left"/>
              <w:rPr>
                <w:rFonts w:eastAsia="Times New Roman"/>
                <w:szCs w:val="24"/>
                <w:lang w:eastAsia="cs-CZ"/>
              </w:rPr>
            </w:pPr>
            <w:r w:rsidRPr="00730B1E">
              <w:rPr>
                <w:rFonts w:eastAsia="Times New Roman"/>
                <w:szCs w:val="24"/>
                <w:lang w:eastAsia="cs-CZ"/>
              </w:rPr>
              <w:t>KS Ústí n. Labem</w:t>
            </w:r>
          </w:p>
        </w:tc>
        <w:tc>
          <w:tcPr>
            <w:tcW w:w="1094" w:type="dxa"/>
            <w:tcBorders>
              <w:top w:val="nil"/>
              <w:left w:val="nil"/>
              <w:bottom w:val="single" w:sz="4" w:space="0" w:color="auto"/>
              <w:right w:val="nil"/>
            </w:tcBorders>
            <w:shd w:val="clear" w:color="auto" w:fill="auto"/>
            <w:noWrap/>
            <w:vAlign w:val="bottom"/>
            <w:hideMark/>
          </w:tcPr>
          <w:p w14:paraId="6B5898B4"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31</w:t>
            </w:r>
          </w:p>
        </w:tc>
        <w:tc>
          <w:tcPr>
            <w:tcW w:w="1119" w:type="dxa"/>
            <w:tcBorders>
              <w:top w:val="nil"/>
              <w:left w:val="nil"/>
              <w:bottom w:val="single" w:sz="4" w:space="0" w:color="auto"/>
              <w:right w:val="nil"/>
            </w:tcBorders>
            <w:shd w:val="clear" w:color="auto" w:fill="auto"/>
            <w:noWrap/>
            <w:vAlign w:val="bottom"/>
            <w:hideMark/>
          </w:tcPr>
          <w:p w14:paraId="40E71D36"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21</w:t>
            </w:r>
          </w:p>
        </w:tc>
        <w:tc>
          <w:tcPr>
            <w:tcW w:w="1687" w:type="dxa"/>
            <w:tcBorders>
              <w:top w:val="nil"/>
              <w:left w:val="nil"/>
              <w:bottom w:val="single" w:sz="4" w:space="0" w:color="auto"/>
              <w:right w:val="nil"/>
            </w:tcBorders>
            <w:shd w:val="clear" w:color="auto" w:fill="auto"/>
            <w:noWrap/>
            <w:vAlign w:val="bottom"/>
            <w:hideMark/>
          </w:tcPr>
          <w:p w14:paraId="7D588924"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59</w:t>
            </w:r>
          </w:p>
        </w:tc>
      </w:tr>
      <w:tr w:rsidR="00B64E96" w:rsidRPr="00730B1E" w14:paraId="70E3DAAE" w14:textId="77777777" w:rsidTr="009C016C">
        <w:trPr>
          <w:trHeight w:val="315"/>
        </w:trPr>
        <w:tc>
          <w:tcPr>
            <w:tcW w:w="2480" w:type="dxa"/>
            <w:tcBorders>
              <w:top w:val="nil"/>
              <w:left w:val="nil"/>
              <w:bottom w:val="single" w:sz="4" w:space="0" w:color="auto"/>
              <w:right w:val="nil"/>
            </w:tcBorders>
            <w:shd w:val="clear" w:color="auto" w:fill="auto"/>
            <w:noWrap/>
            <w:vAlign w:val="bottom"/>
            <w:hideMark/>
          </w:tcPr>
          <w:p w14:paraId="26E92675" w14:textId="77777777" w:rsidR="009C016C" w:rsidRPr="00730B1E" w:rsidRDefault="009C016C" w:rsidP="009C016C">
            <w:pPr>
              <w:spacing w:line="240" w:lineRule="auto"/>
              <w:jc w:val="left"/>
              <w:rPr>
                <w:rFonts w:eastAsia="Times New Roman"/>
                <w:szCs w:val="24"/>
                <w:lang w:eastAsia="cs-CZ"/>
              </w:rPr>
            </w:pPr>
            <w:r w:rsidRPr="00730B1E">
              <w:rPr>
                <w:rFonts w:eastAsia="Times New Roman"/>
                <w:szCs w:val="24"/>
                <w:lang w:eastAsia="cs-CZ"/>
              </w:rPr>
              <w:t>KS Hr. Králové</w:t>
            </w:r>
          </w:p>
        </w:tc>
        <w:tc>
          <w:tcPr>
            <w:tcW w:w="1094" w:type="dxa"/>
            <w:tcBorders>
              <w:top w:val="nil"/>
              <w:left w:val="nil"/>
              <w:bottom w:val="single" w:sz="4" w:space="0" w:color="auto"/>
              <w:right w:val="nil"/>
            </w:tcBorders>
            <w:shd w:val="clear" w:color="auto" w:fill="auto"/>
            <w:noWrap/>
            <w:vAlign w:val="bottom"/>
            <w:hideMark/>
          </w:tcPr>
          <w:p w14:paraId="59752F5E"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25</w:t>
            </w:r>
          </w:p>
        </w:tc>
        <w:tc>
          <w:tcPr>
            <w:tcW w:w="1119" w:type="dxa"/>
            <w:tcBorders>
              <w:top w:val="nil"/>
              <w:left w:val="nil"/>
              <w:bottom w:val="single" w:sz="4" w:space="0" w:color="auto"/>
              <w:right w:val="nil"/>
            </w:tcBorders>
            <w:shd w:val="clear" w:color="auto" w:fill="auto"/>
            <w:noWrap/>
            <w:vAlign w:val="bottom"/>
            <w:hideMark/>
          </w:tcPr>
          <w:p w14:paraId="7FA71351"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13</w:t>
            </w:r>
          </w:p>
        </w:tc>
        <w:tc>
          <w:tcPr>
            <w:tcW w:w="1687" w:type="dxa"/>
            <w:tcBorders>
              <w:top w:val="nil"/>
              <w:left w:val="nil"/>
              <w:bottom w:val="single" w:sz="4" w:space="0" w:color="auto"/>
              <w:right w:val="nil"/>
            </w:tcBorders>
            <w:shd w:val="clear" w:color="auto" w:fill="auto"/>
            <w:noWrap/>
            <w:vAlign w:val="bottom"/>
            <w:hideMark/>
          </w:tcPr>
          <w:p w14:paraId="479D1964"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53</w:t>
            </w:r>
          </w:p>
        </w:tc>
      </w:tr>
      <w:tr w:rsidR="00B64E96" w:rsidRPr="00730B1E" w14:paraId="4047CAB1" w14:textId="77777777" w:rsidTr="009C016C">
        <w:trPr>
          <w:trHeight w:val="315"/>
        </w:trPr>
        <w:tc>
          <w:tcPr>
            <w:tcW w:w="2480" w:type="dxa"/>
            <w:tcBorders>
              <w:top w:val="nil"/>
              <w:left w:val="nil"/>
              <w:bottom w:val="single" w:sz="4" w:space="0" w:color="auto"/>
              <w:right w:val="nil"/>
            </w:tcBorders>
            <w:shd w:val="clear" w:color="auto" w:fill="auto"/>
            <w:noWrap/>
            <w:vAlign w:val="bottom"/>
            <w:hideMark/>
          </w:tcPr>
          <w:p w14:paraId="70493EBE" w14:textId="77777777" w:rsidR="009C016C" w:rsidRPr="00730B1E" w:rsidRDefault="009C016C" w:rsidP="009C016C">
            <w:pPr>
              <w:spacing w:line="240" w:lineRule="auto"/>
              <w:jc w:val="left"/>
              <w:rPr>
                <w:rFonts w:eastAsia="Times New Roman"/>
                <w:szCs w:val="24"/>
                <w:lang w:eastAsia="cs-CZ"/>
              </w:rPr>
            </w:pPr>
            <w:r w:rsidRPr="00730B1E">
              <w:rPr>
                <w:rFonts w:eastAsia="Times New Roman"/>
                <w:szCs w:val="24"/>
                <w:lang w:eastAsia="cs-CZ"/>
              </w:rPr>
              <w:t>KS Brno</w:t>
            </w:r>
          </w:p>
        </w:tc>
        <w:tc>
          <w:tcPr>
            <w:tcW w:w="1094" w:type="dxa"/>
            <w:tcBorders>
              <w:top w:val="nil"/>
              <w:left w:val="nil"/>
              <w:bottom w:val="single" w:sz="4" w:space="0" w:color="auto"/>
              <w:right w:val="nil"/>
            </w:tcBorders>
            <w:shd w:val="clear" w:color="auto" w:fill="auto"/>
            <w:noWrap/>
            <w:vAlign w:val="bottom"/>
            <w:hideMark/>
          </w:tcPr>
          <w:p w14:paraId="44F8F0D7"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49</w:t>
            </w:r>
          </w:p>
        </w:tc>
        <w:tc>
          <w:tcPr>
            <w:tcW w:w="1119" w:type="dxa"/>
            <w:tcBorders>
              <w:top w:val="nil"/>
              <w:left w:val="nil"/>
              <w:bottom w:val="single" w:sz="4" w:space="0" w:color="auto"/>
              <w:right w:val="nil"/>
            </w:tcBorders>
            <w:shd w:val="clear" w:color="auto" w:fill="auto"/>
            <w:noWrap/>
            <w:vAlign w:val="bottom"/>
            <w:hideMark/>
          </w:tcPr>
          <w:p w14:paraId="1D3C3EA6"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32</w:t>
            </w:r>
          </w:p>
        </w:tc>
        <w:tc>
          <w:tcPr>
            <w:tcW w:w="1687" w:type="dxa"/>
            <w:tcBorders>
              <w:top w:val="nil"/>
              <w:left w:val="nil"/>
              <w:bottom w:val="single" w:sz="4" w:space="0" w:color="auto"/>
              <w:right w:val="nil"/>
            </w:tcBorders>
            <w:shd w:val="clear" w:color="auto" w:fill="auto"/>
            <w:noWrap/>
            <w:vAlign w:val="bottom"/>
            <w:hideMark/>
          </w:tcPr>
          <w:p w14:paraId="2B3C3847"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100</w:t>
            </w:r>
          </w:p>
        </w:tc>
      </w:tr>
      <w:tr w:rsidR="00B64E96" w:rsidRPr="00730B1E" w14:paraId="2C899724" w14:textId="77777777" w:rsidTr="009C016C">
        <w:trPr>
          <w:trHeight w:val="330"/>
        </w:trPr>
        <w:tc>
          <w:tcPr>
            <w:tcW w:w="2480" w:type="dxa"/>
            <w:tcBorders>
              <w:top w:val="nil"/>
              <w:left w:val="nil"/>
              <w:bottom w:val="double" w:sz="6" w:space="0" w:color="auto"/>
              <w:right w:val="nil"/>
            </w:tcBorders>
            <w:shd w:val="clear" w:color="auto" w:fill="auto"/>
            <w:noWrap/>
            <w:vAlign w:val="bottom"/>
            <w:hideMark/>
          </w:tcPr>
          <w:p w14:paraId="1D37CC68" w14:textId="77777777" w:rsidR="009C016C" w:rsidRPr="00730B1E" w:rsidRDefault="009C016C" w:rsidP="009C016C">
            <w:pPr>
              <w:spacing w:line="240" w:lineRule="auto"/>
              <w:jc w:val="left"/>
              <w:rPr>
                <w:rFonts w:eastAsia="Times New Roman"/>
                <w:szCs w:val="24"/>
                <w:lang w:eastAsia="cs-CZ"/>
              </w:rPr>
            </w:pPr>
            <w:r w:rsidRPr="00730B1E">
              <w:rPr>
                <w:rFonts w:eastAsia="Times New Roman"/>
                <w:szCs w:val="24"/>
                <w:lang w:eastAsia="cs-CZ"/>
              </w:rPr>
              <w:t>KS Ostrava</w:t>
            </w:r>
          </w:p>
        </w:tc>
        <w:tc>
          <w:tcPr>
            <w:tcW w:w="1094" w:type="dxa"/>
            <w:tcBorders>
              <w:top w:val="nil"/>
              <w:left w:val="nil"/>
              <w:bottom w:val="double" w:sz="6" w:space="0" w:color="auto"/>
              <w:right w:val="nil"/>
            </w:tcBorders>
            <w:shd w:val="clear" w:color="auto" w:fill="auto"/>
            <w:noWrap/>
            <w:vAlign w:val="bottom"/>
            <w:hideMark/>
          </w:tcPr>
          <w:p w14:paraId="00A97F09"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37</w:t>
            </w:r>
          </w:p>
        </w:tc>
        <w:tc>
          <w:tcPr>
            <w:tcW w:w="1119" w:type="dxa"/>
            <w:tcBorders>
              <w:top w:val="nil"/>
              <w:left w:val="nil"/>
              <w:bottom w:val="double" w:sz="6" w:space="0" w:color="auto"/>
              <w:right w:val="nil"/>
            </w:tcBorders>
            <w:shd w:val="clear" w:color="auto" w:fill="auto"/>
            <w:noWrap/>
            <w:vAlign w:val="bottom"/>
            <w:hideMark/>
          </w:tcPr>
          <w:p w14:paraId="017B3A2A"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26</w:t>
            </w:r>
          </w:p>
        </w:tc>
        <w:tc>
          <w:tcPr>
            <w:tcW w:w="1687" w:type="dxa"/>
            <w:tcBorders>
              <w:top w:val="nil"/>
              <w:left w:val="nil"/>
              <w:bottom w:val="double" w:sz="6" w:space="0" w:color="auto"/>
              <w:right w:val="nil"/>
            </w:tcBorders>
            <w:shd w:val="clear" w:color="auto" w:fill="auto"/>
            <w:noWrap/>
            <w:vAlign w:val="bottom"/>
            <w:hideMark/>
          </w:tcPr>
          <w:p w14:paraId="6F731215" w14:textId="77777777" w:rsidR="009C016C" w:rsidRPr="00730B1E" w:rsidRDefault="009C016C" w:rsidP="009C016C">
            <w:pPr>
              <w:spacing w:line="240" w:lineRule="auto"/>
              <w:jc w:val="center"/>
              <w:rPr>
                <w:rFonts w:eastAsia="Times New Roman"/>
                <w:szCs w:val="24"/>
                <w:lang w:eastAsia="cs-CZ"/>
              </w:rPr>
            </w:pPr>
            <w:r w:rsidRPr="00730B1E">
              <w:rPr>
                <w:rFonts w:eastAsia="Times New Roman"/>
                <w:szCs w:val="24"/>
                <w:lang w:eastAsia="cs-CZ"/>
              </w:rPr>
              <w:t>72</w:t>
            </w:r>
          </w:p>
        </w:tc>
      </w:tr>
      <w:tr w:rsidR="00B64E96" w:rsidRPr="00730B1E" w14:paraId="352A084C" w14:textId="77777777" w:rsidTr="009C016C">
        <w:trPr>
          <w:trHeight w:val="345"/>
        </w:trPr>
        <w:tc>
          <w:tcPr>
            <w:tcW w:w="2480" w:type="dxa"/>
            <w:tcBorders>
              <w:top w:val="nil"/>
              <w:left w:val="nil"/>
              <w:bottom w:val="double" w:sz="6" w:space="0" w:color="auto"/>
              <w:right w:val="nil"/>
            </w:tcBorders>
            <w:shd w:val="clear" w:color="auto" w:fill="auto"/>
            <w:noWrap/>
            <w:vAlign w:val="bottom"/>
            <w:hideMark/>
          </w:tcPr>
          <w:p w14:paraId="357813C6" w14:textId="77777777" w:rsidR="009C016C" w:rsidRPr="00730B1E" w:rsidRDefault="009C016C" w:rsidP="009C016C">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94" w:type="dxa"/>
            <w:tcBorders>
              <w:top w:val="nil"/>
              <w:left w:val="nil"/>
              <w:bottom w:val="double" w:sz="6" w:space="0" w:color="auto"/>
              <w:right w:val="nil"/>
            </w:tcBorders>
            <w:shd w:val="clear" w:color="auto" w:fill="auto"/>
            <w:noWrap/>
            <w:vAlign w:val="bottom"/>
            <w:hideMark/>
          </w:tcPr>
          <w:p w14:paraId="5A9B68A5" w14:textId="77777777" w:rsidR="009C016C" w:rsidRPr="00730B1E" w:rsidRDefault="009C016C" w:rsidP="009C016C">
            <w:pPr>
              <w:spacing w:line="240" w:lineRule="auto"/>
              <w:jc w:val="center"/>
              <w:rPr>
                <w:rFonts w:eastAsia="Times New Roman"/>
                <w:b/>
                <w:bCs/>
                <w:szCs w:val="24"/>
                <w:lang w:eastAsia="cs-CZ"/>
              </w:rPr>
            </w:pPr>
            <w:r w:rsidRPr="00730B1E">
              <w:rPr>
                <w:rFonts w:eastAsia="Times New Roman"/>
                <w:b/>
                <w:bCs/>
                <w:szCs w:val="24"/>
                <w:lang w:eastAsia="cs-CZ"/>
              </w:rPr>
              <w:t>39</w:t>
            </w:r>
          </w:p>
        </w:tc>
        <w:tc>
          <w:tcPr>
            <w:tcW w:w="1119" w:type="dxa"/>
            <w:tcBorders>
              <w:top w:val="nil"/>
              <w:left w:val="nil"/>
              <w:bottom w:val="double" w:sz="6" w:space="0" w:color="auto"/>
              <w:right w:val="nil"/>
            </w:tcBorders>
            <w:shd w:val="clear" w:color="auto" w:fill="auto"/>
            <w:noWrap/>
            <w:vAlign w:val="bottom"/>
            <w:hideMark/>
          </w:tcPr>
          <w:p w14:paraId="170A7A5B" w14:textId="77777777" w:rsidR="009C016C" w:rsidRPr="00730B1E" w:rsidRDefault="009C016C" w:rsidP="009C016C">
            <w:pPr>
              <w:spacing w:line="240" w:lineRule="auto"/>
              <w:jc w:val="center"/>
              <w:rPr>
                <w:rFonts w:eastAsia="Times New Roman"/>
                <w:b/>
                <w:bCs/>
                <w:szCs w:val="24"/>
                <w:lang w:eastAsia="cs-CZ"/>
              </w:rPr>
            </w:pPr>
            <w:r w:rsidRPr="00730B1E">
              <w:rPr>
                <w:rFonts w:eastAsia="Times New Roman"/>
                <w:b/>
                <w:bCs/>
                <w:szCs w:val="24"/>
                <w:lang w:eastAsia="cs-CZ"/>
              </w:rPr>
              <w:t>24</w:t>
            </w:r>
          </w:p>
        </w:tc>
        <w:tc>
          <w:tcPr>
            <w:tcW w:w="1687" w:type="dxa"/>
            <w:tcBorders>
              <w:top w:val="nil"/>
              <w:left w:val="nil"/>
              <w:bottom w:val="double" w:sz="6" w:space="0" w:color="auto"/>
              <w:right w:val="nil"/>
            </w:tcBorders>
            <w:shd w:val="clear" w:color="auto" w:fill="auto"/>
            <w:noWrap/>
            <w:vAlign w:val="bottom"/>
            <w:hideMark/>
          </w:tcPr>
          <w:p w14:paraId="0804A491" w14:textId="77777777" w:rsidR="009C016C" w:rsidRPr="00730B1E" w:rsidRDefault="009C016C" w:rsidP="009C016C">
            <w:pPr>
              <w:spacing w:line="240" w:lineRule="auto"/>
              <w:jc w:val="center"/>
              <w:rPr>
                <w:rFonts w:eastAsia="Times New Roman"/>
                <w:b/>
                <w:bCs/>
                <w:szCs w:val="24"/>
                <w:lang w:eastAsia="cs-CZ"/>
              </w:rPr>
            </w:pPr>
            <w:r w:rsidRPr="00730B1E">
              <w:rPr>
                <w:rFonts w:eastAsia="Times New Roman"/>
                <w:b/>
                <w:bCs/>
                <w:szCs w:val="24"/>
                <w:lang w:eastAsia="cs-CZ"/>
              </w:rPr>
              <w:t>82</w:t>
            </w:r>
          </w:p>
        </w:tc>
      </w:tr>
      <w:tr w:rsidR="00B64E96" w:rsidRPr="00730B1E" w14:paraId="7D18056F" w14:textId="77777777" w:rsidTr="009C016C">
        <w:trPr>
          <w:trHeight w:val="330"/>
        </w:trPr>
        <w:tc>
          <w:tcPr>
            <w:tcW w:w="2480" w:type="dxa"/>
            <w:tcBorders>
              <w:top w:val="nil"/>
              <w:left w:val="nil"/>
              <w:bottom w:val="nil"/>
              <w:right w:val="nil"/>
            </w:tcBorders>
            <w:shd w:val="clear" w:color="auto" w:fill="auto"/>
            <w:noWrap/>
            <w:vAlign w:val="bottom"/>
            <w:hideMark/>
          </w:tcPr>
          <w:p w14:paraId="288D193D" w14:textId="77777777" w:rsidR="009C016C" w:rsidRPr="00730B1E" w:rsidRDefault="009C016C" w:rsidP="009C016C">
            <w:pPr>
              <w:spacing w:line="240" w:lineRule="auto"/>
              <w:jc w:val="center"/>
              <w:rPr>
                <w:rFonts w:eastAsia="Times New Roman"/>
                <w:b/>
                <w:bCs/>
                <w:szCs w:val="24"/>
                <w:lang w:eastAsia="cs-CZ"/>
              </w:rPr>
            </w:pPr>
          </w:p>
        </w:tc>
        <w:tc>
          <w:tcPr>
            <w:tcW w:w="1094" w:type="dxa"/>
            <w:tcBorders>
              <w:top w:val="nil"/>
              <w:left w:val="nil"/>
              <w:bottom w:val="nil"/>
              <w:right w:val="nil"/>
            </w:tcBorders>
            <w:shd w:val="clear" w:color="auto" w:fill="auto"/>
            <w:noWrap/>
            <w:vAlign w:val="bottom"/>
            <w:hideMark/>
          </w:tcPr>
          <w:p w14:paraId="480DF387" w14:textId="77777777" w:rsidR="009C016C" w:rsidRPr="00DF07F3" w:rsidRDefault="009C016C" w:rsidP="009C016C">
            <w:pPr>
              <w:spacing w:line="240" w:lineRule="auto"/>
              <w:jc w:val="left"/>
              <w:rPr>
                <w:sz w:val="20"/>
              </w:rPr>
            </w:pPr>
          </w:p>
        </w:tc>
        <w:tc>
          <w:tcPr>
            <w:tcW w:w="1119" w:type="dxa"/>
            <w:tcBorders>
              <w:top w:val="nil"/>
              <w:left w:val="nil"/>
              <w:bottom w:val="nil"/>
              <w:right w:val="nil"/>
            </w:tcBorders>
            <w:shd w:val="clear" w:color="auto" w:fill="auto"/>
            <w:noWrap/>
            <w:vAlign w:val="bottom"/>
            <w:hideMark/>
          </w:tcPr>
          <w:p w14:paraId="5A446EFD" w14:textId="77777777" w:rsidR="009C016C" w:rsidRPr="00DF07F3" w:rsidRDefault="009C016C" w:rsidP="009C016C">
            <w:pPr>
              <w:spacing w:line="240" w:lineRule="auto"/>
              <w:jc w:val="left"/>
              <w:rPr>
                <w:sz w:val="20"/>
              </w:rPr>
            </w:pPr>
          </w:p>
        </w:tc>
        <w:tc>
          <w:tcPr>
            <w:tcW w:w="1687" w:type="dxa"/>
            <w:tcBorders>
              <w:top w:val="nil"/>
              <w:left w:val="nil"/>
              <w:bottom w:val="nil"/>
              <w:right w:val="nil"/>
            </w:tcBorders>
            <w:shd w:val="clear" w:color="auto" w:fill="auto"/>
            <w:noWrap/>
            <w:vAlign w:val="bottom"/>
            <w:hideMark/>
          </w:tcPr>
          <w:p w14:paraId="0E62BDCC" w14:textId="77777777" w:rsidR="009C016C" w:rsidRPr="00DF07F3" w:rsidRDefault="009C016C" w:rsidP="009C016C">
            <w:pPr>
              <w:spacing w:line="240" w:lineRule="auto"/>
              <w:jc w:val="left"/>
              <w:rPr>
                <w:sz w:val="20"/>
              </w:rPr>
            </w:pPr>
          </w:p>
        </w:tc>
      </w:tr>
    </w:tbl>
    <w:p w14:paraId="593EA50C" w14:textId="679879BB" w:rsidR="009C016C" w:rsidRPr="00730B1E" w:rsidRDefault="009C016C" w:rsidP="009C016C">
      <w:pPr>
        <w:pStyle w:val="OdstavecASR"/>
      </w:pPr>
      <w:r w:rsidRPr="00730B1E">
        <w:t xml:space="preserve">V tabulce vidíme, že rozdíly v délce řízení jsou v absolutních číslech mezi soudy malé. To naznačuje, že v ČR není soud, který by měl výraznější problémy s vyřizováním insolvenčních návrhů. Nejvíce vybočuje KS v Českých Budějovicích, který má medián délky řízení jen 8 dnů. </w:t>
      </w:r>
      <w:r w:rsidR="00C53058" w:rsidRPr="00730B1E">
        <w:t>R</w:t>
      </w:r>
      <w:r w:rsidRPr="00730B1E">
        <w:t xml:space="preserve">ozhodnout o </w:t>
      </w:r>
      <w:r w:rsidR="00C53058" w:rsidRPr="00730B1E">
        <w:t xml:space="preserve">úpadku tak </w:t>
      </w:r>
      <w:r w:rsidRPr="00730B1E">
        <w:t xml:space="preserve">soudu </w:t>
      </w:r>
      <w:r w:rsidR="00C53058" w:rsidRPr="00730B1E">
        <w:t xml:space="preserve">typicky </w:t>
      </w:r>
      <w:r w:rsidRPr="00730B1E">
        <w:t>trvá jen týden a den.</w:t>
      </w:r>
    </w:p>
    <w:p w14:paraId="0D7402A8" w14:textId="5F3A0376" w:rsidR="008430BD" w:rsidRPr="00730B1E" w:rsidRDefault="008430BD" w:rsidP="008430BD">
      <w:pPr>
        <w:pStyle w:val="Nadpis3"/>
        <w:numPr>
          <w:ilvl w:val="2"/>
          <w:numId w:val="1"/>
        </w:numPr>
        <w:rPr>
          <w:color w:val="auto"/>
        </w:rPr>
      </w:pPr>
      <w:bookmarkStart w:id="1204" w:name="_Toc43903082"/>
      <w:bookmarkStart w:id="1205" w:name="_Toc106092781"/>
      <w:bookmarkStart w:id="1206" w:name="_Toc169250857"/>
      <w:bookmarkStart w:id="1207" w:name="_Toc174080893"/>
      <w:r w:rsidRPr="00730B1E">
        <w:rPr>
          <w:color w:val="auto"/>
        </w:rPr>
        <w:lastRenderedPageBreak/>
        <w:t>Vyřizování věcí</w:t>
      </w:r>
      <w:bookmarkEnd w:id="1204"/>
      <w:bookmarkEnd w:id="1205"/>
      <w:bookmarkEnd w:id="1206"/>
      <w:bookmarkEnd w:id="1207"/>
    </w:p>
    <w:p w14:paraId="177D7149" w14:textId="723CEA8A" w:rsidR="009C016C" w:rsidRPr="00730B1E" w:rsidRDefault="009C016C" w:rsidP="009C016C">
      <w:pPr>
        <w:pStyle w:val="Podnadpis"/>
        <w:numPr>
          <w:ilvl w:val="0"/>
          <w:numId w:val="0"/>
        </w:numPr>
        <w:rPr>
          <w:color w:val="auto"/>
        </w:rPr>
      </w:pPr>
      <w:bookmarkStart w:id="1208" w:name="_Toc515871405"/>
      <w:bookmarkStart w:id="1209" w:name="_Toc11135136"/>
      <w:bookmarkStart w:id="1210" w:name="_Toc43841455"/>
      <w:bookmarkStart w:id="1211" w:name="_Toc75952257"/>
      <w:bookmarkStart w:id="1212" w:name="_Toc106106714"/>
      <w:bookmarkStart w:id="1213" w:name="_Toc109802038"/>
      <w:bookmarkStart w:id="1214" w:name="_Toc144104188"/>
      <w:bookmarkStart w:id="1215" w:name="_Toc169251001"/>
      <w:bookmarkStart w:id="1216" w:name="_Toc17408068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82</w:t>
      </w:r>
      <w:r w:rsidRPr="00730B1E">
        <w:rPr>
          <w:color w:val="auto"/>
        </w:rPr>
        <w:fldChar w:fldCharType="end"/>
      </w:r>
      <w:r w:rsidRPr="00730B1E">
        <w:rPr>
          <w:color w:val="auto"/>
        </w:rPr>
        <w:t>: KS – vyřizování insolvenčních věcí v letech 201</w:t>
      </w:r>
      <w:r w:rsidR="00606356" w:rsidRPr="00730B1E">
        <w:rPr>
          <w:color w:val="auto"/>
        </w:rPr>
        <w:t>4</w:t>
      </w:r>
      <w:r w:rsidRPr="00730B1E">
        <w:rPr>
          <w:color w:val="auto"/>
        </w:rPr>
        <w:t>–20</w:t>
      </w:r>
      <w:bookmarkEnd w:id="1208"/>
      <w:bookmarkEnd w:id="1209"/>
      <w:bookmarkEnd w:id="1210"/>
      <w:r w:rsidRPr="00730B1E">
        <w:rPr>
          <w:color w:val="auto"/>
        </w:rPr>
        <w:t>2</w:t>
      </w:r>
      <w:bookmarkEnd w:id="1211"/>
      <w:bookmarkEnd w:id="1212"/>
      <w:bookmarkEnd w:id="1213"/>
      <w:bookmarkEnd w:id="1214"/>
      <w:r w:rsidRPr="00730B1E">
        <w:rPr>
          <w:color w:val="auto"/>
        </w:rPr>
        <w:t>3</w:t>
      </w:r>
      <w:bookmarkEnd w:id="1215"/>
      <w:bookmarkEnd w:id="1216"/>
    </w:p>
    <w:p w14:paraId="7D106746" w14:textId="5B14C1E1" w:rsidR="009C016C" w:rsidRPr="00730B1E" w:rsidRDefault="005A50A4" w:rsidP="009C016C">
      <w:r w:rsidRPr="00730B1E">
        <w:rPr>
          <w:noProof/>
          <w:lang w:eastAsia="cs-CZ"/>
        </w:rPr>
        <w:drawing>
          <wp:inline distT="0" distB="0" distL="0" distR="0" wp14:anchorId="3BE42C59" wp14:editId="2BA7AFEC">
            <wp:extent cx="5029200" cy="3657600"/>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294C27F" w14:textId="77777777" w:rsidR="00AA64E3" w:rsidRPr="00730B1E" w:rsidRDefault="00AA64E3" w:rsidP="00AA64E3">
      <w:r w:rsidRPr="00730B1E">
        <w:t>Sledovat vyřizování věcí je složitější, než je tomu u ostatních agend. Nápad je u této agendy principiálně stejný. Jedná se o jeden podaný insolvenční návrh nebo návrh na moratorium (viz seznam pojmů v příloze) před zahájením insolvenčního řízení (viz ust. § 115 a násl. insolvenčního zákona). „Vyřízené věci“ v této podkapitole se nicméně vztahují k již zcela vyřízeným věcem. Jedná se tedy o věci, kde již skončilo celé insolvenční řízení, včetně případů, kde bylo o insolvenčním návrhu rozhodnuto jinak než rozhodnutím o úpadku. Nevyřízené věci po rozhodnutí o úpadku jsou věci, kde již bylo rozhodnuto o úpadku, případně o způsobu jeho řešení, a úpadek dlužníka je realizován určeným způsobem.</w:t>
      </w:r>
    </w:p>
    <w:p w14:paraId="46EEC7B7" w14:textId="4B34EE10" w:rsidR="00AA64E3" w:rsidRPr="00730B1E" w:rsidRDefault="00AA64E3" w:rsidP="00AA64E3">
      <w:pPr>
        <w:pStyle w:val="Podnadpis"/>
        <w:rPr>
          <w:color w:val="auto"/>
        </w:rPr>
      </w:pPr>
      <w:bookmarkStart w:id="1217" w:name="_Toc11133265"/>
      <w:bookmarkStart w:id="1218" w:name="_Toc43931244"/>
      <w:bookmarkStart w:id="1219" w:name="_Toc75952377"/>
      <w:bookmarkStart w:id="1220" w:name="_Toc106106830"/>
      <w:bookmarkStart w:id="1221" w:name="_Toc109802153"/>
      <w:bookmarkStart w:id="1222" w:name="_Toc144104312"/>
      <w:bookmarkStart w:id="1223" w:name="_Toc169251126"/>
      <w:bookmarkStart w:id="1224" w:name="_Toc174080812"/>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69</w:t>
      </w:r>
      <w:r w:rsidRPr="00730B1E">
        <w:rPr>
          <w:noProof/>
          <w:color w:val="auto"/>
        </w:rPr>
        <w:fldChar w:fldCharType="end"/>
      </w:r>
      <w:r w:rsidRPr="00730B1E">
        <w:rPr>
          <w:color w:val="auto"/>
        </w:rPr>
        <w:t>: KS – vyřizování insolvenčních věcí dle soudů</w:t>
      </w:r>
      <w:bookmarkEnd w:id="1217"/>
      <w:bookmarkEnd w:id="1218"/>
      <w:bookmarkEnd w:id="1219"/>
      <w:bookmarkEnd w:id="1220"/>
      <w:bookmarkEnd w:id="1221"/>
      <w:bookmarkEnd w:id="1222"/>
      <w:r w:rsidR="00606356" w:rsidRPr="00730B1E">
        <w:rPr>
          <w:color w:val="auto"/>
        </w:rPr>
        <w:t>, 2023</w:t>
      </w:r>
      <w:bookmarkEnd w:id="1223"/>
      <w:bookmarkEnd w:id="1224"/>
    </w:p>
    <w:tbl>
      <w:tblPr>
        <w:tblW w:w="9215" w:type="dxa"/>
        <w:tblCellMar>
          <w:left w:w="70" w:type="dxa"/>
          <w:right w:w="70" w:type="dxa"/>
        </w:tblCellMar>
        <w:tblLook w:val="04A0" w:firstRow="1" w:lastRow="0" w:firstColumn="1" w:lastColumn="0" w:noHBand="0" w:noVBand="1"/>
      </w:tblPr>
      <w:tblGrid>
        <w:gridCol w:w="1980"/>
        <w:gridCol w:w="886"/>
        <w:gridCol w:w="962"/>
        <w:gridCol w:w="992"/>
        <w:gridCol w:w="772"/>
        <w:gridCol w:w="1071"/>
        <w:gridCol w:w="845"/>
        <w:gridCol w:w="6"/>
        <w:gridCol w:w="886"/>
        <w:gridCol w:w="809"/>
        <w:gridCol w:w="6"/>
      </w:tblGrid>
      <w:tr w:rsidR="00B64E96" w:rsidRPr="00730B1E" w14:paraId="49280140" w14:textId="77777777" w:rsidTr="00602BF6">
        <w:trPr>
          <w:gridAfter w:val="1"/>
          <w:wAfter w:w="6" w:type="dxa"/>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4BEBF968" w14:textId="126B0D5E" w:rsidR="00AA64E3" w:rsidRPr="00730B1E" w:rsidRDefault="001E2458" w:rsidP="00AA64E3">
            <w:pPr>
              <w:spacing w:line="240" w:lineRule="auto"/>
              <w:jc w:val="center"/>
              <w:rPr>
                <w:rFonts w:eastAsia="Times New Roman"/>
                <w:b/>
                <w:bCs/>
                <w:szCs w:val="24"/>
                <w:lang w:eastAsia="cs-CZ"/>
              </w:rPr>
            </w:pPr>
            <w:r w:rsidRPr="00730B1E">
              <w:rPr>
                <w:rFonts w:eastAsia="Times New Roman"/>
                <w:b/>
                <w:bCs/>
                <w:szCs w:val="24"/>
                <w:lang w:eastAsia="cs-CZ"/>
              </w:rPr>
              <w:t>S</w:t>
            </w:r>
            <w:r w:rsidR="00AA64E3" w:rsidRPr="00730B1E">
              <w:rPr>
                <w:rFonts w:eastAsia="Times New Roman"/>
                <w:b/>
                <w:bCs/>
                <w:szCs w:val="24"/>
                <w:lang w:eastAsia="cs-CZ"/>
              </w:rPr>
              <w:t>oud</w:t>
            </w:r>
          </w:p>
        </w:tc>
        <w:tc>
          <w:tcPr>
            <w:tcW w:w="7229" w:type="dxa"/>
            <w:gridSpan w:val="9"/>
            <w:tcBorders>
              <w:top w:val="double" w:sz="6" w:space="0" w:color="auto"/>
              <w:left w:val="nil"/>
              <w:bottom w:val="nil"/>
              <w:right w:val="nil"/>
            </w:tcBorders>
            <w:shd w:val="clear" w:color="auto" w:fill="auto"/>
            <w:noWrap/>
            <w:vAlign w:val="center"/>
            <w:hideMark/>
          </w:tcPr>
          <w:p w14:paraId="36CBF2A2" w14:textId="77777777"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Počet věcí</w:t>
            </w:r>
          </w:p>
        </w:tc>
      </w:tr>
      <w:tr w:rsidR="00B64E96" w:rsidRPr="00730B1E" w14:paraId="3BB72400" w14:textId="77777777" w:rsidTr="00602BF6">
        <w:trPr>
          <w:gridAfter w:val="1"/>
          <w:wAfter w:w="6" w:type="dxa"/>
          <w:trHeight w:val="960"/>
        </w:trPr>
        <w:tc>
          <w:tcPr>
            <w:tcW w:w="1980" w:type="dxa"/>
            <w:vMerge/>
            <w:tcBorders>
              <w:top w:val="double" w:sz="6" w:space="0" w:color="auto"/>
              <w:left w:val="nil"/>
              <w:bottom w:val="double" w:sz="6" w:space="0" w:color="000000"/>
              <w:right w:val="nil"/>
            </w:tcBorders>
            <w:vAlign w:val="center"/>
            <w:hideMark/>
          </w:tcPr>
          <w:p w14:paraId="1EC4CA45" w14:textId="77777777" w:rsidR="00AA64E3" w:rsidRPr="00730B1E" w:rsidRDefault="00AA64E3" w:rsidP="00AA64E3">
            <w:pPr>
              <w:spacing w:line="240" w:lineRule="auto"/>
              <w:jc w:val="left"/>
              <w:rPr>
                <w:rFonts w:eastAsia="Times New Roman"/>
                <w:b/>
                <w:bCs/>
                <w:szCs w:val="24"/>
                <w:lang w:eastAsia="cs-CZ"/>
              </w:rPr>
            </w:pPr>
          </w:p>
        </w:tc>
        <w:tc>
          <w:tcPr>
            <w:tcW w:w="1848" w:type="dxa"/>
            <w:gridSpan w:val="2"/>
            <w:tcBorders>
              <w:top w:val="nil"/>
              <w:left w:val="nil"/>
              <w:bottom w:val="double" w:sz="6" w:space="0" w:color="auto"/>
              <w:right w:val="nil"/>
            </w:tcBorders>
            <w:shd w:val="clear" w:color="auto" w:fill="auto"/>
            <w:vAlign w:val="center"/>
            <w:hideMark/>
          </w:tcPr>
          <w:p w14:paraId="7E90809F" w14:textId="3A1AFF76"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76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8A33F83" w14:textId="77777777"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916" w:type="dxa"/>
            <w:gridSpan w:val="2"/>
            <w:tcBorders>
              <w:top w:val="nil"/>
              <w:left w:val="nil"/>
              <w:bottom w:val="double" w:sz="6" w:space="0" w:color="auto"/>
              <w:right w:val="single" w:sz="4" w:space="0" w:color="000000"/>
            </w:tcBorders>
            <w:shd w:val="clear" w:color="auto" w:fill="auto"/>
            <w:vAlign w:val="center"/>
            <w:hideMark/>
          </w:tcPr>
          <w:p w14:paraId="79C83FDB" w14:textId="0CB0F25A"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 xml:space="preserve">Nevyřízeno před rozh. </w:t>
            </w:r>
            <w:r w:rsidR="001E2458" w:rsidRPr="00730B1E">
              <w:rPr>
                <w:rFonts w:eastAsia="Times New Roman"/>
                <w:b/>
                <w:bCs/>
                <w:szCs w:val="24"/>
                <w:lang w:eastAsia="cs-CZ"/>
              </w:rPr>
              <w:t>o </w:t>
            </w:r>
            <w:r w:rsidRPr="00730B1E">
              <w:rPr>
                <w:rFonts w:eastAsia="Times New Roman"/>
                <w:b/>
                <w:bCs/>
                <w:szCs w:val="24"/>
                <w:lang w:eastAsia="cs-CZ"/>
              </w:rPr>
              <w:t>úpadku</w:t>
            </w:r>
          </w:p>
        </w:tc>
        <w:tc>
          <w:tcPr>
            <w:tcW w:w="1701" w:type="dxa"/>
            <w:gridSpan w:val="3"/>
            <w:tcBorders>
              <w:top w:val="nil"/>
              <w:left w:val="nil"/>
              <w:bottom w:val="double" w:sz="6" w:space="0" w:color="auto"/>
              <w:right w:val="nil"/>
            </w:tcBorders>
            <w:shd w:val="clear" w:color="auto" w:fill="auto"/>
            <w:vAlign w:val="center"/>
            <w:hideMark/>
          </w:tcPr>
          <w:p w14:paraId="1246A867" w14:textId="77777777"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Nevyřízeno po rozh. o úpadku</w:t>
            </w:r>
          </w:p>
        </w:tc>
      </w:tr>
      <w:tr w:rsidR="00B64E96" w:rsidRPr="00730B1E" w14:paraId="1B743843" w14:textId="77777777" w:rsidTr="009714A7">
        <w:trPr>
          <w:trHeight w:val="330"/>
        </w:trPr>
        <w:tc>
          <w:tcPr>
            <w:tcW w:w="1980" w:type="dxa"/>
            <w:tcBorders>
              <w:top w:val="single" w:sz="4" w:space="0" w:color="auto"/>
              <w:left w:val="nil"/>
              <w:bottom w:val="single" w:sz="4" w:space="0" w:color="auto"/>
              <w:right w:val="nil"/>
            </w:tcBorders>
            <w:shd w:val="clear" w:color="auto" w:fill="auto"/>
            <w:noWrap/>
            <w:vAlign w:val="bottom"/>
            <w:hideMark/>
          </w:tcPr>
          <w:p w14:paraId="7BECF0C2" w14:textId="77777777" w:rsidR="00AA64E3" w:rsidRPr="00730B1E" w:rsidRDefault="00AA64E3" w:rsidP="00AA64E3">
            <w:pPr>
              <w:spacing w:line="240" w:lineRule="auto"/>
              <w:jc w:val="left"/>
              <w:rPr>
                <w:rFonts w:eastAsia="Times New Roman"/>
                <w:szCs w:val="24"/>
                <w:lang w:eastAsia="cs-CZ"/>
              </w:rPr>
            </w:pPr>
            <w:r w:rsidRPr="00730B1E">
              <w:rPr>
                <w:rFonts w:eastAsia="Times New Roman"/>
                <w:szCs w:val="24"/>
                <w:lang w:eastAsia="cs-CZ"/>
              </w:rPr>
              <w:t>MS Praha</w:t>
            </w:r>
          </w:p>
        </w:tc>
        <w:tc>
          <w:tcPr>
            <w:tcW w:w="886" w:type="dxa"/>
            <w:tcBorders>
              <w:top w:val="single" w:sz="4" w:space="0" w:color="auto"/>
              <w:left w:val="nil"/>
              <w:bottom w:val="single" w:sz="4" w:space="0" w:color="auto"/>
              <w:right w:val="nil"/>
            </w:tcBorders>
            <w:shd w:val="clear" w:color="auto" w:fill="auto"/>
            <w:noWrap/>
            <w:vAlign w:val="bottom"/>
            <w:hideMark/>
          </w:tcPr>
          <w:p w14:paraId="4BDD3DBC"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2 275</w:t>
            </w:r>
          </w:p>
        </w:tc>
        <w:tc>
          <w:tcPr>
            <w:tcW w:w="962" w:type="dxa"/>
            <w:tcBorders>
              <w:top w:val="single" w:sz="4" w:space="0" w:color="auto"/>
              <w:left w:val="nil"/>
              <w:bottom w:val="single" w:sz="4" w:space="0" w:color="auto"/>
              <w:right w:val="nil"/>
            </w:tcBorders>
            <w:shd w:val="clear" w:color="auto" w:fill="auto"/>
            <w:noWrap/>
            <w:vAlign w:val="center"/>
            <w:hideMark/>
          </w:tcPr>
          <w:p w14:paraId="0196277F"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992" w:type="dxa"/>
            <w:tcBorders>
              <w:top w:val="single" w:sz="4" w:space="0" w:color="auto"/>
              <w:left w:val="single" w:sz="4" w:space="0" w:color="auto"/>
              <w:bottom w:val="single" w:sz="4" w:space="0" w:color="auto"/>
              <w:right w:val="nil"/>
            </w:tcBorders>
            <w:shd w:val="clear" w:color="auto" w:fill="auto"/>
            <w:noWrap/>
            <w:vAlign w:val="bottom"/>
            <w:hideMark/>
          </w:tcPr>
          <w:p w14:paraId="7875F093"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2 651</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14:paraId="5F9B3582"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1071" w:type="dxa"/>
            <w:tcBorders>
              <w:top w:val="single" w:sz="4" w:space="0" w:color="auto"/>
              <w:left w:val="nil"/>
              <w:bottom w:val="single" w:sz="4" w:space="0" w:color="auto"/>
              <w:right w:val="nil"/>
            </w:tcBorders>
            <w:shd w:val="clear" w:color="auto" w:fill="auto"/>
            <w:noWrap/>
            <w:vAlign w:val="bottom"/>
            <w:hideMark/>
          </w:tcPr>
          <w:p w14:paraId="60609637"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282</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6F9B96"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886" w:type="dxa"/>
            <w:tcBorders>
              <w:top w:val="single" w:sz="4" w:space="0" w:color="auto"/>
              <w:left w:val="nil"/>
              <w:bottom w:val="single" w:sz="4" w:space="0" w:color="auto"/>
              <w:right w:val="nil"/>
            </w:tcBorders>
            <w:shd w:val="clear" w:color="auto" w:fill="auto"/>
            <w:noWrap/>
            <w:vAlign w:val="bottom"/>
            <w:hideMark/>
          </w:tcPr>
          <w:p w14:paraId="78B0C100"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8 812</w:t>
            </w:r>
          </w:p>
        </w:tc>
        <w:tc>
          <w:tcPr>
            <w:tcW w:w="815" w:type="dxa"/>
            <w:gridSpan w:val="2"/>
            <w:tcBorders>
              <w:top w:val="single" w:sz="4" w:space="0" w:color="auto"/>
              <w:left w:val="nil"/>
              <w:bottom w:val="single" w:sz="4" w:space="0" w:color="auto"/>
              <w:right w:val="nil"/>
            </w:tcBorders>
            <w:shd w:val="clear" w:color="auto" w:fill="auto"/>
            <w:noWrap/>
            <w:vAlign w:val="center"/>
            <w:hideMark/>
          </w:tcPr>
          <w:p w14:paraId="2FE9126A"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r>
      <w:tr w:rsidR="00B64E96" w:rsidRPr="00730B1E" w14:paraId="60A38617"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549F2E51" w14:textId="77777777" w:rsidR="00AA64E3" w:rsidRPr="00730B1E" w:rsidRDefault="00AA64E3" w:rsidP="00AA64E3">
            <w:pPr>
              <w:spacing w:line="240" w:lineRule="auto"/>
              <w:jc w:val="left"/>
              <w:rPr>
                <w:rFonts w:eastAsia="Times New Roman"/>
                <w:szCs w:val="24"/>
                <w:lang w:eastAsia="cs-CZ"/>
              </w:rPr>
            </w:pPr>
            <w:r w:rsidRPr="00730B1E">
              <w:rPr>
                <w:rFonts w:eastAsia="Times New Roman"/>
                <w:szCs w:val="24"/>
                <w:lang w:eastAsia="cs-CZ"/>
              </w:rPr>
              <w:t>KS Praha</w:t>
            </w:r>
          </w:p>
        </w:tc>
        <w:tc>
          <w:tcPr>
            <w:tcW w:w="886" w:type="dxa"/>
            <w:tcBorders>
              <w:top w:val="nil"/>
              <w:left w:val="nil"/>
              <w:bottom w:val="single" w:sz="4" w:space="0" w:color="auto"/>
              <w:right w:val="nil"/>
            </w:tcBorders>
            <w:shd w:val="clear" w:color="auto" w:fill="auto"/>
            <w:noWrap/>
            <w:vAlign w:val="bottom"/>
            <w:hideMark/>
          </w:tcPr>
          <w:p w14:paraId="79C0BA4E"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2 512</w:t>
            </w:r>
          </w:p>
        </w:tc>
        <w:tc>
          <w:tcPr>
            <w:tcW w:w="962" w:type="dxa"/>
            <w:tcBorders>
              <w:top w:val="nil"/>
              <w:left w:val="nil"/>
              <w:bottom w:val="single" w:sz="4" w:space="0" w:color="auto"/>
              <w:right w:val="nil"/>
            </w:tcBorders>
            <w:shd w:val="clear" w:color="auto" w:fill="auto"/>
            <w:noWrap/>
            <w:vAlign w:val="center"/>
            <w:hideMark/>
          </w:tcPr>
          <w:p w14:paraId="71B83D37"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992" w:type="dxa"/>
            <w:tcBorders>
              <w:top w:val="nil"/>
              <w:left w:val="single" w:sz="4" w:space="0" w:color="auto"/>
              <w:bottom w:val="single" w:sz="4" w:space="0" w:color="auto"/>
              <w:right w:val="nil"/>
            </w:tcBorders>
            <w:shd w:val="clear" w:color="auto" w:fill="auto"/>
            <w:noWrap/>
            <w:vAlign w:val="bottom"/>
            <w:hideMark/>
          </w:tcPr>
          <w:p w14:paraId="441162FD"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3 516</w:t>
            </w:r>
          </w:p>
        </w:tc>
        <w:tc>
          <w:tcPr>
            <w:tcW w:w="772" w:type="dxa"/>
            <w:tcBorders>
              <w:top w:val="nil"/>
              <w:left w:val="nil"/>
              <w:bottom w:val="single" w:sz="4" w:space="0" w:color="auto"/>
              <w:right w:val="single" w:sz="4" w:space="0" w:color="auto"/>
            </w:tcBorders>
            <w:shd w:val="clear" w:color="auto" w:fill="auto"/>
            <w:noWrap/>
            <w:vAlign w:val="center"/>
            <w:hideMark/>
          </w:tcPr>
          <w:p w14:paraId="6A0F4F10"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+22 %  </w:t>
            </w:r>
          </w:p>
        </w:tc>
        <w:tc>
          <w:tcPr>
            <w:tcW w:w="1071" w:type="dxa"/>
            <w:tcBorders>
              <w:top w:val="nil"/>
              <w:left w:val="nil"/>
              <w:bottom w:val="single" w:sz="4" w:space="0" w:color="auto"/>
              <w:right w:val="nil"/>
            </w:tcBorders>
            <w:shd w:val="clear" w:color="auto" w:fill="auto"/>
            <w:noWrap/>
            <w:vAlign w:val="bottom"/>
            <w:hideMark/>
          </w:tcPr>
          <w:p w14:paraId="6858F9C4"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122</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3872D60E"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886" w:type="dxa"/>
            <w:tcBorders>
              <w:top w:val="nil"/>
              <w:left w:val="nil"/>
              <w:bottom w:val="single" w:sz="4" w:space="0" w:color="auto"/>
              <w:right w:val="nil"/>
            </w:tcBorders>
            <w:shd w:val="clear" w:color="auto" w:fill="auto"/>
            <w:noWrap/>
            <w:vAlign w:val="bottom"/>
            <w:hideMark/>
          </w:tcPr>
          <w:p w14:paraId="288AA89C"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10 584</w:t>
            </w:r>
          </w:p>
        </w:tc>
        <w:tc>
          <w:tcPr>
            <w:tcW w:w="815" w:type="dxa"/>
            <w:gridSpan w:val="2"/>
            <w:tcBorders>
              <w:top w:val="nil"/>
              <w:left w:val="nil"/>
              <w:bottom w:val="single" w:sz="4" w:space="0" w:color="auto"/>
              <w:right w:val="nil"/>
            </w:tcBorders>
            <w:shd w:val="clear" w:color="auto" w:fill="auto"/>
            <w:noWrap/>
            <w:vAlign w:val="center"/>
            <w:hideMark/>
          </w:tcPr>
          <w:p w14:paraId="6A73341F"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r>
      <w:tr w:rsidR="00B64E96" w:rsidRPr="00730B1E" w14:paraId="01E8BC87"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7C5C11B8" w14:textId="77777777" w:rsidR="00AA64E3" w:rsidRPr="00730B1E" w:rsidRDefault="00AA64E3" w:rsidP="00AA64E3">
            <w:pPr>
              <w:spacing w:line="240" w:lineRule="auto"/>
              <w:jc w:val="left"/>
              <w:rPr>
                <w:rFonts w:eastAsia="Times New Roman"/>
                <w:szCs w:val="24"/>
                <w:lang w:eastAsia="cs-CZ"/>
              </w:rPr>
            </w:pPr>
            <w:r w:rsidRPr="00730B1E">
              <w:rPr>
                <w:rFonts w:eastAsia="Times New Roman"/>
                <w:szCs w:val="24"/>
                <w:lang w:eastAsia="cs-CZ"/>
              </w:rPr>
              <w:t>KS Č. Budějovice</w:t>
            </w:r>
          </w:p>
        </w:tc>
        <w:tc>
          <w:tcPr>
            <w:tcW w:w="886" w:type="dxa"/>
            <w:tcBorders>
              <w:top w:val="nil"/>
              <w:left w:val="nil"/>
              <w:bottom w:val="single" w:sz="4" w:space="0" w:color="auto"/>
              <w:right w:val="nil"/>
            </w:tcBorders>
            <w:shd w:val="clear" w:color="auto" w:fill="auto"/>
            <w:noWrap/>
            <w:vAlign w:val="bottom"/>
            <w:hideMark/>
          </w:tcPr>
          <w:p w14:paraId="7320B93A"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1 264</w:t>
            </w:r>
          </w:p>
        </w:tc>
        <w:tc>
          <w:tcPr>
            <w:tcW w:w="962" w:type="dxa"/>
            <w:tcBorders>
              <w:top w:val="nil"/>
              <w:left w:val="nil"/>
              <w:bottom w:val="single" w:sz="4" w:space="0" w:color="auto"/>
              <w:right w:val="nil"/>
            </w:tcBorders>
            <w:shd w:val="clear" w:color="auto" w:fill="auto"/>
            <w:noWrap/>
            <w:vAlign w:val="center"/>
            <w:hideMark/>
          </w:tcPr>
          <w:p w14:paraId="496EC9CD"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992" w:type="dxa"/>
            <w:tcBorders>
              <w:top w:val="nil"/>
              <w:left w:val="single" w:sz="4" w:space="0" w:color="auto"/>
              <w:bottom w:val="single" w:sz="4" w:space="0" w:color="auto"/>
              <w:right w:val="nil"/>
            </w:tcBorders>
            <w:shd w:val="clear" w:color="auto" w:fill="auto"/>
            <w:noWrap/>
            <w:vAlign w:val="bottom"/>
            <w:hideMark/>
          </w:tcPr>
          <w:p w14:paraId="3A408E52"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1 901</w:t>
            </w:r>
          </w:p>
        </w:tc>
        <w:tc>
          <w:tcPr>
            <w:tcW w:w="772" w:type="dxa"/>
            <w:tcBorders>
              <w:top w:val="nil"/>
              <w:left w:val="nil"/>
              <w:bottom w:val="single" w:sz="4" w:space="0" w:color="auto"/>
              <w:right w:val="single" w:sz="4" w:space="0" w:color="auto"/>
            </w:tcBorders>
            <w:shd w:val="clear" w:color="auto" w:fill="auto"/>
            <w:noWrap/>
            <w:vAlign w:val="center"/>
            <w:hideMark/>
          </w:tcPr>
          <w:p w14:paraId="59A0B941"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1071" w:type="dxa"/>
            <w:tcBorders>
              <w:top w:val="nil"/>
              <w:left w:val="nil"/>
              <w:bottom w:val="single" w:sz="4" w:space="0" w:color="auto"/>
              <w:right w:val="nil"/>
            </w:tcBorders>
            <w:shd w:val="clear" w:color="auto" w:fill="auto"/>
            <w:noWrap/>
            <w:vAlign w:val="bottom"/>
            <w:hideMark/>
          </w:tcPr>
          <w:p w14:paraId="05EFC7D0"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54</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5AD117D4"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+69 %  </w:t>
            </w:r>
          </w:p>
        </w:tc>
        <w:tc>
          <w:tcPr>
            <w:tcW w:w="886" w:type="dxa"/>
            <w:tcBorders>
              <w:top w:val="nil"/>
              <w:left w:val="nil"/>
              <w:bottom w:val="single" w:sz="4" w:space="0" w:color="auto"/>
              <w:right w:val="nil"/>
            </w:tcBorders>
            <w:shd w:val="clear" w:color="auto" w:fill="auto"/>
            <w:noWrap/>
            <w:vAlign w:val="bottom"/>
            <w:hideMark/>
          </w:tcPr>
          <w:p w14:paraId="228C12BC"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5 566</w:t>
            </w:r>
          </w:p>
        </w:tc>
        <w:tc>
          <w:tcPr>
            <w:tcW w:w="815" w:type="dxa"/>
            <w:gridSpan w:val="2"/>
            <w:tcBorders>
              <w:top w:val="nil"/>
              <w:left w:val="nil"/>
              <w:bottom w:val="single" w:sz="4" w:space="0" w:color="auto"/>
              <w:right w:val="nil"/>
            </w:tcBorders>
            <w:shd w:val="clear" w:color="auto" w:fill="auto"/>
            <w:noWrap/>
            <w:vAlign w:val="center"/>
            <w:hideMark/>
          </w:tcPr>
          <w:p w14:paraId="72B76D4B"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57B23043"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58953845" w14:textId="77777777" w:rsidR="00AA64E3" w:rsidRPr="00730B1E" w:rsidRDefault="00AA64E3" w:rsidP="00AA64E3">
            <w:pPr>
              <w:spacing w:line="240" w:lineRule="auto"/>
              <w:jc w:val="left"/>
              <w:rPr>
                <w:rFonts w:eastAsia="Times New Roman"/>
                <w:szCs w:val="24"/>
                <w:lang w:eastAsia="cs-CZ"/>
              </w:rPr>
            </w:pPr>
            <w:r w:rsidRPr="00730B1E">
              <w:rPr>
                <w:rFonts w:eastAsia="Times New Roman"/>
                <w:szCs w:val="24"/>
                <w:lang w:eastAsia="cs-CZ"/>
              </w:rPr>
              <w:t>KS Plzeň</w:t>
            </w:r>
          </w:p>
        </w:tc>
        <w:tc>
          <w:tcPr>
            <w:tcW w:w="886" w:type="dxa"/>
            <w:tcBorders>
              <w:top w:val="nil"/>
              <w:left w:val="nil"/>
              <w:bottom w:val="single" w:sz="4" w:space="0" w:color="auto"/>
              <w:right w:val="nil"/>
            </w:tcBorders>
            <w:shd w:val="clear" w:color="auto" w:fill="auto"/>
            <w:noWrap/>
            <w:vAlign w:val="bottom"/>
            <w:hideMark/>
          </w:tcPr>
          <w:p w14:paraId="6F9C95DE"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1 894</w:t>
            </w:r>
          </w:p>
        </w:tc>
        <w:tc>
          <w:tcPr>
            <w:tcW w:w="962" w:type="dxa"/>
            <w:tcBorders>
              <w:top w:val="nil"/>
              <w:left w:val="nil"/>
              <w:bottom w:val="single" w:sz="4" w:space="0" w:color="auto"/>
              <w:right w:val="nil"/>
            </w:tcBorders>
            <w:shd w:val="clear" w:color="auto" w:fill="auto"/>
            <w:noWrap/>
            <w:vAlign w:val="center"/>
            <w:hideMark/>
          </w:tcPr>
          <w:p w14:paraId="652E5E95"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92" w:type="dxa"/>
            <w:tcBorders>
              <w:top w:val="nil"/>
              <w:left w:val="single" w:sz="4" w:space="0" w:color="auto"/>
              <w:bottom w:val="single" w:sz="4" w:space="0" w:color="auto"/>
              <w:right w:val="nil"/>
            </w:tcBorders>
            <w:shd w:val="clear" w:color="auto" w:fill="auto"/>
            <w:noWrap/>
            <w:vAlign w:val="bottom"/>
            <w:hideMark/>
          </w:tcPr>
          <w:p w14:paraId="3EEF5A90"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2 790</w:t>
            </w:r>
          </w:p>
        </w:tc>
        <w:tc>
          <w:tcPr>
            <w:tcW w:w="772" w:type="dxa"/>
            <w:tcBorders>
              <w:top w:val="nil"/>
              <w:left w:val="nil"/>
              <w:bottom w:val="single" w:sz="4" w:space="0" w:color="auto"/>
              <w:right w:val="single" w:sz="4" w:space="0" w:color="auto"/>
            </w:tcBorders>
            <w:shd w:val="clear" w:color="auto" w:fill="auto"/>
            <w:noWrap/>
            <w:vAlign w:val="center"/>
            <w:hideMark/>
          </w:tcPr>
          <w:p w14:paraId="7F721762"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1071" w:type="dxa"/>
            <w:tcBorders>
              <w:top w:val="nil"/>
              <w:left w:val="nil"/>
              <w:bottom w:val="single" w:sz="4" w:space="0" w:color="auto"/>
              <w:right w:val="nil"/>
            </w:tcBorders>
            <w:shd w:val="clear" w:color="auto" w:fill="auto"/>
            <w:noWrap/>
            <w:vAlign w:val="bottom"/>
            <w:hideMark/>
          </w:tcPr>
          <w:p w14:paraId="56F7F8F8"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188</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0217315E"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+27 %  </w:t>
            </w:r>
          </w:p>
        </w:tc>
        <w:tc>
          <w:tcPr>
            <w:tcW w:w="886" w:type="dxa"/>
            <w:tcBorders>
              <w:top w:val="nil"/>
              <w:left w:val="nil"/>
              <w:bottom w:val="single" w:sz="4" w:space="0" w:color="auto"/>
              <w:right w:val="nil"/>
            </w:tcBorders>
            <w:shd w:val="clear" w:color="auto" w:fill="auto"/>
            <w:noWrap/>
            <w:vAlign w:val="bottom"/>
            <w:hideMark/>
          </w:tcPr>
          <w:p w14:paraId="4ECD8C82"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8 760</w:t>
            </w:r>
          </w:p>
        </w:tc>
        <w:tc>
          <w:tcPr>
            <w:tcW w:w="815" w:type="dxa"/>
            <w:gridSpan w:val="2"/>
            <w:tcBorders>
              <w:top w:val="nil"/>
              <w:left w:val="nil"/>
              <w:bottom w:val="single" w:sz="4" w:space="0" w:color="auto"/>
              <w:right w:val="nil"/>
            </w:tcBorders>
            <w:shd w:val="clear" w:color="auto" w:fill="auto"/>
            <w:noWrap/>
            <w:vAlign w:val="center"/>
            <w:hideMark/>
          </w:tcPr>
          <w:p w14:paraId="3E943B42"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r>
      <w:tr w:rsidR="00B64E96" w:rsidRPr="00730B1E" w14:paraId="7526C7EF"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69F259A5" w14:textId="77777777" w:rsidR="00AA64E3" w:rsidRPr="00730B1E" w:rsidRDefault="00AA64E3" w:rsidP="00AA64E3">
            <w:pPr>
              <w:spacing w:line="240" w:lineRule="auto"/>
              <w:jc w:val="left"/>
              <w:rPr>
                <w:rFonts w:eastAsia="Times New Roman"/>
                <w:szCs w:val="24"/>
                <w:lang w:eastAsia="cs-CZ"/>
              </w:rPr>
            </w:pPr>
            <w:r w:rsidRPr="00730B1E">
              <w:rPr>
                <w:rFonts w:eastAsia="Times New Roman"/>
                <w:szCs w:val="24"/>
                <w:lang w:eastAsia="cs-CZ"/>
              </w:rPr>
              <w:t>KS Ústí n. Labem</w:t>
            </w:r>
          </w:p>
        </w:tc>
        <w:tc>
          <w:tcPr>
            <w:tcW w:w="886" w:type="dxa"/>
            <w:tcBorders>
              <w:top w:val="nil"/>
              <w:left w:val="nil"/>
              <w:bottom w:val="single" w:sz="4" w:space="0" w:color="auto"/>
              <w:right w:val="nil"/>
            </w:tcBorders>
            <w:shd w:val="clear" w:color="auto" w:fill="auto"/>
            <w:noWrap/>
            <w:vAlign w:val="bottom"/>
            <w:hideMark/>
          </w:tcPr>
          <w:p w14:paraId="116610F2"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3 255</w:t>
            </w:r>
          </w:p>
        </w:tc>
        <w:tc>
          <w:tcPr>
            <w:tcW w:w="962" w:type="dxa"/>
            <w:tcBorders>
              <w:top w:val="nil"/>
              <w:left w:val="nil"/>
              <w:bottom w:val="single" w:sz="4" w:space="0" w:color="auto"/>
              <w:right w:val="nil"/>
            </w:tcBorders>
            <w:shd w:val="clear" w:color="auto" w:fill="auto"/>
            <w:noWrap/>
            <w:vAlign w:val="center"/>
            <w:hideMark/>
          </w:tcPr>
          <w:p w14:paraId="13A4CD03"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992" w:type="dxa"/>
            <w:tcBorders>
              <w:top w:val="nil"/>
              <w:left w:val="single" w:sz="4" w:space="0" w:color="auto"/>
              <w:bottom w:val="single" w:sz="4" w:space="0" w:color="auto"/>
              <w:right w:val="nil"/>
            </w:tcBorders>
            <w:shd w:val="clear" w:color="auto" w:fill="auto"/>
            <w:noWrap/>
            <w:vAlign w:val="bottom"/>
            <w:hideMark/>
          </w:tcPr>
          <w:p w14:paraId="3459AF4D"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4 886</w:t>
            </w:r>
          </w:p>
        </w:tc>
        <w:tc>
          <w:tcPr>
            <w:tcW w:w="772" w:type="dxa"/>
            <w:tcBorders>
              <w:top w:val="nil"/>
              <w:left w:val="nil"/>
              <w:bottom w:val="single" w:sz="4" w:space="0" w:color="auto"/>
              <w:right w:val="single" w:sz="4" w:space="0" w:color="auto"/>
            </w:tcBorders>
            <w:shd w:val="clear" w:color="auto" w:fill="auto"/>
            <w:noWrap/>
            <w:vAlign w:val="center"/>
            <w:hideMark/>
          </w:tcPr>
          <w:p w14:paraId="6FA6F430"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071" w:type="dxa"/>
            <w:tcBorders>
              <w:top w:val="nil"/>
              <w:left w:val="nil"/>
              <w:bottom w:val="single" w:sz="4" w:space="0" w:color="auto"/>
              <w:right w:val="nil"/>
            </w:tcBorders>
            <w:shd w:val="clear" w:color="auto" w:fill="auto"/>
            <w:noWrap/>
            <w:vAlign w:val="bottom"/>
            <w:hideMark/>
          </w:tcPr>
          <w:p w14:paraId="72F2BFC2"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146</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65B36C16"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886" w:type="dxa"/>
            <w:tcBorders>
              <w:top w:val="nil"/>
              <w:left w:val="nil"/>
              <w:bottom w:val="single" w:sz="4" w:space="0" w:color="auto"/>
              <w:right w:val="nil"/>
            </w:tcBorders>
            <w:shd w:val="clear" w:color="auto" w:fill="auto"/>
            <w:noWrap/>
            <w:vAlign w:val="bottom"/>
            <w:hideMark/>
          </w:tcPr>
          <w:p w14:paraId="2F467683"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15 340</w:t>
            </w:r>
          </w:p>
        </w:tc>
        <w:tc>
          <w:tcPr>
            <w:tcW w:w="815" w:type="dxa"/>
            <w:gridSpan w:val="2"/>
            <w:tcBorders>
              <w:top w:val="nil"/>
              <w:left w:val="nil"/>
              <w:bottom w:val="single" w:sz="4" w:space="0" w:color="auto"/>
              <w:right w:val="nil"/>
            </w:tcBorders>
            <w:shd w:val="clear" w:color="auto" w:fill="auto"/>
            <w:noWrap/>
            <w:vAlign w:val="center"/>
            <w:hideMark/>
          </w:tcPr>
          <w:p w14:paraId="3D3D565B"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r>
      <w:tr w:rsidR="00B64E96" w:rsidRPr="00730B1E" w14:paraId="1040F70E"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6BD104B9" w14:textId="77777777" w:rsidR="00AA64E3" w:rsidRPr="00730B1E" w:rsidRDefault="00AA64E3" w:rsidP="00AA64E3">
            <w:pPr>
              <w:spacing w:line="240" w:lineRule="auto"/>
              <w:jc w:val="left"/>
              <w:rPr>
                <w:rFonts w:eastAsia="Times New Roman"/>
                <w:szCs w:val="24"/>
                <w:lang w:eastAsia="cs-CZ"/>
              </w:rPr>
            </w:pPr>
            <w:r w:rsidRPr="00730B1E">
              <w:rPr>
                <w:rFonts w:eastAsia="Times New Roman"/>
                <w:szCs w:val="24"/>
                <w:lang w:eastAsia="cs-CZ"/>
              </w:rPr>
              <w:t>KS Hr. Králové</w:t>
            </w:r>
          </w:p>
        </w:tc>
        <w:tc>
          <w:tcPr>
            <w:tcW w:w="886" w:type="dxa"/>
            <w:tcBorders>
              <w:top w:val="nil"/>
              <w:left w:val="nil"/>
              <w:bottom w:val="single" w:sz="4" w:space="0" w:color="auto"/>
              <w:right w:val="nil"/>
            </w:tcBorders>
            <w:shd w:val="clear" w:color="auto" w:fill="auto"/>
            <w:noWrap/>
            <w:vAlign w:val="bottom"/>
            <w:hideMark/>
          </w:tcPr>
          <w:p w14:paraId="4CAF126F"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2 101</w:t>
            </w:r>
          </w:p>
        </w:tc>
        <w:tc>
          <w:tcPr>
            <w:tcW w:w="962" w:type="dxa"/>
            <w:tcBorders>
              <w:top w:val="nil"/>
              <w:left w:val="nil"/>
              <w:bottom w:val="single" w:sz="4" w:space="0" w:color="auto"/>
              <w:right w:val="nil"/>
            </w:tcBorders>
            <w:shd w:val="clear" w:color="auto" w:fill="auto"/>
            <w:noWrap/>
            <w:vAlign w:val="center"/>
            <w:hideMark/>
          </w:tcPr>
          <w:p w14:paraId="73631572"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92" w:type="dxa"/>
            <w:tcBorders>
              <w:top w:val="nil"/>
              <w:left w:val="single" w:sz="4" w:space="0" w:color="auto"/>
              <w:bottom w:val="single" w:sz="4" w:space="0" w:color="auto"/>
              <w:right w:val="nil"/>
            </w:tcBorders>
            <w:shd w:val="clear" w:color="auto" w:fill="auto"/>
            <w:noWrap/>
            <w:vAlign w:val="bottom"/>
            <w:hideMark/>
          </w:tcPr>
          <w:p w14:paraId="3B3AB08C"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3 162</w:t>
            </w:r>
          </w:p>
        </w:tc>
        <w:tc>
          <w:tcPr>
            <w:tcW w:w="772" w:type="dxa"/>
            <w:tcBorders>
              <w:top w:val="nil"/>
              <w:left w:val="nil"/>
              <w:bottom w:val="single" w:sz="4" w:space="0" w:color="auto"/>
              <w:right w:val="single" w:sz="4" w:space="0" w:color="auto"/>
            </w:tcBorders>
            <w:shd w:val="clear" w:color="auto" w:fill="auto"/>
            <w:noWrap/>
            <w:vAlign w:val="center"/>
            <w:hideMark/>
          </w:tcPr>
          <w:p w14:paraId="5593C7B2"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1071" w:type="dxa"/>
            <w:tcBorders>
              <w:top w:val="nil"/>
              <w:left w:val="nil"/>
              <w:bottom w:val="single" w:sz="4" w:space="0" w:color="auto"/>
              <w:right w:val="nil"/>
            </w:tcBorders>
            <w:shd w:val="clear" w:color="auto" w:fill="auto"/>
            <w:noWrap/>
            <w:vAlign w:val="bottom"/>
            <w:hideMark/>
          </w:tcPr>
          <w:p w14:paraId="2160D387"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51</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1A9FB00C"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886" w:type="dxa"/>
            <w:tcBorders>
              <w:top w:val="nil"/>
              <w:left w:val="nil"/>
              <w:bottom w:val="single" w:sz="4" w:space="0" w:color="auto"/>
              <w:right w:val="nil"/>
            </w:tcBorders>
            <w:shd w:val="clear" w:color="auto" w:fill="auto"/>
            <w:noWrap/>
            <w:vAlign w:val="bottom"/>
            <w:hideMark/>
          </w:tcPr>
          <w:p w14:paraId="7B317334"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10 307</w:t>
            </w:r>
          </w:p>
        </w:tc>
        <w:tc>
          <w:tcPr>
            <w:tcW w:w="815" w:type="dxa"/>
            <w:gridSpan w:val="2"/>
            <w:tcBorders>
              <w:top w:val="nil"/>
              <w:left w:val="nil"/>
              <w:bottom w:val="single" w:sz="4" w:space="0" w:color="auto"/>
              <w:right w:val="nil"/>
            </w:tcBorders>
            <w:shd w:val="clear" w:color="auto" w:fill="auto"/>
            <w:noWrap/>
            <w:vAlign w:val="center"/>
            <w:hideMark/>
          </w:tcPr>
          <w:p w14:paraId="331D9098"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r>
      <w:tr w:rsidR="00B64E96" w:rsidRPr="00730B1E" w14:paraId="460B377B"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275293C7" w14:textId="77777777" w:rsidR="00AA64E3" w:rsidRPr="00730B1E" w:rsidRDefault="00AA64E3" w:rsidP="00AA64E3">
            <w:pPr>
              <w:spacing w:line="240" w:lineRule="auto"/>
              <w:jc w:val="left"/>
              <w:rPr>
                <w:rFonts w:eastAsia="Times New Roman"/>
                <w:szCs w:val="24"/>
                <w:lang w:eastAsia="cs-CZ"/>
              </w:rPr>
            </w:pPr>
            <w:r w:rsidRPr="00730B1E">
              <w:rPr>
                <w:rFonts w:eastAsia="Times New Roman"/>
                <w:szCs w:val="24"/>
                <w:lang w:eastAsia="cs-CZ"/>
              </w:rPr>
              <w:t>KS Brno</w:t>
            </w:r>
          </w:p>
        </w:tc>
        <w:tc>
          <w:tcPr>
            <w:tcW w:w="886" w:type="dxa"/>
            <w:tcBorders>
              <w:top w:val="nil"/>
              <w:left w:val="nil"/>
              <w:bottom w:val="single" w:sz="4" w:space="0" w:color="auto"/>
              <w:right w:val="nil"/>
            </w:tcBorders>
            <w:shd w:val="clear" w:color="auto" w:fill="auto"/>
            <w:noWrap/>
            <w:vAlign w:val="bottom"/>
            <w:hideMark/>
          </w:tcPr>
          <w:p w14:paraId="25FBFBE8"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3 302</w:t>
            </w:r>
          </w:p>
        </w:tc>
        <w:tc>
          <w:tcPr>
            <w:tcW w:w="962" w:type="dxa"/>
            <w:tcBorders>
              <w:top w:val="nil"/>
              <w:left w:val="nil"/>
              <w:bottom w:val="single" w:sz="4" w:space="0" w:color="auto"/>
              <w:right w:val="nil"/>
            </w:tcBorders>
            <w:shd w:val="clear" w:color="auto" w:fill="auto"/>
            <w:noWrap/>
            <w:vAlign w:val="center"/>
            <w:hideMark/>
          </w:tcPr>
          <w:p w14:paraId="4EFBB91D"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992" w:type="dxa"/>
            <w:tcBorders>
              <w:top w:val="nil"/>
              <w:left w:val="single" w:sz="4" w:space="0" w:color="auto"/>
              <w:bottom w:val="single" w:sz="4" w:space="0" w:color="auto"/>
              <w:right w:val="nil"/>
            </w:tcBorders>
            <w:shd w:val="clear" w:color="auto" w:fill="auto"/>
            <w:noWrap/>
            <w:vAlign w:val="bottom"/>
            <w:hideMark/>
          </w:tcPr>
          <w:p w14:paraId="29F97277"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4 505</w:t>
            </w:r>
          </w:p>
        </w:tc>
        <w:tc>
          <w:tcPr>
            <w:tcW w:w="772" w:type="dxa"/>
            <w:tcBorders>
              <w:top w:val="nil"/>
              <w:left w:val="nil"/>
              <w:bottom w:val="single" w:sz="4" w:space="0" w:color="auto"/>
              <w:right w:val="single" w:sz="4" w:space="0" w:color="auto"/>
            </w:tcBorders>
            <w:shd w:val="clear" w:color="auto" w:fill="auto"/>
            <w:noWrap/>
            <w:vAlign w:val="center"/>
            <w:hideMark/>
          </w:tcPr>
          <w:p w14:paraId="61A90C68"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+25 %  </w:t>
            </w:r>
          </w:p>
        </w:tc>
        <w:tc>
          <w:tcPr>
            <w:tcW w:w="1071" w:type="dxa"/>
            <w:tcBorders>
              <w:top w:val="nil"/>
              <w:left w:val="nil"/>
              <w:bottom w:val="single" w:sz="4" w:space="0" w:color="auto"/>
              <w:right w:val="nil"/>
            </w:tcBorders>
            <w:shd w:val="clear" w:color="auto" w:fill="auto"/>
            <w:noWrap/>
            <w:vAlign w:val="bottom"/>
            <w:hideMark/>
          </w:tcPr>
          <w:p w14:paraId="2D4DCF12"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429</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1D0D9E7D"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+37 %  </w:t>
            </w:r>
          </w:p>
        </w:tc>
        <w:tc>
          <w:tcPr>
            <w:tcW w:w="886" w:type="dxa"/>
            <w:tcBorders>
              <w:top w:val="nil"/>
              <w:left w:val="nil"/>
              <w:bottom w:val="single" w:sz="4" w:space="0" w:color="auto"/>
              <w:right w:val="nil"/>
            </w:tcBorders>
            <w:shd w:val="clear" w:color="auto" w:fill="auto"/>
            <w:noWrap/>
            <w:vAlign w:val="bottom"/>
            <w:hideMark/>
          </w:tcPr>
          <w:p w14:paraId="2E85D6B0"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15 106</w:t>
            </w:r>
          </w:p>
        </w:tc>
        <w:tc>
          <w:tcPr>
            <w:tcW w:w="815" w:type="dxa"/>
            <w:gridSpan w:val="2"/>
            <w:tcBorders>
              <w:top w:val="nil"/>
              <w:left w:val="nil"/>
              <w:bottom w:val="single" w:sz="4" w:space="0" w:color="auto"/>
              <w:right w:val="nil"/>
            </w:tcBorders>
            <w:shd w:val="clear" w:color="auto" w:fill="auto"/>
            <w:noWrap/>
            <w:vAlign w:val="center"/>
            <w:hideMark/>
          </w:tcPr>
          <w:p w14:paraId="5F89D708"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r>
      <w:tr w:rsidR="00B64E96" w:rsidRPr="00730B1E" w14:paraId="7877E877" w14:textId="77777777" w:rsidTr="009714A7">
        <w:trPr>
          <w:trHeight w:val="330"/>
        </w:trPr>
        <w:tc>
          <w:tcPr>
            <w:tcW w:w="1980" w:type="dxa"/>
            <w:tcBorders>
              <w:top w:val="nil"/>
              <w:left w:val="nil"/>
              <w:bottom w:val="double" w:sz="6" w:space="0" w:color="auto"/>
              <w:right w:val="nil"/>
            </w:tcBorders>
            <w:shd w:val="clear" w:color="auto" w:fill="auto"/>
            <w:noWrap/>
            <w:vAlign w:val="bottom"/>
            <w:hideMark/>
          </w:tcPr>
          <w:p w14:paraId="375C40E7" w14:textId="77777777" w:rsidR="00AA64E3" w:rsidRPr="00730B1E" w:rsidRDefault="00AA64E3" w:rsidP="00AA64E3">
            <w:pPr>
              <w:spacing w:line="240" w:lineRule="auto"/>
              <w:jc w:val="left"/>
              <w:rPr>
                <w:rFonts w:eastAsia="Times New Roman"/>
                <w:szCs w:val="24"/>
                <w:lang w:eastAsia="cs-CZ"/>
              </w:rPr>
            </w:pPr>
            <w:r w:rsidRPr="00730B1E">
              <w:rPr>
                <w:rFonts w:eastAsia="Times New Roman"/>
                <w:szCs w:val="24"/>
                <w:lang w:eastAsia="cs-CZ"/>
              </w:rPr>
              <w:t>KS Ostrava</w:t>
            </w:r>
          </w:p>
        </w:tc>
        <w:tc>
          <w:tcPr>
            <w:tcW w:w="886" w:type="dxa"/>
            <w:tcBorders>
              <w:top w:val="nil"/>
              <w:left w:val="nil"/>
              <w:bottom w:val="double" w:sz="6" w:space="0" w:color="auto"/>
              <w:right w:val="nil"/>
            </w:tcBorders>
            <w:shd w:val="clear" w:color="auto" w:fill="auto"/>
            <w:noWrap/>
            <w:vAlign w:val="bottom"/>
            <w:hideMark/>
          </w:tcPr>
          <w:p w14:paraId="6932A1E0"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4 064</w:t>
            </w:r>
          </w:p>
        </w:tc>
        <w:tc>
          <w:tcPr>
            <w:tcW w:w="962" w:type="dxa"/>
            <w:tcBorders>
              <w:top w:val="nil"/>
              <w:left w:val="nil"/>
              <w:bottom w:val="double" w:sz="6" w:space="0" w:color="auto"/>
              <w:right w:val="nil"/>
            </w:tcBorders>
            <w:shd w:val="clear" w:color="auto" w:fill="auto"/>
            <w:noWrap/>
            <w:vAlign w:val="center"/>
            <w:hideMark/>
          </w:tcPr>
          <w:p w14:paraId="567904E9"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992" w:type="dxa"/>
            <w:tcBorders>
              <w:top w:val="nil"/>
              <w:left w:val="single" w:sz="4" w:space="0" w:color="auto"/>
              <w:bottom w:val="double" w:sz="6" w:space="0" w:color="auto"/>
              <w:right w:val="nil"/>
            </w:tcBorders>
            <w:shd w:val="clear" w:color="auto" w:fill="auto"/>
            <w:noWrap/>
            <w:vAlign w:val="bottom"/>
            <w:hideMark/>
          </w:tcPr>
          <w:p w14:paraId="7BBE461E"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5 311</w:t>
            </w:r>
          </w:p>
        </w:tc>
        <w:tc>
          <w:tcPr>
            <w:tcW w:w="772" w:type="dxa"/>
            <w:tcBorders>
              <w:top w:val="nil"/>
              <w:left w:val="nil"/>
              <w:bottom w:val="double" w:sz="6" w:space="0" w:color="auto"/>
              <w:right w:val="single" w:sz="4" w:space="0" w:color="auto"/>
            </w:tcBorders>
            <w:shd w:val="clear" w:color="auto" w:fill="auto"/>
            <w:noWrap/>
            <w:vAlign w:val="center"/>
            <w:hideMark/>
          </w:tcPr>
          <w:p w14:paraId="4D94E72E"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1071" w:type="dxa"/>
            <w:tcBorders>
              <w:top w:val="nil"/>
              <w:left w:val="nil"/>
              <w:bottom w:val="double" w:sz="6" w:space="0" w:color="auto"/>
              <w:right w:val="nil"/>
            </w:tcBorders>
            <w:shd w:val="clear" w:color="auto" w:fill="auto"/>
            <w:noWrap/>
            <w:vAlign w:val="bottom"/>
            <w:hideMark/>
          </w:tcPr>
          <w:p w14:paraId="6475BA55"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377</w:t>
            </w:r>
          </w:p>
        </w:tc>
        <w:tc>
          <w:tcPr>
            <w:tcW w:w="851" w:type="dxa"/>
            <w:gridSpan w:val="2"/>
            <w:tcBorders>
              <w:top w:val="nil"/>
              <w:left w:val="nil"/>
              <w:bottom w:val="double" w:sz="6" w:space="0" w:color="auto"/>
              <w:right w:val="single" w:sz="4" w:space="0" w:color="auto"/>
            </w:tcBorders>
            <w:shd w:val="clear" w:color="auto" w:fill="auto"/>
            <w:noWrap/>
            <w:vAlign w:val="center"/>
            <w:hideMark/>
          </w:tcPr>
          <w:p w14:paraId="137A3AEE"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+42 %  </w:t>
            </w:r>
          </w:p>
        </w:tc>
        <w:tc>
          <w:tcPr>
            <w:tcW w:w="886" w:type="dxa"/>
            <w:tcBorders>
              <w:top w:val="nil"/>
              <w:left w:val="nil"/>
              <w:bottom w:val="double" w:sz="6" w:space="0" w:color="auto"/>
              <w:right w:val="nil"/>
            </w:tcBorders>
            <w:shd w:val="clear" w:color="auto" w:fill="auto"/>
            <w:noWrap/>
            <w:vAlign w:val="bottom"/>
            <w:hideMark/>
          </w:tcPr>
          <w:p w14:paraId="53336D17" w14:textId="77777777" w:rsidR="00AA64E3" w:rsidRPr="00730B1E" w:rsidRDefault="00AA64E3" w:rsidP="00AA64E3">
            <w:pPr>
              <w:spacing w:line="240" w:lineRule="auto"/>
              <w:jc w:val="center"/>
              <w:rPr>
                <w:rFonts w:eastAsia="Times New Roman"/>
                <w:szCs w:val="24"/>
                <w:lang w:eastAsia="cs-CZ"/>
              </w:rPr>
            </w:pPr>
            <w:r w:rsidRPr="00730B1E">
              <w:rPr>
                <w:rFonts w:eastAsia="Times New Roman"/>
                <w:szCs w:val="24"/>
                <w:lang w:eastAsia="cs-CZ"/>
              </w:rPr>
              <w:t>18 571</w:t>
            </w:r>
          </w:p>
        </w:tc>
        <w:tc>
          <w:tcPr>
            <w:tcW w:w="815" w:type="dxa"/>
            <w:gridSpan w:val="2"/>
            <w:tcBorders>
              <w:top w:val="nil"/>
              <w:left w:val="nil"/>
              <w:bottom w:val="double" w:sz="6" w:space="0" w:color="auto"/>
              <w:right w:val="nil"/>
            </w:tcBorders>
            <w:shd w:val="clear" w:color="auto" w:fill="auto"/>
            <w:noWrap/>
            <w:vAlign w:val="center"/>
            <w:hideMark/>
          </w:tcPr>
          <w:p w14:paraId="76ECE0C5" w14:textId="77777777" w:rsidR="00AA64E3" w:rsidRPr="00730B1E" w:rsidRDefault="00AA64E3" w:rsidP="00AA64E3">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14569E01" w14:textId="77777777" w:rsidTr="009714A7">
        <w:trPr>
          <w:trHeight w:val="345"/>
        </w:trPr>
        <w:tc>
          <w:tcPr>
            <w:tcW w:w="1980" w:type="dxa"/>
            <w:tcBorders>
              <w:top w:val="nil"/>
              <w:left w:val="nil"/>
              <w:bottom w:val="double" w:sz="6" w:space="0" w:color="auto"/>
              <w:right w:val="nil"/>
            </w:tcBorders>
            <w:shd w:val="clear" w:color="auto" w:fill="auto"/>
            <w:noWrap/>
            <w:vAlign w:val="bottom"/>
            <w:hideMark/>
          </w:tcPr>
          <w:p w14:paraId="2B1E03A9" w14:textId="77777777" w:rsidR="00AA64E3" w:rsidRPr="00730B1E" w:rsidRDefault="00AA64E3" w:rsidP="00AA64E3">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886" w:type="dxa"/>
            <w:tcBorders>
              <w:top w:val="nil"/>
              <w:left w:val="nil"/>
              <w:bottom w:val="double" w:sz="6" w:space="0" w:color="auto"/>
              <w:right w:val="nil"/>
            </w:tcBorders>
            <w:shd w:val="clear" w:color="auto" w:fill="auto"/>
            <w:noWrap/>
            <w:vAlign w:val="bottom"/>
            <w:hideMark/>
          </w:tcPr>
          <w:p w14:paraId="397F298F" w14:textId="77777777"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20 667</w:t>
            </w:r>
          </w:p>
        </w:tc>
        <w:tc>
          <w:tcPr>
            <w:tcW w:w="962" w:type="dxa"/>
            <w:tcBorders>
              <w:top w:val="nil"/>
              <w:left w:val="nil"/>
              <w:bottom w:val="double" w:sz="6" w:space="0" w:color="auto"/>
              <w:right w:val="nil"/>
            </w:tcBorders>
            <w:shd w:val="clear" w:color="auto" w:fill="auto"/>
            <w:noWrap/>
            <w:vAlign w:val="center"/>
            <w:hideMark/>
          </w:tcPr>
          <w:p w14:paraId="5E6A3182" w14:textId="77777777" w:rsidR="00AA64E3" w:rsidRPr="00730B1E" w:rsidRDefault="00AA64E3" w:rsidP="00AA64E3">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+1 %  </w:t>
            </w:r>
          </w:p>
        </w:tc>
        <w:tc>
          <w:tcPr>
            <w:tcW w:w="992" w:type="dxa"/>
            <w:tcBorders>
              <w:top w:val="nil"/>
              <w:left w:val="single" w:sz="4" w:space="0" w:color="auto"/>
              <w:bottom w:val="double" w:sz="6" w:space="0" w:color="auto"/>
              <w:right w:val="nil"/>
            </w:tcBorders>
            <w:shd w:val="clear" w:color="auto" w:fill="auto"/>
            <w:noWrap/>
            <w:vAlign w:val="bottom"/>
            <w:hideMark/>
          </w:tcPr>
          <w:p w14:paraId="2AFA2AE9" w14:textId="77777777"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28 722</w:t>
            </w:r>
          </w:p>
        </w:tc>
        <w:tc>
          <w:tcPr>
            <w:tcW w:w="772" w:type="dxa"/>
            <w:tcBorders>
              <w:top w:val="nil"/>
              <w:left w:val="nil"/>
              <w:bottom w:val="double" w:sz="6" w:space="0" w:color="auto"/>
              <w:right w:val="single" w:sz="4" w:space="0" w:color="auto"/>
            </w:tcBorders>
            <w:shd w:val="clear" w:color="auto" w:fill="auto"/>
            <w:noWrap/>
            <w:vAlign w:val="center"/>
            <w:hideMark/>
          </w:tcPr>
          <w:p w14:paraId="5A4CE896" w14:textId="77777777" w:rsidR="00AA64E3" w:rsidRPr="00730B1E" w:rsidRDefault="00AA64E3" w:rsidP="00AA64E3">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+15 %  </w:t>
            </w:r>
          </w:p>
        </w:tc>
        <w:tc>
          <w:tcPr>
            <w:tcW w:w="1071" w:type="dxa"/>
            <w:tcBorders>
              <w:top w:val="nil"/>
              <w:left w:val="nil"/>
              <w:bottom w:val="double" w:sz="6" w:space="0" w:color="auto"/>
              <w:right w:val="nil"/>
            </w:tcBorders>
            <w:shd w:val="clear" w:color="auto" w:fill="auto"/>
            <w:noWrap/>
            <w:vAlign w:val="bottom"/>
            <w:hideMark/>
          </w:tcPr>
          <w:p w14:paraId="5383A852" w14:textId="77777777"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1 649</w:t>
            </w:r>
          </w:p>
        </w:tc>
        <w:tc>
          <w:tcPr>
            <w:tcW w:w="851" w:type="dxa"/>
            <w:gridSpan w:val="2"/>
            <w:tcBorders>
              <w:top w:val="nil"/>
              <w:left w:val="nil"/>
              <w:bottom w:val="double" w:sz="6" w:space="0" w:color="auto"/>
              <w:right w:val="single" w:sz="4" w:space="0" w:color="auto"/>
            </w:tcBorders>
            <w:shd w:val="clear" w:color="auto" w:fill="auto"/>
            <w:noWrap/>
            <w:vAlign w:val="center"/>
            <w:hideMark/>
          </w:tcPr>
          <w:p w14:paraId="7CDD25DB" w14:textId="77777777" w:rsidR="00AA64E3" w:rsidRPr="00730B1E" w:rsidRDefault="00AA64E3" w:rsidP="00AA64E3">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+24 %  </w:t>
            </w:r>
          </w:p>
        </w:tc>
        <w:tc>
          <w:tcPr>
            <w:tcW w:w="886" w:type="dxa"/>
            <w:tcBorders>
              <w:top w:val="nil"/>
              <w:left w:val="nil"/>
              <w:bottom w:val="double" w:sz="6" w:space="0" w:color="auto"/>
              <w:right w:val="nil"/>
            </w:tcBorders>
            <w:shd w:val="clear" w:color="auto" w:fill="auto"/>
            <w:noWrap/>
            <w:vAlign w:val="bottom"/>
            <w:hideMark/>
          </w:tcPr>
          <w:p w14:paraId="4B023B1E" w14:textId="77777777" w:rsidR="00AA64E3" w:rsidRPr="00730B1E" w:rsidRDefault="00AA64E3" w:rsidP="00AA64E3">
            <w:pPr>
              <w:spacing w:line="240" w:lineRule="auto"/>
              <w:jc w:val="center"/>
              <w:rPr>
                <w:rFonts w:eastAsia="Times New Roman"/>
                <w:b/>
                <w:bCs/>
                <w:szCs w:val="24"/>
                <w:lang w:eastAsia="cs-CZ"/>
              </w:rPr>
            </w:pPr>
            <w:r w:rsidRPr="00730B1E">
              <w:rPr>
                <w:rFonts w:eastAsia="Times New Roman"/>
                <w:b/>
                <w:bCs/>
                <w:szCs w:val="24"/>
                <w:lang w:eastAsia="cs-CZ"/>
              </w:rPr>
              <w:t>93 046</w:t>
            </w:r>
          </w:p>
        </w:tc>
        <w:tc>
          <w:tcPr>
            <w:tcW w:w="815" w:type="dxa"/>
            <w:gridSpan w:val="2"/>
            <w:tcBorders>
              <w:top w:val="nil"/>
              <w:left w:val="nil"/>
              <w:bottom w:val="double" w:sz="6" w:space="0" w:color="auto"/>
              <w:right w:val="nil"/>
            </w:tcBorders>
            <w:shd w:val="clear" w:color="auto" w:fill="auto"/>
            <w:noWrap/>
            <w:vAlign w:val="center"/>
            <w:hideMark/>
          </w:tcPr>
          <w:p w14:paraId="2FA2D1C7" w14:textId="77777777" w:rsidR="00AA64E3" w:rsidRPr="00730B1E" w:rsidRDefault="00AA64E3" w:rsidP="00AA64E3">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-8 %  </w:t>
            </w:r>
          </w:p>
        </w:tc>
      </w:tr>
    </w:tbl>
    <w:p w14:paraId="44C7B9F0" w14:textId="0BBDD63C" w:rsidR="00AA64E3" w:rsidRPr="00730B1E" w:rsidRDefault="00AA64E3" w:rsidP="00AA64E3">
      <w:pPr>
        <w:pStyle w:val="OdstavecASR"/>
      </w:pPr>
      <w:bookmarkStart w:id="1225" w:name="_Toc515871275"/>
      <w:bookmarkStart w:id="1226" w:name="_Toc106092782"/>
      <w:r w:rsidRPr="00730B1E">
        <w:lastRenderedPageBreak/>
        <w:t>V</w:t>
      </w:r>
      <w:r w:rsidR="00602BF6" w:rsidRPr="00730B1E">
        <w:t xml:space="preserve"> </w:t>
      </w:r>
      <w:r w:rsidR="00C53058" w:rsidRPr="00730B1E">
        <w:t xml:space="preserve">prvních letech po zavedení nové úpravy insolvencí </w:t>
      </w:r>
      <w:r w:rsidRPr="00730B1E">
        <w:t>počet napadlých věcí logicky stoupal, protože se jednalo o novou agendu. V roce 2013 pak</w:t>
      </w:r>
      <w:r w:rsidR="0078362E" w:rsidRPr="00730B1E">
        <w:t xml:space="preserve"> </w:t>
      </w:r>
      <w:r w:rsidRPr="00730B1E">
        <w:t xml:space="preserve">došlo </w:t>
      </w:r>
      <w:r w:rsidR="0078362E" w:rsidRPr="00730B1E">
        <w:t xml:space="preserve">v nápadu </w:t>
      </w:r>
      <w:r w:rsidRPr="00730B1E">
        <w:t xml:space="preserve">ke změně trendu, což můžeme připsat změnám v ekonomické situaci v ČR, zejména ovšem tomu, že „zásoba“ osob, které se před rokem 2008 dostaly do úpadkové situace a byly schopny ji řešit oddlužením, se vyčerpala, a nově tedy již jde jen o navrhovatele, kteří k rozhodnutí o podání insolvenčního návrhu dospěli až v daném roce. Časová řada počtu nevyřízených věcí před rozhodnutím o úpadku </w:t>
      </w:r>
      <w:r w:rsidR="005A50A4" w:rsidRPr="00730B1E">
        <w:t>měla</w:t>
      </w:r>
      <w:r w:rsidRPr="00730B1E">
        <w:t xml:space="preserve"> podobný průběh se zpožděním, což je vzhledem k rychlosti vyřizování insolvenčních návrhů logické. Počet vyřízených věcí rostl v letech 2016 až 2019, protože celé insolvenční řízení trvá několik let. Ve vyřízených věcech se tedy odrážel rostoucí nápad z let 2010 až 2013. Počet nevyřízených věcí po rozhodnutí o úpadku z podobných důvodů rostl až do roku 2016. Druhá fáze insolvenčního řízení totiž trvá relativně dlouho a nevyřízené věci po rozhodnutí o úpadku se tak postupně kumulovaly, což je efekt, který trval asi pět let. V roce 2017 se proto počet nevyřízených věcí po úpadku stabilizoval</w:t>
      </w:r>
      <w:r w:rsidR="00C53058" w:rsidRPr="00730B1E">
        <w:t xml:space="preserve">, když </w:t>
      </w:r>
      <w:r w:rsidRPr="00730B1E">
        <w:t>„vyprchal“ efekt rostoucího nápadu do roku 2013. V roce 2018 pak počet nevyřízených věcí začal klesat, a to u všech soudů s výjimkou MS Praha. Novela účinná od 1. 7. 2017 mimo jiné zpřísnila podmínky pro podání insolvenčního návrhu u fyzických osob. Měsíční data za rok 2017 a 2018 ukázala, že to vedlo k velkému růstu nápadu před účinností novely, tedy v červnu 2017. Poté došlo k prudkému poklesu v nápadu. V součtu se tento efekt později projevil dalším snížením v počtu nevyřízených věcí po rozhodnutí o úpadku. V následujících měsících nápad opět postupně rostl a přibližoval se tak hodnotám před červnem 2017. Měsíční nápad ale stále byl v průměru nižší, než před novelou. Další novela insolvenční zákona je účinná od 1. 6. 2019, jak bylo uvedeno výše. Po účinnosti této novely došlo k velmi prudkému nárůstu v počtu napadlých věcí, a to především v prvních měsících. To se pak samozřejmě projevilo i v počtu nevyřízených věcí.</w:t>
      </w:r>
    </w:p>
    <w:p w14:paraId="0E8DCD63" w14:textId="0DFDB7A9" w:rsidR="005A50A4" w:rsidRPr="00730B1E" w:rsidRDefault="005A50A4" w:rsidP="005A50A4">
      <w:pPr>
        <w:pStyle w:val="OdstavecASR"/>
      </w:pPr>
      <w:r w:rsidRPr="00730B1E">
        <w:t>V letech 2020 a 2021 došlo k poklesu v nápadu o 13 %, respektive 12 %. Nápad klesl u všech soudů. Byť je u insolvenční agendy obtížné jednoznačně určit zdroj poklesu s ohledem na legislativní změny z posledních let, lze předpokládat, že citelný dopad měla pandemie COVID</w:t>
      </w:r>
      <w:r w:rsidRPr="00730B1E">
        <w:noBreakHyphen/>
        <w:t xml:space="preserve">19 a zejména pak „lex covid justice“, který mimo jiné upravoval ochranný institut mimořádného moratoria a pozastavoval povinnost dlužníka podat na sebe insolvenční návrh. V roce 2022 pokles pokračoval </w:t>
      </w:r>
      <w:r w:rsidR="00C53058" w:rsidRPr="00730B1E">
        <w:t>– průměrně</w:t>
      </w:r>
      <w:r w:rsidRPr="00730B1E">
        <w:t xml:space="preserve"> </w:t>
      </w:r>
      <w:r w:rsidR="00C53058" w:rsidRPr="00730B1E">
        <w:t xml:space="preserve">dosáhl </w:t>
      </w:r>
      <w:r w:rsidRPr="00730B1E">
        <w:t>13 %</w:t>
      </w:r>
      <w:r w:rsidR="00C53058" w:rsidRPr="00730B1E">
        <w:t xml:space="preserve">, u jednotlivých soudů pak </w:t>
      </w:r>
      <w:r w:rsidRPr="00730B1E">
        <w:t>v rozmezí od 11 do 16 %. V roce 2023 se pokles zastavil a nápad zůstal víceméně stejný. Prudce ale narostl počet vyřízených věcí, což zřejmě souvis</w:t>
      </w:r>
      <w:r w:rsidR="00C53058" w:rsidRPr="00730B1E">
        <w:t>í</w:t>
      </w:r>
      <w:r w:rsidRPr="00730B1E">
        <w:t xml:space="preserve"> s</w:t>
      </w:r>
      <w:r w:rsidR="00BF0598" w:rsidRPr="00730B1E">
        <w:t> dopady ná</w:t>
      </w:r>
      <w:r w:rsidRPr="00730B1E">
        <w:t>růst</w:t>
      </w:r>
      <w:r w:rsidR="00BF0598" w:rsidRPr="00730B1E">
        <w:t>u</w:t>
      </w:r>
      <w:r w:rsidRPr="00730B1E">
        <w:t xml:space="preserve"> nápadu v roce 2019. </w:t>
      </w:r>
      <w:r w:rsidR="00BF0598" w:rsidRPr="00730B1E">
        <w:t xml:space="preserve">Tomuto závěru nasvědčuje i skutečnost, že </w:t>
      </w:r>
      <w:r w:rsidRPr="00730B1E">
        <w:t xml:space="preserve">došlo k citelnému poklesu </w:t>
      </w:r>
      <w:r w:rsidR="00BF0598" w:rsidRPr="00730B1E">
        <w:t xml:space="preserve">počtu </w:t>
      </w:r>
      <w:r w:rsidRPr="00730B1E">
        <w:t>nevyřízených věcí po rozhodnutí o úpadku.</w:t>
      </w:r>
    </w:p>
    <w:p w14:paraId="0381D8DB" w14:textId="578FF164" w:rsidR="008430BD" w:rsidRPr="00730B1E" w:rsidRDefault="008430BD" w:rsidP="008430BD">
      <w:pPr>
        <w:pStyle w:val="Nadpis3"/>
        <w:numPr>
          <w:ilvl w:val="2"/>
          <w:numId w:val="1"/>
        </w:numPr>
        <w:rPr>
          <w:color w:val="auto"/>
        </w:rPr>
      </w:pPr>
      <w:bookmarkStart w:id="1227" w:name="_Toc169250858"/>
      <w:bookmarkStart w:id="1228" w:name="_Toc174080894"/>
      <w:r w:rsidRPr="00730B1E">
        <w:rPr>
          <w:color w:val="auto"/>
        </w:rPr>
        <w:t>Vyřizování věcí v přepočtu na soudce</w:t>
      </w:r>
      <w:bookmarkEnd w:id="1225"/>
      <w:bookmarkEnd w:id="1226"/>
      <w:bookmarkEnd w:id="1227"/>
      <w:bookmarkEnd w:id="1228"/>
    </w:p>
    <w:p w14:paraId="0A507C8E" w14:textId="77777777" w:rsidR="005A50A4" w:rsidRPr="00730B1E" w:rsidRDefault="005A50A4" w:rsidP="005A50A4">
      <w:pPr>
        <w:pStyle w:val="OdstavecASR"/>
      </w:pPr>
      <w:r w:rsidRPr="00730B1E">
        <w:t>Stejně jako u ostatních agend má Ministerstvo spravedlnosti od roku 2019 k dispozici detailnější statistická data o počtu soudců na insolvenčních úsecích soudů.</w:t>
      </w:r>
    </w:p>
    <w:p w14:paraId="1B6FF288" w14:textId="60F0722D" w:rsidR="005A50A4" w:rsidRPr="00730B1E" w:rsidRDefault="005A50A4" w:rsidP="005A50A4">
      <w:pPr>
        <w:pStyle w:val="OdstavecASR"/>
      </w:pPr>
      <w:r w:rsidRPr="00730B1E">
        <w:t>Přepočteme-li na soudce počet příchozích věcí a počet vyřízených věcí</w:t>
      </w:r>
      <w:r w:rsidR="00BF0598" w:rsidRPr="00730B1E">
        <w:t>,</w:t>
      </w:r>
      <w:r w:rsidRPr="00730B1E">
        <w:t xml:space="preserve"> výrazně nižší hodnoty než ostatní soudy vykazuje MS Praha. Je to dáno tím, že tento soud má na insolvenčním úseku relativně více soudců, protože jeho insolvenční agenda je výrazně složitější než u ostatních soudů. Je za to zodpovědný především vyšší podíl úpadků řešených konkursem. </w:t>
      </w:r>
    </w:p>
    <w:p w14:paraId="140E794F" w14:textId="3355F3C1" w:rsidR="005A50A4" w:rsidRPr="00730B1E" w:rsidRDefault="005A50A4">
      <w:pPr>
        <w:spacing w:after="160" w:line="259" w:lineRule="auto"/>
        <w:jc w:val="left"/>
      </w:pPr>
      <w:r w:rsidRPr="00730B1E">
        <w:br w:type="page"/>
      </w:r>
    </w:p>
    <w:p w14:paraId="0AB1ECBD" w14:textId="7468E5FF" w:rsidR="005A50A4" w:rsidRPr="00730B1E" w:rsidRDefault="005A50A4" w:rsidP="005A50A4">
      <w:pPr>
        <w:pStyle w:val="Podnadpis"/>
        <w:rPr>
          <w:color w:val="auto"/>
        </w:rPr>
      </w:pPr>
      <w:bookmarkStart w:id="1229" w:name="_Toc144104313"/>
      <w:bookmarkStart w:id="1230" w:name="_Toc169251127"/>
      <w:bookmarkStart w:id="1231" w:name="_Toc174080813"/>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70</w:t>
      </w:r>
      <w:r w:rsidRPr="00730B1E">
        <w:rPr>
          <w:noProof/>
          <w:color w:val="auto"/>
        </w:rPr>
        <w:fldChar w:fldCharType="end"/>
      </w:r>
      <w:r w:rsidRPr="00730B1E">
        <w:rPr>
          <w:color w:val="auto"/>
        </w:rPr>
        <w:t>: KS – vyřizování ins</w:t>
      </w:r>
      <w:r w:rsidR="00606356" w:rsidRPr="00730B1E">
        <w:rPr>
          <w:color w:val="auto"/>
        </w:rPr>
        <w:t>.</w:t>
      </w:r>
      <w:r w:rsidRPr="00730B1E">
        <w:rPr>
          <w:color w:val="auto"/>
        </w:rPr>
        <w:t xml:space="preserve"> věcí na skutečný úvazek dle soudů</w:t>
      </w:r>
      <w:bookmarkEnd w:id="1229"/>
      <w:r w:rsidR="00606356" w:rsidRPr="00730B1E">
        <w:rPr>
          <w:color w:val="auto"/>
        </w:rPr>
        <w:t>, 2023</w:t>
      </w:r>
      <w:bookmarkEnd w:id="1230"/>
      <w:bookmarkEnd w:id="1231"/>
    </w:p>
    <w:tbl>
      <w:tblPr>
        <w:tblW w:w="9144" w:type="dxa"/>
        <w:tblCellMar>
          <w:left w:w="70" w:type="dxa"/>
          <w:right w:w="70" w:type="dxa"/>
        </w:tblCellMar>
        <w:tblLook w:val="04A0" w:firstRow="1" w:lastRow="0" w:firstColumn="1" w:lastColumn="0" w:noHBand="0" w:noVBand="1"/>
      </w:tblPr>
      <w:tblGrid>
        <w:gridCol w:w="2060"/>
        <w:gridCol w:w="1020"/>
        <w:gridCol w:w="1031"/>
        <w:gridCol w:w="1134"/>
        <w:gridCol w:w="992"/>
        <w:gridCol w:w="993"/>
        <w:gridCol w:w="992"/>
        <w:gridCol w:w="915"/>
        <w:gridCol w:w="7"/>
      </w:tblGrid>
      <w:tr w:rsidR="00B64E96" w:rsidRPr="00730B1E" w14:paraId="734E676B" w14:textId="77777777" w:rsidTr="00602BF6">
        <w:trPr>
          <w:gridAfter w:val="1"/>
          <w:wAfter w:w="7" w:type="dxa"/>
          <w:trHeight w:val="330"/>
        </w:trPr>
        <w:tc>
          <w:tcPr>
            <w:tcW w:w="2060" w:type="dxa"/>
            <w:vMerge w:val="restart"/>
            <w:tcBorders>
              <w:top w:val="double" w:sz="6" w:space="0" w:color="auto"/>
              <w:left w:val="nil"/>
              <w:bottom w:val="double" w:sz="6" w:space="0" w:color="000000"/>
              <w:right w:val="nil"/>
            </w:tcBorders>
            <w:shd w:val="clear" w:color="auto" w:fill="auto"/>
            <w:noWrap/>
            <w:vAlign w:val="center"/>
            <w:hideMark/>
          </w:tcPr>
          <w:p w14:paraId="754CA27F" w14:textId="032ABC3E" w:rsidR="00FF31A6" w:rsidRPr="00730B1E" w:rsidRDefault="001E2458" w:rsidP="00602BF6">
            <w:pPr>
              <w:spacing w:line="240" w:lineRule="auto"/>
              <w:jc w:val="center"/>
              <w:rPr>
                <w:rFonts w:eastAsia="Times New Roman"/>
                <w:b/>
                <w:bCs/>
                <w:szCs w:val="24"/>
                <w:lang w:eastAsia="cs-CZ"/>
              </w:rPr>
            </w:pPr>
            <w:r w:rsidRPr="00730B1E">
              <w:rPr>
                <w:rFonts w:eastAsia="Times New Roman"/>
                <w:b/>
                <w:bCs/>
                <w:szCs w:val="24"/>
                <w:lang w:eastAsia="cs-CZ"/>
              </w:rPr>
              <w:t>S</w:t>
            </w:r>
            <w:r w:rsidR="00FF31A6" w:rsidRPr="00730B1E">
              <w:rPr>
                <w:rFonts w:eastAsia="Times New Roman"/>
                <w:b/>
                <w:bCs/>
                <w:szCs w:val="24"/>
                <w:lang w:eastAsia="cs-CZ"/>
              </w:rPr>
              <w:t>oud</w:t>
            </w:r>
          </w:p>
        </w:tc>
        <w:tc>
          <w:tcPr>
            <w:tcW w:w="1020" w:type="dxa"/>
            <w:vMerge w:val="restart"/>
            <w:tcBorders>
              <w:top w:val="double" w:sz="6" w:space="0" w:color="auto"/>
              <w:left w:val="nil"/>
              <w:bottom w:val="double" w:sz="6" w:space="0" w:color="000000"/>
              <w:right w:val="nil"/>
            </w:tcBorders>
            <w:shd w:val="clear" w:color="auto" w:fill="auto"/>
            <w:vAlign w:val="center"/>
            <w:hideMark/>
          </w:tcPr>
          <w:p w14:paraId="1802D0F5" w14:textId="77777777"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6057" w:type="dxa"/>
            <w:gridSpan w:val="6"/>
            <w:tcBorders>
              <w:top w:val="double" w:sz="6" w:space="0" w:color="auto"/>
              <w:left w:val="nil"/>
              <w:bottom w:val="nil"/>
              <w:right w:val="nil"/>
            </w:tcBorders>
            <w:shd w:val="clear" w:color="auto" w:fill="auto"/>
            <w:noWrap/>
            <w:vAlign w:val="center"/>
            <w:hideMark/>
          </w:tcPr>
          <w:p w14:paraId="3F17135B" w14:textId="77777777"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Počet věcí na soudce</w:t>
            </w:r>
          </w:p>
        </w:tc>
      </w:tr>
      <w:tr w:rsidR="00B64E96" w:rsidRPr="00730B1E" w14:paraId="6D93C87B" w14:textId="77777777" w:rsidTr="00602BF6">
        <w:trPr>
          <w:gridAfter w:val="1"/>
          <w:wAfter w:w="7" w:type="dxa"/>
          <w:trHeight w:val="960"/>
        </w:trPr>
        <w:tc>
          <w:tcPr>
            <w:tcW w:w="2060" w:type="dxa"/>
            <w:vMerge/>
            <w:tcBorders>
              <w:top w:val="double" w:sz="6" w:space="0" w:color="auto"/>
              <w:left w:val="nil"/>
              <w:bottom w:val="double" w:sz="6" w:space="0" w:color="000000"/>
              <w:right w:val="nil"/>
            </w:tcBorders>
            <w:vAlign w:val="center"/>
            <w:hideMark/>
          </w:tcPr>
          <w:p w14:paraId="21E25A26" w14:textId="77777777" w:rsidR="00FF31A6" w:rsidRPr="00730B1E" w:rsidRDefault="00FF31A6" w:rsidP="00FF31A6">
            <w:pPr>
              <w:spacing w:line="240" w:lineRule="auto"/>
              <w:jc w:val="left"/>
              <w:rPr>
                <w:rFonts w:eastAsia="Times New Roman"/>
                <w:b/>
                <w:bCs/>
                <w:szCs w:val="24"/>
                <w:lang w:eastAsia="cs-CZ"/>
              </w:rPr>
            </w:pPr>
          </w:p>
        </w:tc>
        <w:tc>
          <w:tcPr>
            <w:tcW w:w="1020" w:type="dxa"/>
            <w:vMerge/>
            <w:tcBorders>
              <w:top w:val="double" w:sz="6" w:space="0" w:color="auto"/>
              <w:left w:val="nil"/>
              <w:bottom w:val="double" w:sz="6" w:space="0" w:color="000000"/>
              <w:right w:val="nil"/>
            </w:tcBorders>
            <w:vAlign w:val="center"/>
            <w:hideMark/>
          </w:tcPr>
          <w:p w14:paraId="03A93B66" w14:textId="77777777" w:rsidR="00FF31A6" w:rsidRPr="00730B1E" w:rsidRDefault="00FF31A6" w:rsidP="00FF31A6">
            <w:pPr>
              <w:spacing w:line="240" w:lineRule="auto"/>
              <w:jc w:val="left"/>
              <w:rPr>
                <w:rFonts w:eastAsia="Times New Roman"/>
                <w:b/>
                <w:bCs/>
                <w:szCs w:val="24"/>
                <w:lang w:eastAsia="cs-CZ"/>
              </w:rPr>
            </w:pPr>
          </w:p>
        </w:tc>
        <w:tc>
          <w:tcPr>
            <w:tcW w:w="2165" w:type="dxa"/>
            <w:gridSpan w:val="2"/>
            <w:tcBorders>
              <w:top w:val="nil"/>
              <w:left w:val="nil"/>
              <w:bottom w:val="double" w:sz="6" w:space="0" w:color="auto"/>
              <w:right w:val="nil"/>
            </w:tcBorders>
            <w:shd w:val="clear" w:color="auto" w:fill="auto"/>
            <w:noWrap/>
            <w:vAlign w:val="center"/>
            <w:hideMark/>
          </w:tcPr>
          <w:p w14:paraId="0E58787F" w14:textId="7C1CDE8B"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98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3135BB4" w14:textId="77777777"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907" w:type="dxa"/>
            <w:gridSpan w:val="2"/>
            <w:tcBorders>
              <w:top w:val="nil"/>
              <w:left w:val="nil"/>
              <w:bottom w:val="double" w:sz="6" w:space="0" w:color="auto"/>
              <w:right w:val="nil"/>
            </w:tcBorders>
            <w:shd w:val="clear" w:color="auto" w:fill="auto"/>
            <w:vAlign w:val="center"/>
            <w:hideMark/>
          </w:tcPr>
          <w:p w14:paraId="48B1F1BD" w14:textId="77777777"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Nevyřízeno před rozh. o úpadku</w:t>
            </w:r>
          </w:p>
        </w:tc>
      </w:tr>
      <w:tr w:rsidR="00B64E96" w:rsidRPr="00730B1E" w14:paraId="1D669137" w14:textId="77777777" w:rsidTr="00602BF6">
        <w:trPr>
          <w:trHeight w:val="330"/>
        </w:trPr>
        <w:tc>
          <w:tcPr>
            <w:tcW w:w="2060" w:type="dxa"/>
            <w:tcBorders>
              <w:top w:val="single" w:sz="4" w:space="0" w:color="auto"/>
              <w:left w:val="nil"/>
              <w:bottom w:val="single" w:sz="4" w:space="0" w:color="auto"/>
              <w:right w:val="nil"/>
            </w:tcBorders>
            <w:shd w:val="clear" w:color="auto" w:fill="auto"/>
            <w:noWrap/>
            <w:vAlign w:val="bottom"/>
            <w:hideMark/>
          </w:tcPr>
          <w:p w14:paraId="597F1B4E" w14:textId="77777777" w:rsidR="00FF31A6" w:rsidRPr="00730B1E" w:rsidRDefault="00FF31A6" w:rsidP="00FF31A6">
            <w:pPr>
              <w:spacing w:line="240" w:lineRule="auto"/>
              <w:jc w:val="left"/>
              <w:rPr>
                <w:rFonts w:eastAsia="Times New Roman"/>
                <w:szCs w:val="24"/>
                <w:lang w:eastAsia="cs-CZ"/>
              </w:rPr>
            </w:pPr>
            <w:r w:rsidRPr="00730B1E">
              <w:rPr>
                <w:rFonts w:eastAsia="Times New Roman"/>
                <w:szCs w:val="24"/>
                <w:lang w:eastAsia="cs-CZ"/>
              </w:rPr>
              <w:t>MS Praha</w:t>
            </w:r>
          </w:p>
        </w:tc>
        <w:tc>
          <w:tcPr>
            <w:tcW w:w="1020" w:type="dxa"/>
            <w:tcBorders>
              <w:top w:val="single" w:sz="4" w:space="0" w:color="auto"/>
              <w:left w:val="nil"/>
              <w:bottom w:val="single" w:sz="4" w:space="0" w:color="auto"/>
              <w:right w:val="nil"/>
            </w:tcBorders>
            <w:shd w:val="clear" w:color="auto" w:fill="auto"/>
            <w:vAlign w:val="bottom"/>
            <w:hideMark/>
          </w:tcPr>
          <w:p w14:paraId="7C476CA7" w14:textId="2C4451B5"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17,3</w:t>
            </w:r>
          </w:p>
        </w:tc>
        <w:tc>
          <w:tcPr>
            <w:tcW w:w="1031" w:type="dxa"/>
            <w:tcBorders>
              <w:top w:val="single" w:sz="4" w:space="0" w:color="auto"/>
              <w:left w:val="nil"/>
              <w:bottom w:val="single" w:sz="4" w:space="0" w:color="auto"/>
              <w:right w:val="nil"/>
            </w:tcBorders>
            <w:shd w:val="clear" w:color="auto" w:fill="auto"/>
            <w:noWrap/>
            <w:vAlign w:val="bottom"/>
            <w:hideMark/>
          </w:tcPr>
          <w:p w14:paraId="5B204365" w14:textId="0501CA12"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131,50</w:t>
            </w:r>
          </w:p>
        </w:tc>
        <w:tc>
          <w:tcPr>
            <w:tcW w:w="1134" w:type="dxa"/>
            <w:tcBorders>
              <w:top w:val="single" w:sz="4" w:space="0" w:color="auto"/>
              <w:left w:val="nil"/>
              <w:bottom w:val="single" w:sz="4" w:space="0" w:color="auto"/>
              <w:right w:val="nil"/>
            </w:tcBorders>
            <w:shd w:val="clear" w:color="auto" w:fill="auto"/>
            <w:noWrap/>
            <w:vAlign w:val="center"/>
            <w:hideMark/>
          </w:tcPr>
          <w:p w14:paraId="7FC655ED"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992" w:type="dxa"/>
            <w:tcBorders>
              <w:top w:val="nil"/>
              <w:left w:val="single" w:sz="4" w:space="0" w:color="auto"/>
              <w:bottom w:val="single" w:sz="4" w:space="0" w:color="auto"/>
              <w:right w:val="nil"/>
            </w:tcBorders>
            <w:shd w:val="clear" w:color="auto" w:fill="auto"/>
            <w:noWrap/>
            <w:vAlign w:val="bottom"/>
            <w:hideMark/>
          </w:tcPr>
          <w:p w14:paraId="76DB55F0" w14:textId="3083C56B"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153,24</w:t>
            </w:r>
          </w:p>
        </w:tc>
        <w:tc>
          <w:tcPr>
            <w:tcW w:w="993" w:type="dxa"/>
            <w:tcBorders>
              <w:top w:val="nil"/>
              <w:left w:val="nil"/>
              <w:bottom w:val="single" w:sz="4" w:space="0" w:color="auto"/>
              <w:right w:val="single" w:sz="4" w:space="0" w:color="auto"/>
            </w:tcBorders>
            <w:shd w:val="clear" w:color="auto" w:fill="auto"/>
            <w:noWrap/>
            <w:vAlign w:val="center"/>
            <w:hideMark/>
          </w:tcPr>
          <w:p w14:paraId="577CC74E"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992" w:type="dxa"/>
            <w:tcBorders>
              <w:top w:val="single" w:sz="4" w:space="0" w:color="auto"/>
              <w:left w:val="nil"/>
              <w:bottom w:val="single" w:sz="4" w:space="0" w:color="auto"/>
              <w:right w:val="nil"/>
            </w:tcBorders>
            <w:shd w:val="clear" w:color="auto" w:fill="auto"/>
            <w:noWrap/>
            <w:vAlign w:val="bottom"/>
            <w:hideMark/>
          </w:tcPr>
          <w:p w14:paraId="68F6E38F" w14:textId="16CE792D"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16,30</w:t>
            </w:r>
          </w:p>
        </w:tc>
        <w:tc>
          <w:tcPr>
            <w:tcW w:w="922" w:type="dxa"/>
            <w:gridSpan w:val="2"/>
            <w:tcBorders>
              <w:top w:val="single" w:sz="4" w:space="0" w:color="auto"/>
              <w:left w:val="nil"/>
              <w:bottom w:val="single" w:sz="4" w:space="0" w:color="auto"/>
              <w:right w:val="nil"/>
            </w:tcBorders>
            <w:shd w:val="clear" w:color="auto" w:fill="auto"/>
            <w:noWrap/>
            <w:vAlign w:val="center"/>
            <w:hideMark/>
          </w:tcPr>
          <w:p w14:paraId="6284D830"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2FC0630C" w14:textId="77777777" w:rsidTr="00602BF6">
        <w:trPr>
          <w:trHeight w:val="315"/>
        </w:trPr>
        <w:tc>
          <w:tcPr>
            <w:tcW w:w="2060" w:type="dxa"/>
            <w:tcBorders>
              <w:top w:val="nil"/>
              <w:left w:val="nil"/>
              <w:bottom w:val="single" w:sz="4" w:space="0" w:color="auto"/>
              <w:right w:val="nil"/>
            </w:tcBorders>
            <w:shd w:val="clear" w:color="auto" w:fill="auto"/>
            <w:noWrap/>
            <w:vAlign w:val="bottom"/>
            <w:hideMark/>
          </w:tcPr>
          <w:p w14:paraId="02DDB46A" w14:textId="77777777" w:rsidR="00FF31A6" w:rsidRPr="00730B1E" w:rsidRDefault="00FF31A6" w:rsidP="00FF31A6">
            <w:pPr>
              <w:spacing w:line="240" w:lineRule="auto"/>
              <w:jc w:val="left"/>
              <w:rPr>
                <w:rFonts w:eastAsia="Times New Roman"/>
                <w:szCs w:val="24"/>
                <w:lang w:eastAsia="cs-CZ"/>
              </w:rPr>
            </w:pPr>
            <w:r w:rsidRPr="00730B1E">
              <w:rPr>
                <w:rFonts w:eastAsia="Times New Roman"/>
                <w:szCs w:val="24"/>
                <w:lang w:eastAsia="cs-CZ"/>
              </w:rPr>
              <w:t>KS Praha</w:t>
            </w:r>
          </w:p>
        </w:tc>
        <w:tc>
          <w:tcPr>
            <w:tcW w:w="1020" w:type="dxa"/>
            <w:tcBorders>
              <w:top w:val="nil"/>
              <w:left w:val="nil"/>
              <w:bottom w:val="single" w:sz="4" w:space="0" w:color="auto"/>
              <w:right w:val="nil"/>
            </w:tcBorders>
            <w:shd w:val="clear" w:color="auto" w:fill="auto"/>
            <w:vAlign w:val="bottom"/>
            <w:hideMark/>
          </w:tcPr>
          <w:p w14:paraId="0E5EFA49" w14:textId="71E4C4CA"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11,3</w:t>
            </w:r>
          </w:p>
        </w:tc>
        <w:tc>
          <w:tcPr>
            <w:tcW w:w="1031" w:type="dxa"/>
            <w:tcBorders>
              <w:top w:val="nil"/>
              <w:left w:val="nil"/>
              <w:bottom w:val="single" w:sz="4" w:space="0" w:color="auto"/>
              <w:right w:val="nil"/>
            </w:tcBorders>
            <w:shd w:val="clear" w:color="auto" w:fill="auto"/>
            <w:noWrap/>
            <w:vAlign w:val="bottom"/>
            <w:hideMark/>
          </w:tcPr>
          <w:p w14:paraId="6CB489B4" w14:textId="6FBC6BA8"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222,30</w:t>
            </w:r>
          </w:p>
        </w:tc>
        <w:tc>
          <w:tcPr>
            <w:tcW w:w="1134" w:type="dxa"/>
            <w:tcBorders>
              <w:top w:val="nil"/>
              <w:left w:val="nil"/>
              <w:bottom w:val="single" w:sz="4" w:space="0" w:color="auto"/>
              <w:right w:val="nil"/>
            </w:tcBorders>
            <w:shd w:val="clear" w:color="auto" w:fill="auto"/>
            <w:noWrap/>
            <w:vAlign w:val="center"/>
            <w:hideMark/>
          </w:tcPr>
          <w:p w14:paraId="65139E4C"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+32 %  </w:t>
            </w:r>
          </w:p>
        </w:tc>
        <w:tc>
          <w:tcPr>
            <w:tcW w:w="992" w:type="dxa"/>
            <w:tcBorders>
              <w:top w:val="nil"/>
              <w:left w:val="single" w:sz="4" w:space="0" w:color="auto"/>
              <w:bottom w:val="single" w:sz="4" w:space="0" w:color="auto"/>
              <w:right w:val="nil"/>
            </w:tcBorders>
            <w:shd w:val="clear" w:color="auto" w:fill="auto"/>
            <w:noWrap/>
            <w:vAlign w:val="bottom"/>
            <w:hideMark/>
          </w:tcPr>
          <w:p w14:paraId="3CACB6A1" w14:textId="4A2752DC"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311,15</w:t>
            </w:r>
          </w:p>
        </w:tc>
        <w:tc>
          <w:tcPr>
            <w:tcW w:w="993" w:type="dxa"/>
            <w:tcBorders>
              <w:top w:val="nil"/>
              <w:left w:val="nil"/>
              <w:bottom w:val="single" w:sz="4" w:space="0" w:color="auto"/>
              <w:right w:val="single" w:sz="4" w:space="0" w:color="auto"/>
            </w:tcBorders>
            <w:shd w:val="clear" w:color="auto" w:fill="auto"/>
            <w:noWrap/>
            <w:vAlign w:val="center"/>
            <w:hideMark/>
          </w:tcPr>
          <w:p w14:paraId="48E72357"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992" w:type="dxa"/>
            <w:tcBorders>
              <w:top w:val="nil"/>
              <w:left w:val="nil"/>
              <w:bottom w:val="single" w:sz="4" w:space="0" w:color="auto"/>
              <w:right w:val="nil"/>
            </w:tcBorders>
            <w:shd w:val="clear" w:color="auto" w:fill="auto"/>
            <w:noWrap/>
            <w:vAlign w:val="bottom"/>
            <w:hideMark/>
          </w:tcPr>
          <w:p w14:paraId="6643AD2D" w14:textId="353E8506"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10,80</w:t>
            </w:r>
          </w:p>
        </w:tc>
        <w:tc>
          <w:tcPr>
            <w:tcW w:w="922" w:type="dxa"/>
            <w:gridSpan w:val="2"/>
            <w:tcBorders>
              <w:top w:val="nil"/>
              <w:left w:val="nil"/>
              <w:bottom w:val="single" w:sz="4" w:space="0" w:color="auto"/>
              <w:right w:val="nil"/>
            </w:tcBorders>
            <w:shd w:val="clear" w:color="auto" w:fill="auto"/>
            <w:noWrap/>
            <w:vAlign w:val="center"/>
            <w:hideMark/>
          </w:tcPr>
          <w:p w14:paraId="4D5778C1"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r>
      <w:tr w:rsidR="00B64E96" w:rsidRPr="00730B1E" w14:paraId="08705D68" w14:textId="77777777" w:rsidTr="00602BF6">
        <w:trPr>
          <w:trHeight w:val="315"/>
        </w:trPr>
        <w:tc>
          <w:tcPr>
            <w:tcW w:w="2060" w:type="dxa"/>
            <w:tcBorders>
              <w:top w:val="nil"/>
              <w:left w:val="nil"/>
              <w:bottom w:val="single" w:sz="4" w:space="0" w:color="auto"/>
              <w:right w:val="nil"/>
            </w:tcBorders>
            <w:shd w:val="clear" w:color="auto" w:fill="auto"/>
            <w:noWrap/>
            <w:vAlign w:val="bottom"/>
            <w:hideMark/>
          </w:tcPr>
          <w:p w14:paraId="02A4A286" w14:textId="77777777" w:rsidR="00FF31A6" w:rsidRPr="00730B1E" w:rsidRDefault="00FF31A6" w:rsidP="00FF31A6">
            <w:pPr>
              <w:spacing w:line="240" w:lineRule="auto"/>
              <w:jc w:val="left"/>
              <w:rPr>
                <w:rFonts w:eastAsia="Times New Roman"/>
                <w:szCs w:val="24"/>
                <w:lang w:eastAsia="cs-CZ"/>
              </w:rPr>
            </w:pPr>
            <w:r w:rsidRPr="00730B1E">
              <w:rPr>
                <w:rFonts w:eastAsia="Times New Roman"/>
                <w:szCs w:val="24"/>
                <w:lang w:eastAsia="cs-CZ"/>
              </w:rPr>
              <w:t>KS Č. Budějovice</w:t>
            </w:r>
          </w:p>
        </w:tc>
        <w:tc>
          <w:tcPr>
            <w:tcW w:w="1020" w:type="dxa"/>
            <w:tcBorders>
              <w:top w:val="nil"/>
              <w:left w:val="nil"/>
              <w:bottom w:val="single" w:sz="4" w:space="0" w:color="auto"/>
              <w:right w:val="nil"/>
            </w:tcBorders>
            <w:shd w:val="clear" w:color="auto" w:fill="auto"/>
            <w:vAlign w:val="bottom"/>
            <w:hideMark/>
          </w:tcPr>
          <w:p w14:paraId="00FB9605" w14:textId="77777777"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6</w:t>
            </w:r>
          </w:p>
        </w:tc>
        <w:tc>
          <w:tcPr>
            <w:tcW w:w="1031" w:type="dxa"/>
            <w:tcBorders>
              <w:top w:val="nil"/>
              <w:left w:val="nil"/>
              <w:bottom w:val="single" w:sz="4" w:space="0" w:color="auto"/>
              <w:right w:val="nil"/>
            </w:tcBorders>
            <w:shd w:val="clear" w:color="auto" w:fill="auto"/>
            <w:noWrap/>
            <w:vAlign w:val="bottom"/>
            <w:hideMark/>
          </w:tcPr>
          <w:p w14:paraId="4EB6FF28" w14:textId="283BBC5D"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210,67</w:t>
            </w:r>
          </w:p>
        </w:tc>
        <w:tc>
          <w:tcPr>
            <w:tcW w:w="1134" w:type="dxa"/>
            <w:tcBorders>
              <w:top w:val="nil"/>
              <w:left w:val="nil"/>
              <w:bottom w:val="single" w:sz="4" w:space="0" w:color="auto"/>
              <w:right w:val="nil"/>
            </w:tcBorders>
            <w:shd w:val="clear" w:color="auto" w:fill="auto"/>
            <w:noWrap/>
            <w:vAlign w:val="center"/>
            <w:hideMark/>
          </w:tcPr>
          <w:p w14:paraId="5D677AFD"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-72 %  </w:t>
            </w:r>
          </w:p>
        </w:tc>
        <w:tc>
          <w:tcPr>
            <w:tcW w:w="992" w:type="dxa"/>
            <w:tcBorders>
              <w:top w:val="nil"/>
              <w:left w:val="single" w:sz="4" w:space="0" w:color="auto"/>
              <w:bottom w:val="single" w:sz="4" w:space="0" w:color="auto"/>
              <w:right w:val="nil"/>
            </w:tcBorders>
            <w:shd w:val="clear" w:color="auto" w:fill="auto"/>
            <w:noWrap/>
            <w:vAlign w:val="bottom"/>
            <w:hideMark/>
          </w:tcPr>
          <w:p w14:paraId="65E6245C" w14:textId="614619DB"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316,83</w:t>
            </w:r>
          </w:p>
        </w:tc>
        <w:tc>
          <w:tcPr>
            <w:tcW w:w="993" w:type="dxa"/>
            <w:tcBorders>
              <w:top w:val="nil"/>
              <w:left w:val="nil"/>
              <w:bottom w:val="single" w:sz="4" w:space="0" w:color="auto"/>
              <w:right w:val="single" w:sz="4" w:space="0" w:color="auto"/>
            </w:tcBorders>
            <w:shd w:val="clear" w:color="auto" w:fill="auto"/>
            <w:noWrap/>
            <w:vAlign w:val="center"/>
            <w:hideMark/>
          </w:tcPr>
          <w:p w14:paraId="490DBF34"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-58 %  </w:t>
            </w:r>
          </w:p>
        </w:tc>
        <w:tc>
          <w:tcPr>
            <w:tcW w:w="992" w:type="dxa"/>
            <w:tcBorders>
              <w:top w:val="nil"/>
              <w:left w:val="nil"/>
              <w:bottom w:val="single" w:sz="4" w:space="0" w:color="auto"/>
              <w:right w:val="nil"/>
            </w:tcBorders>
            <w:shd w:val="clear" w:color="auto" w:fill="auto"/>
            <w:noWrap/>
            <w:vAlign w:val="bottom"/>
            <w:hideMark/>
          </w:tcPr>
          <w:p w14:paraId="2F6D094E" w14:textId="0E650340"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9,00</w:t>
            </w:r>
          </w:p>
        </w:tc>
        <w:tc>
          <w:tcPr>
            <w:tcW w:w="922" w:type="dxa"/>
            <w:gridSpan w:val="2"/>
            <w:tcBorders>
              <w:top w:val="nil"/>
              <w:left w:val="nil"/>
              <w:bottom w:val="single" w:sz="4" w:space="0" w:color="auto"/>
              <w:right w:val="nil"/>
            </w:tcBorders>
            <w:shd w:val="clear" w:color="auto" w:fill="auto"/>
            <w:noWrap/>
            <w:vAlign w:val="center"/>
            <w:hideMark/>
          </w:tcPr>
          <w:p w14:paraId="050ABFE5"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-78 %  </w:t>
            </w:r>
          </w:p>
        </w:tc>
      </w:tr>
      <w:tr w:rsidR="00B64E96" w:rsidRPr="00730B1E" w14:paraId="21870E0B" w14:textId="77777777" w:rsidTr="00602BF6">
        <w:trPr>
          <w:trHeight w:val="315"/>
        </w:trPr>
        <w:tc>
          <w:tcPr>
            <w:tcW w:w="2060" w:type="dxa"/>
            <w:tcBorders>
              <w:top w:val="nil"/>
              <w:left w:val="nil"/>
              <w:bottom w:val="single" w:sz="4" w:space="0" w:color="auto"/>
              <w:right w:val="nil"/>
            </w:tcBorders>
            <w:shd w:val="clear" w:color="auto" w:fill="auto"/>
            <w:noWrap/>
            <w:vAlign w:val="bottom"/>
            <w:hideMark/>
          </w:tcPr>
          <w:p w14:paraId="59BC0E82" w14:textId="77777777" w:rsidR="00FF31A6" w:rsidRPr="00730B1E" w:rsidRDefault="00FF31A6" w:rsidP="00FF31A6">
            <w:pPr>
              <w:spacing w:line="240" w:lineRule="auto"/>
              <w:jc w:val="left"/>
              <w:rPr>
                <w:rFonts w:eastAsia="Times New Roman"/>
                <w:szCs w:val="24"/>
                <w:lang w:eastAsia="cs-CZ"/>
              </w:rPr>
            </w:pPr>
            <w:r w:rsidRPr="00730B1E">
              <w:rPr>
                <w:rFonts w:eastAsia="Times New Roman"/>
                <w:szCs w:val="24"/>
                <w:lang w:eastAsia="cs-CZ"/>
              </w:rPr>
              <w:t>KS Plzeň</w:t>
            </w:r>
          </w:p>
        </w:tc>
        <w:tc>
          <w:tcPr>
            <w:tcW w:w="1020" w:type="dxa"/>
            <w:tcBorders>
              <w:top w:val="nil"/>
              <w:left w:val="nil"/>
              <w:bottom w:val="single" w:sz="4" w:space="0" w:color="auto"/>
              <w:right w:val="nil"/>
            </w:tcBorders>
            <w:shd w:val="clear" w:color="auto" w:fill="auto"/>
            <w:vAlign w:val="bottom"/>
            <w:hideMark/>
          </w:tcPr>
          <w:p w14:paraId="1E85861E" w14:textId="5E371494"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8,4</w:t>
            </w:r>
          </w:p>
        </w:tc>
        <w:tc>
          <w:tcPr>
            <w:tcW w:w="1031" w:type="dxa"/>
            <w:tcBorders>
              <w:top w:val="nil"/>
              <w:left w:val="nil"/>
              <w:bottom w:val="single" w:sz="4" w:space="0" w:color="auto"/>
              <w:right w:val="nil"/>
            </w:tcBorders>
            <w:shd w:val="clear" w:color="auto" w:fill="auto"/>
            <w:noWrap/>
            <w:vAlign w:val="bottom"/>
            <w:hideMark/>
          </w:tcPr>
          <w:p w14:paraId="0376EE2A" w14:textId="3A5D1A4C"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225,48</w:t>
            </w:r>
          </w:p>
        </w:tc>
        <w:tc>
          <w:tcPr>
            <w:tcW w:w="1134" w:type="dxa"/>
            <w:tcBorders>
              <w:top w:val="nil"/>
              <w:left w:val="nil"/>
              <w:bottom w:val="single" w:sz="4" w:space="0" w:color="auto"/>
              <w:right w:val="nil"/>
            </w:tcBorders>
            <w:shd w:val="clear" w:color="auto" w:fill="auto"/>
            <w:noWrap/>
            <w:vAlign w:val="center"/>
            <w:hideMark/>
          </w:tcPr>
          <w:p w14:paraId="049B7CC1"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-25 %  </w:t>
            </w:r>
          </w:p>
        </w:tc>
        <w:tc>
          <w:tcPr>
            <w:tcW w:w="992" w:type="dxa"/>
            <w:tcBorders>
              <w:top w:val="nil"/>
              <w:left w:val="single" w:sz="4" w:space="0" w:color="auto"/>
              <w:bottom w:val="single" w:sz="4" w:space="0" w:color="auto"/>
              <w:right w:val="nil"/>
            </w:tcBorders>
            <w:shd w:val="clear" w:color="auto" w:fill="auto"/>
            <w:noWrap/>
            <w:vAlign w:val="bottom"/>
            <w:hideMark/>
          </w:tcPr>
          <w:p w14:paraId="5C0DB421" w14:textId="02064ECB"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332,14</w:t>
            </w:r>
          </w:p>
        </w:tc>
        <w:tc>
          <w:tcPr>
            <w:tcW w:w="993" w:type="dxa"/>
            <w:tcBorders>
              <w:top w:val="nil"/>
              <w:left w:val="nil"/>
              <w:bottom w:val="single" w:sz="4" w:space="0" w:color="auto"/>
              <w:right w:val="single" w:sz="4" w:space="0" w:color="auto"/>
            </w:tcBorders>
            <w:shd w:val="clear" w:color="auto" w:fill="auto"/>
            <w:noWrap/>
            <w:vAlign w:val="center"/>
            <w:hideMark/>
          </w:tcPr>
          <w:p w14:paraId="14C442CA"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992" w:type="dxa"/>
            <w:tcBorders>
              <w:top w:val="nil"/>
              <w:left w:val="nil"/>
              <w:bottom w:val="single" w:sz="4" w:space="0" w:color="auto"/>
              <w:right w:val="nil"/>
            </w:tcBorders>
            <w:shd w:val="clear" w:color="auto" w:fill="auto"/>
            <w:noWrap/>
            <w:vAlign w:val="bottom"/>
            <w:hideMark/>
          </w:tcPr>
          <w:p w14:paraId="4842E8F8" w14:textId="4E537ADE"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22,38</w:t>
            </w:r>
          </w:p>
        </w:tc>
        <w:tc>
          <w:tcPr>
            <w:tcW w:w="922" w:type="dxa"/>
            <w:gridSpan w:val="2"/>
            <w:tcBorders>
              <w:top w:val="nil"/>
              <w:left w:val="nil"/>
              <w:bottom w:val="single" w:sz="4" w:space="0" w:color="auto"/>
              <w:right w:val="nil"/>
            </w:tcBorders>
            <w:shd w:val="clear" w:color="auto" w:fill="auto"/>
            <w:noWrap/>
            <w:vAlign w:val="center"/>
            <w:hideMark/>
          </w:tcPr>
          <w:p w14:paraId="49F044AA"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-42 %  </w:t>
            </w:r>
          </w:p>
        </w:tc>
      </w:tr>
      <w:tr w:rsidR="00B64E96" w:rsidRPr="00730B1E" w14:paraId="5CB99344" w14:textId="77777777" w:rsidTr="00602BF6">
        <w:trPr>
          <w:trHeight w:val="315"/>
        </w:trPr>
        <w:tc>
          <w:tcPr>
            <w:tcW w:w="2060" w:type="dxa"/>
            <w:tcBorders>
              <w:top w:val="nil"/>
              <w:left w:val="nil"/>
              <w:bottom w:val="single" w:sz="4" w:space="0" w:color="auto"/>
              <w:right w:val="nil"/>
            </w:tcBorders>
            <w:shd w:val="clear" w:color="auto" w:fill="auto"/>
            <w:noWrap/>
            <w:vAlign w:val="bottom"/>
            <w:hideMark/>
          </w:tcPr>
          <w:p w14:paraId="55327F22" w14:textId="77777777" w:rsidR="00FF31A6" w:rsidRPr="00730B1E" w:rsidRDefault="00FF31A6" w:rsidP="00FF31A6">
            <w:pPr>
              <w:spacing w:line="240" w:lineRule="auto"/>
              <w:jc w:val="left"/>
              <w:rPr>
                <w:rFonts w:eastAsia="Times New Roman"/>
                <w:szCs w:val="24"/>
                <w:lang w:eastAsia="cs-CZ"/>
              </w:rPr>
            </w:pPr>
            <w:r w:rsidRPr="00730B1E">
              <w:rPr>
                <w:rFonts w:eastAsia="Times New Roman"/>
                <w:szCs w:val="24"/>
                <w:lang w:eastAsia="cs-CZ"/>
              </w:rPr>
              <w:t>KS Ústí n. Labem</w:t>
            </w:r>
          </w:p>
        </w:tc>
        <w:tc>
          <w:tcPr>
            <w:tcW w:w="1020" w:type="dxa"/>
            <w:tcBorders>
              <w:top w:val="nil"/>
              <w:left w:val="nil"/>
              <w:bottom w:val="single" w:sz="4" w:space="0" w:color="auto"/>
              <w:right w:val="nil"/>
            </w:tcBorders>
            <w:shd w:val="clear" w:color="auto" w:fill="auto"/>
            <w:vAlign w:val="bottom"/>
            <w:hideMark/>
          </w:tcPr>
          <w:p w14:paraId="0D440B9A" w14:textId="7A6717C7"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15,5</w:t>
            </w:r>
          </w:p>
        </w:tc>
        <w:tc>
          <w:tcPr>
            <w:tcW w:w="1031" w:type="dxa"/>
            <w:tcBorders>
              <w:top w:val="nil"/>
              <w:left w:val="nil"/>
              <w:bottom w:val="single" w:sz="4" w:space="0" w:color="auto"/>
              <w:right w:val="nil"/>
            </w:tcBorders>
            <w:shd w:val="clear" w:color="auto" w:fill="auto"/>
            <w:noWrap/>
            <w:vAlign w:val="bottom"/>
            <w:hideMark/>
          </w:tcPr>
          <w:p w14:paraId="067DDB08" w14:textId="3264CE4D"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210,00</w:t>
            </w:r>
          </w:p>
        </w:tc>
        <w:tc>
          <w:tcPr>
            <w:tcW w:w="1134" w:type="dxa"/>
            <w:tcBorders>
              <w:top w:val="nil"/>
              <w:left w:val="nil"/>
              <w:bottom w:val="single" w:sz="4" w:space="0" w:color="auto"/>
              <w:right w:val="nil"/>
            </w:tcBorders>
            <w:shd w:val="clear" w:color="auto" w:fill="auto"/>
            <w:noWrap/>
            <w:vAlign w:val="center"/>
            <w:hideMark/>
          </w:tcPr>
          <w:p w14:paraId="25486B58"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992" w:type="dxa"/>
            <w:tcBorders>
              <w:top w:val="nil"/>
              <w:left w:val="single" w:sz="4" w:space="0" w:color="auto"/>
              <w:bottom w:val="single" w:sz="4" w:space="0" w:color="auto"/>
              <w:right w:val="nil"/>
            </w:tcBorders>
            <w:shd w:val="clear" w:color="auto" w:fill="auto"/>
            <w:noWrap/>
            <w:vAlign w:val="bottom"/>
            <w:hideMark/>
          </w:tcPr>
          <w:p w14:paraId="664AD39A" w14:textId="40A255FC"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315,23</w:t>
            </w:r>
          </w:p>
        </w:tc>
        <w:tc>
          <w:tcPr>
            <w:tcW w:w="993" w:type="dxa"/>
            <w:tcBorders>
              <w:top w:val="nil"/>
              <w:left w:val="nil"/>
              <w:bottom w:val="single" w:sz="4" w:space="0" w:color="auto"/>
              <w:right w:val="single" w:sz="4" w:space="0" w:color="auto"/>
            </w:tcBorders>
            <w:shd w:val="clear" w:color="auto" w:fill="auto"/>
            <w:noWrap/>
            <w:vAlign w:val="center"/>
            <w:hideMark/>
          </w:tcPr>
          <w:p w14:paraId="5FA4A378"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92" w:type="dxa"/>
            <w:tcBorders>
              <w:top w:val="nil"/>
              <w:left w:val="nil"/>
              <w:bottom w:val="single" w:sz="4" w:space="0" w:color="auto"/>
              <w:right w:val="nil"/>
            </w:tcBorders>
            <w:shd w:val="clear" w:color="auto" w:fill="auto"/>
            <w:noWrap/>
            <w:vAlign w:val="bottom"/>
            <w:hideMark/>
          </w:tcPr>
          <w:p w14:paraId="4A201B58" w14:textId="039AC6C9"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9,42</w:t>
            </w:r>
          </w:p>
        </w:tc>
        <w:tc>
          <w:tcPr>
            <w:tcW w:w="922" w:type="dxa"/>
            <w:gridSpan w:val="2"/>
            <w:tcBorders>
              <w:top w:val="nil"/>
              <w:left w:val="nil"/>
              <w:bottom w:val="single" w:sz="4" w:space="0" w:color="auto"/>
              <w:right w:val="nil"/>
            </w:tcBorders>
            <w:shd w:val="clear" w:color="auto" w:fill="auto"/>
            <w:noWrap/>
            <w:vAlign w:val="center"/>
            <w:hideMark/>
          </w:tcPr>
          <w:p w14:paraId="4CC5D642"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25ABE288" w14:textId="77777777" w:rsidTr="00602BF6">
        <w:trPr>
          <w:trHeight w:val="315"/>
        </w:trPr>
        <w:tc>
          <w:tcPr>
            <w:tcW w:w="2060" w:type="dxa"/>
            <w:tcBorders>
              <w:top w:val="nil"/>
              <w:left w:val="nil"/>
              <w:bottom w:val="single" w:sz="4" w:space="0" w:color="auto"/>
              <w:right w:val="nil"/>
            </w:tcBorders>
            <w:shd w:val="clear" w:color="auto" w:fill="auto"/>
            <w:noWrap/>
            <w:vAlign w:val="bottom"/>
            <w:hideMark/>
          </w:tcPr>
          <w:p w14:paraId="56538A1E" w14:textId="77777777" w:rsidR="00FF31A6" w:rsidRPr="00730B1E" w:rsidRDefault="00FF31A6" w:rsidP="00FF31A6">
            <w:pPr>
              <w:spacing w:line="240" w:lineRule="auto"/>
              <w:jc w:val="left"/>
              <w:rPr>
                <w:rFonts w:eastAsia="Times New Roman"/>
                <w:szCs w:val="24"/>
                <w:lang w:eastAsia="cs-CZ"/>
              </w:rPr>
            </w:pPr>
            <w:r w:rsidRPr="00730B1E">
              <w:rPr>
                <w:rFonts w:eastAsia="Times New Roman"/>
                <w:szCs w:val="24"/>
                <w:lang w:eastAsia="cs-CZ"/>
              </w:rPr>
              <w:t>KS Hr. Králové</w:t>
            </w:r>
          </w:p>
        </w:tc>
        <w:tc>
          <w:tcPr>
            <w:tcW w:w="1020" w:type="dxa"/>
            <w:tcBorders>
              <w:top w:val="nil"/>
              <w:left w:val="nil"/>
              <w:bottom w:val="single" w:sz="4" w:space="0" w:color="auto"/>
              <w:right w:val="nil"/>
            </w:tcBorders>
            <w:shd w:val="clear" w:color="auto" w:fill="auto"/>
            <w:vAlign w:val="bottom"/>
            <w:hideMark/>
          </w:tcPr>
          <w:p w14:paraId="5DE688BF" w14:textId="293FA648"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9,1</w:t>
            </w:r>
          </w:p>
        </w:tc>
        <w:tc>
          <w:tcPr>
            <w:tcW w:w="1031" w:type="dxa"/>
            <w:tcBorders>
              <w:top w:val="nil"/>
              <w:left w:val="nil"/>
              <w:bottom w:val="single" w:sz="4" w:space="0" w:color="auto"/>
              <w:right w:val="nil"/>
            </w:tcBorders>
            <w:shd w:val="clear" w:color="auto" w:fill="auto"/>
            <w:noWrap/>
            <w:vAlign w:val="bottom"/>
            <w:hideMark/>
          </w:tcPr>
          <w:p w14:paraId="7018FE25" w14:textId="2E2C84B3"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230,88</w:t>
            </w:r>
          </w:p>
        </w:tc>
        <w:tc>
          <w:tcPr>
            <w:tcW w:w="1134" w:type="dxa"/>
            <w:tcBorders>
              <w:top w:val="nil"/>
              <w:left w:val="nil"/>
              <w:bottom w:val="single" w:sz="4" w:space="0" w:color="auto"/>
              <w:right w:val="nil"/>
            </w:tcBorders>
            <w:shd w:val="clear" w:color="auto" w:fill="auto"/>
            <w:noWrap/>
            <w:vAlign w:val="center"/>
            <w:hideMark/>
          </w:tcPr>
          <w:p w14:paraId="09DACDD3"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992" w:type="dxa"/>
            <w:tcBorders>
              <w:top w:val="nil"/>
              <w:left w:val="single" w:sz="4" w:space="0" w:color="auto"/>
              <w:bottom w:val="single" w:sz="4" w:space="0" w:color="auto"/>
              <w:right w:val="nil"/>
            </w:tcBorders>
            <w:shd w:val="clear" w:color="auto" w:fill="auto"/>
            <w:noWrap/>
            <w:vAlign w:val="bottom"/>
            <w:hideMark/>
          </w:tcPr>
          <w:p w14:paraId="2A16DF36" w14:textId="7536E573"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347,47</w:t>
            </w:r>
          </w:p>
        </w:tc>
        <w:tc>
          <w:tcPr>
            <w:tcW w:w="993" w:type="dxa"/>
            <w:tcBorders>
              <w:top w:val="nil"/>
              <w:left w:val="nil"/>
              <w:bottom w:val="single" w:sz="4" w:space="0" w:color="auto"/>
              <w:right w:val="single" w:sz="4" w:space="0" w:color="auto"/>
            </w:tcBorders>
            <w:shd w:val="clear" w:color="auto" w:fill="auto"/>
            <w:noWrap/>
            <w:vAlign w:val="center"/>
            <w:hideMark/>
          </w:tcPr>
          <w:p w14:paraId="4A7DE000"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92" w:type="dxa"/>
            <w:tcBorders>
              <w:top w:val="nil"/>
              <w:left w:val="nil"/>
              <w:bottom w:val="single" w:sz="4" w:space="0" w:color="auto"/>
              <w:right w:val="nil"/>
            </w:tcBorders>
            <w:shd w:val="clear" w:color="auto" w:fill="auto"/>
            <w:noWrap/>
            <w:vAlign w:val="bottom"/>
            <w:hideMark/>
          </w:tcPr>
          <w:p w14:paraId="5A07417B" w14:textId="59910828"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5,60</w:t>
            </w:r>
          </w:p>
        </w:tc>
        <w:tc>
          <w:tcPr>
            <w:tcW w:w="922" w:type="dxa"/>
            <w:gridSpan w:val="2"/>
            <w:tcBorders>
              <w:top w:val="nil"/>
              <w:left w:val="nil"/>
              <w:bottom w:val="single" w:sz="4" w:space="0" w:color="auto"/>
              <w:right w:val="nil"/>
            </w:tcBorders>
            <w:shd w:val="clear" w:color="auto" w:fill="auto"/>
            <w:noWrap/>
            <w:vAlign w:val="center"/>
            <w:hideMark/>
          </w:tcPr>
          <w:p w14:paraId="6367F196"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r>
      <w:tr w:rsidR="00B64E96" w:rsidRPr="00730B1E" w14:paraId="79F99ADC" w14:textId="77777777" w:rsidTr="00602BF6">
        <w:trPr>
          <w:trHeight w:val="315"/>
        </w:trPr>
        <w:tc>
          <w:tcPr>
            <w:tcW w:w="2060" w:type="dxa"/>
            <w:tcBorders>
              <w:top w:val="nil"/>
              <w:left w:val="nil"/>
              <w:bottom w:val="single" w:sz="4" w:space="0" w:color="auto"/>
              <w:right w:val="nil"/>
            </w:tcBorders>
            <w:shd w:val="clear" w:color="auto" w:fill="auto"/>
            <w:noWrap/>
            <w:vAlign w:val="bottom"/>
            <w:hideMark/>
          </w:tcPr>
          <w:p w14:paraId="4E1E497B" w14:textId="77777777" w:rsidR="00FF31A6" w:rsidRPr="00730B1E" w:rsidRDefault="00FF31A6" w:rsidP="00FF31A6">
            <w:pPr>
              <w:spacing w:line="240" w:lineRule="auto"/>
              <w:jc w:val="left"/>
              <w:rPr>
                <w:rFonts w:eastAsia="Times New Roman"/>
                <w:szCs w:val="24"/>
                <w:lang w:eastAsia="cs-CZ"/>
              </w:rPr>
            </w:pPr>
            <w:r w:rsidRPr="00730B1E">
              <w:rPr>
                <w:rFonts w:eastAsia="Times New Roman"/>
                <w:szCs w:val="24"/>
                <w:lang w:eastAsia="cs-CZ"/>
              </w:rPr>
              <w:t>KS Brno</w:t>
            </w:r>
          </w:p>
        </w:tc>
        <w:tc>
          <w:tcPr>
            <w:tcW w:w="1020" w:type="dxa"/>
            <w:tcBorders>
              <w:top w:val="nil"/>
              <w:left w:val="nil"/>
              <w:bottom w:val="single" w:sz="4" w:space="0" w:color="auto"/>
              <w:right w:val="nil"/>
            </w:tcBorders>
            <w:shd w:val="clear" w:color="auto" w:fill="auto"/>
            <w:vAlign w:val="bottom"/>
            <w:hideMark/>
          </w:tcPr>
          <w:p w14:paraId="7AF5D7DC" w14:textId="77777777"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18</w:t>
            </w:r>
          </w:p>
        </w:tc>
        <w:tc>
          <w:tcPr>
            <w:tcW w:w="1031" w:type="dxa"/>
            <w:tcBorders>
              <w:top w:val="nil"/>
              <w:left w:val="nil"/>
              <w:bottom w:val="single" w:sz="4" w:space="0" w:color="auto"/>
              <w:right w:val="nil"/>
            </w:tcBorders>
            <w:shd w:val="clear" w:color="auto" w:fill="auto"/>
            <w:noWrap/>
            <w:vAlign w:val="bottom"/>
            <w:hideMark/>
          </w:tcPr>
          <w:p w14:paraId="44670D81" w14:textId="1D5D1092"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183,44</w:t>
            </w:r>
          </w:p>
        </w:tc>
        <w:tc>
          <w:tcPr>
            <w:tcW w:w="1134" w:type="dxa"/>
            <w:tcBorders>
              <w:top w:val="nil"/>
              <w:left w:val="nil"/>
              <w:bottom w:val="single" w:sz="4" w:space="0" w:color="auto"/>
              <w:right w:val="nil"/>
            </w:tcBorders>
            <w:shd w:val="clear" w:color="auto" w:fill="auto"/>
            <w:noWrap/>
            <w:vAlign w:val="center"/>
            <w:hideMark/>
          </w:tcPr>
          <w:p w14:paraId="407DEDFF"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+18 %  </w:t>
            </w:r>
          </w:p>
        </w:tc>
        <w:tc>
          <w:tcPr>
            <w:tcW w:w="992" w:type="dxa"/>
            <w:tcBorders>
              <w:top w:val="nil"/>
              <w:left w:val="single" w:sz="4" w:space="0" w:color="auto"/>
              <w:bottom w:val="single" w:sz="4" w:space="0" w:color="auto"/>
              <w:right w:val="nil"/>
            </w:tcBorders>
            <w:shd w:val="clear" w:color="auto" w:fill="auto"/>
            <w:noWrap/>
            <w:vAlign w:val="bottom"/>
            <w:hideMark/>
          </w:tcPr>
          <w:p w14:paraId="3A202B33" w14:textId="4DC5F3E3"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250,28</w:t>
            </w:r>
          </w:p>
        </w:tc>
        <w:tc>
          <w:tcPr>
            <w:tcW w:w="993" w:type="dxa"/>
            <w:tcBorders>
              <w:top w:val="nil"/>
              <w:left w:val="nil"/>
              <w:bottom w:val="single" w:sz="4" w:space="0" w:color="auto"/>
              <w:right w:val="single" w:sz="4" w:space="0" w:color="auto"/>
            </w:tcBorders>
            <w:shd w:val="clear" w:color="auto" w:fill="auto"/>
            <w:noWrap/>
            <w:vAlign w:val="center"/>
            <w:hideMark/>
          </w:tcPr>
          <w:p w14:paraId="7F261C04"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+29 %  </w:t>
            </w:r>
          </w:p>
        </w:tc>
        <w:tc>
          <w:tcPr>
            <w:tcW w:w="992" w:type="dxa"/>
            <w:tcBorders>
              <w:top w:val="nil"/>
              <w:left w:val="nil"/>
              <w:bottom w:val="single" w:sz="4" w:space="0" w:color="auto"/>
              <w:right w:val="nil"/>
            </w:tcBorders>
            <w:shd w:val="clear" w:color="auto" w:fill="auto"/>
            <w:noWrap/>
            <w:vAlign w:val="bottom"/>
            <w:hideMark/>
          </w:tcPr>
          <w:p w14:paraId="740DB325" w14:textId="7569AA87"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23,83</w:t>
            </w:r>
          </w:p>
        </w:tc>
        <w:tc>
          <w:tcPr>
            <w:tcW w:w="922" w:type="dxa"/>
            <w:gridSpan w:val="2"/>
            <w:tcBorders>
              <w:top w:val="nil"/>
              <w:left w:val="nil"/>
              <w:bottom w:val="single" w:sz="4" w:space="0" w:color="auto"/>
              <w:right w:val="nil"/>
            </w:tcBorders>
            <w:shd w:val="clear" w:color="auto" w:fill="auto"/>
            <w:noWrap/>
            <w:vAlign w:val="center"/>
            <w:hideMark/>
          </w:tcPr>
          <w:p w14:paraId="4C9E8FA5"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-13 %  </w:t>
            </w:r>
          </w:p>
        </w:tc>
      </w:tr>
      <w:tr w:rsidR="00B64E96" w:rsidRPr="00730B1E" w14:paraId="68E20DE4" w14:textId="77777777" w:rsidTr="00602BF6">
        <w:trPr>
          <w:trHeight w:val="330"/>
        </w:trPr>
        <w:tc>
          <w:tcPr>
            <w:tcW w:w="2060" w:type="dxa"/>
            <w:tcBorders>
              <w:top w:val="nil"/>
              <w:left w:val="nil"/>
              <w:bottom w:val="double" w:sz="6" w:space="0" w:color="auto"/>
              <w:right w:val="nil"/>
            </w:tcBorders>
            <w:shd w:val="clear" w:color="auto" w:fill="auto"/>
            <w:noWrap/>
            <w:vAlign w:val="bottom"/>
            <w:hideMark/>
          </w:tcPr>
          <w:p w14:paraId="77B6D5AA" w14:textId="77777777" w:rsidR="00FF31A6" w:rsidRPr="00730B1E" w:rsidRDefault="00FF31A6" w:rsidP="00FF31A6">
            <w:pPr>
              <w:spacing w:line="240" w:lineRule="auto"/>
              <w:jc w:val="left"/>
              <w:rPr>
                <w:rFonts w:eastAsia="Times New Roman"/>
                <w:szCs w:val="24"/>
                <w:lang w:eastAsia="cs-CZ"/>
              </w:rPr>
            </w:pPr>
            <w:r w:rsidRPr="00730B1E">
              <w:rPr>
                <w:rFonts w:eastAsia="Times New Roman"/>
                <w:szCs w:val="24"/>
                <w:lang w:eastAsia="cs-CZ"/>
              </w:rPr>
              <w:t>KS Ostrava</w:t>
            </w:r>
          </w:p>
        </w:tc>
        <w:tc>
          <w:tcPr>
            <w:tcW w:w="1020" w:type="dxa"/>
            <w:tcBorders>
              <w:top w:val="nil"/>
              <w:left w:val="nil"/>
              <w:bottom w:val="double" w:sz="6" w:space="0" w:color="auto"/>
              <w:right w:val="nil"/>
            </w:tcBorders>
            <w:shd w:val="clear" w:color="auto" w:fill="auto"/>
            <w:vAlign w:val="bottom"/>
            <w:hideMark/>
          </w:tcPr>
          <w:p w14:paraId="3C2FE2C1" w14:textId="77777777"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14</w:t>
            </w:r>
          </w:p>
        </w:tc>
        <w:tc>
          <w:tcPr>
            <w:tcW w:w="1031" w:type="dxa"/>
            <w:tcBorders>
              <w:top w:val="nil"/>
              <w:left w:val="nil"/>
              <w:bottom w:val="double" w:sz="6" w:space="0" w:color="auto"/>
              <w:right w:val="nil"/>
            </w:tcBorders>
            <w:shd w:val="clear" w:color="auto" w:fill="auto"/>
            <w:noWrap/>
            <w:vAlign w:val="bottom"/>
            <w:hideMark/>
          </w:tcPr>
          <w:p w14:paraId="141AD3AB" w14:textId="69BCF5BD"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290,29</w:t>
            </w:r>
          </w:p>
        </w:tc>
        <w:tc>
          <w:tcPr>
            <w:tcW w:w="1134" w:type="dxa"/>
            <w:tcBorders>
              <w:top w:val="nil"/>
              <w:left w:val="nil"/>
              <w:bottom w:val="double" w:sz="6" w:space="0" w:color="auto"/>
              <w:right w:val="nil"/>
            </w:tcBorders>
            <w:shd w:val="clear" w:color="auto" w:fill="auto"/>
            <w:noWrap/>
            <w:vAlign w:val="center"/>
            <w:hideMark/>
          </w:tcPr>
          <w:p w14:paraId="6436FA85"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92" w:type="dxa"/>
            <w:tcBorders>
              <w:top w:val="nil"/>
              <w:left w:val="single" w:sz="4" w:space="0" w:color="auto"/>
              <w:bottom w:val="double" w:sz="6" w:space="0" w:color="auto"/>
              <w:right w:val="nil"/>
            </w:tcBorders>
            <w:shd w:val="clear" w:color="auto" w:fill="auto"/>
            <w:noWrap/>
            <w:vAlign w:val="bottom"/>
            <w:hideMark/>
          </w:tcPr>
          <w:p w14:paraId="2C35B162" w14:textId="68614795"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379,36</w:t>
            </w:r>
          </w:p>
        </w:tc>
        <w:tc>
          <w:tcPr>
            <w:tcW w:w="993" w:type="dxa"/>
            <w:tcBorders>
              <w:top w:val="nil"/>
              <w:left w:val="nil"/>
              <w:bottom w:val="double" w:sz="6" w:space="0" w:color="auto"/>
              <w:right w:val="single" w:sz="4" w:space="0" w:color="auto"/>
            </w:tcBorders>
            <w:shd w:val="clear" w:color="auto" w:fill="auto"/>
            <w:noWrap/>
            <w:vAlign w:val="center"/>
            <w:hideMark/>
          </w:tcPr>
          <w:p w14:paraId="22E2DA1D"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+42 %  </w:t>
            </w:r>
          </w:p>
        </w:tc>
        <w:tc>
          <w:tcPr>
            <w:tcW w:w="992" w:type="dxa"/>
            <w:tcBorders>
              <w:top w:val="nil"/>
              <w:left w:val="nil"/>
              <w:bottom w:val="double" w:sz="6" w:space="0" w:color="auto"/>
              <w:right w:val="nil"/>
            </w:tcBorders>
            <w:shd w:val="clear" w:color="auto" w:fill="auto"/>
            <w:noWrap/>
            <w:vAlign w:val="bottom"/>
            <w:hideMark/>
          </w:tcPr>
          <w:p w14:paraId="73D65862" w14:textId="70A0BAAC" w:rsidR="00FF31A6" w:rsidRPr="00730B1E" w:rsidRDefault="00FF31A6" w:rsidP="00FF31A6">
            <w:pPr>
              <w:spacing w:line="240" w:lineRule="auto"/>
              <w:jc w:val="center"/>
              <w:rPr>
                <w:rFonts w:eastAsia="Times New Roman"/>
                <w:szCs w:val="24"/>
                <w:lang w:eastAsia="cs-CZ"/>
              </w:rPr>
            </w:pPr>
            <w:r w:rsidRPr="00730B1E">
              <w:rPr>
                <w:rFonts w:eastAsia="Times New Roman"/>
                <w:szCs w:val="24"/>
                <w:lang w:eastAsia="cs-CZ"/>
              </w:rPr>
              <w:t>26,93</w:t>
            </w:r>
          </w:p>
        </w:tc>
        <w:tc>
          <w:tcPr>
            <w:tcW w:w="922" w:type="dxa"/>
            <w:gridSpan w:val="2"/>
            <w:tcBorders>
              <w:top w:val="nil"/>
              <w:left w:val="nil"/>
              <w:bottom w:val="double" w:sz="6" w:space="0" w:color="auto"/>
              <w:right w:val="nil"/>
            </w:tcBorders>
            <w:shd w:val="clear" w:color="auto" w:fill="auto"/>
            <w:noWrap/>
            <w:vAlign w:val="center"/>
            <w:hideMark/>
          </w:tcPr>
          <w:p w14:paraId="01099D3E" w14:textId="77777777" w:rsidR="00FF31A6" w:rsidRPr="00730B1E" w:rsidRDefault="00FF31A6" w:rsidP="00FF31A6">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64FF94A5" w14:textId="77777777" w:rsidTr="00602BF6">
        <w:trPr>
          <w:trHeight w:val="345"/>
        </w:trPr>
        <w:tc>
          <w:tcPr>
            <w:tcW w:w="2060" w:type="dxa"/>
            <w:tcBorders>
              <w:top w:val="nil"/>
              <w:left w:val="nil"/>
              <w:bottom w:val="double" w:sz="6" w:space="0" w:color="auto"/>
              <w:right w:val="nil"/>
            </w:tcBorders>
            <w:shd w:val="clear" w:color="auto" w:fill="auto"/>
            <w:noWrap/>
            <w:vAlign w:val="bottom"/>
            <w:hideMark/>
          </w:tcPr>
          <w:p w14:paraId="433BD0C6" w14:textId="77777777" w:rsidR="00FF31A6" w:rsidRPr="00730B1E" w:rsidRDefault="00FF31A6" w:rsidP="00FF31A6">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20" w:type="dxa"/>
            <w:tcBorders>
              <w:top w:val="nil"/>
              <w:left w:val="nil"/>
              <w:bottom w:val="double" w:sz="6" w:space="0" w:color="auto"/>
              <w:right w:val="nil"/>
            </w:tcBorders>
            <w:shd w:val="clear" w:color="auto" w:fill="auto"/>
            <w:vAlign w:val="bottom"/>
            <w:hideMark/>
          </w:tcPr>
          <w:p w14:paraId="68C52547" w14:textId="17FF9FDC"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99,6</w:t>
            </w:r>
          </w:p>
        </w:tc>
        <w:tc>
          <w:tcPr>
            <w:tcW w:w="1031" w:type="dxa"/>
            <w:tcBorders>
              <w:top w:val="nil"/>
              <w:left w:val="nil"/>
              <w:bottom w:val="double" w:sz="6" w:space="0" w:color="auto"/>
              <w:right w:val="nil"/>
            </w:tcBorders>
            <w:shd w:val="clear" w:color="auto" w:fill="auto"/>
            <w:noWrap/>
            <w:vAlign w:val="bottom"/>
            <w:hideMark/>
          </w:tcPr>
          <w:p w14:paraId="6E33FD77" w14:textId="7334B056"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207,50</w:t>
            </w:r>
          </w:p>
        </w:tc>
        <w:tc>
          <w:tcPr>
            <w:tcW w:w="1134" w:type="dxa"/>
            <w:tcBorders>
              <w:top w:val="nil"/>
              <w:left w:val="nil"/>
              <w:bottom w:val="double" w:sz="6" w:space="0" w:color="auto"/>
              <w:right w:val="nil"/>
            </w:tcBorders>
            <w:shd w:val="clear" w:color="auto" w:fill="auto"/>
            <w:noWrap/>
            <w:vAlign w:val="center"/>
            <w:hideMark/>
          </w:tcPr>
          <w:p w14:paraId="5B8FB4EA" w14:textId="77777777" w:rsidR="00FF31A6" w:rsidRPr="00730B1E" w:rsidRDefault="00FF31A6" w:rsidP="00FF31A6">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+5 %  </w:t>
            </w:r>
          </w:p>
        </w:tc>
        <w:tc>
          <w:tcPr>
            <w:tcW w:w="992" w:type="dxa"/>
            <w:tcBorders>
              <w:top w:val="nil"/>
              <w:left w:val="single" w:sz="4" w:space="0" w:color="auto"/>
              <w:bottom w:val="double" w:sz="6" w:space="0" w:color="auto"/>
              <w:right w:val="nil"/>
            </w:tcBorders>
            <w:shd w:val="clear" w:color="auto" w:fill="auto"/>
            <w:noWrap/>
            <w:vAlign w:val="bottom"/>
            <w:hideMark/>
          </w:tcPr>
          <w:p w14:paraId="331C6A6C" w14:textId="739A0433"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288,37</w:t>
            </w:r>
          </w:p>
        </w:tc>
        <w:tc>
          <w:tcPr>
            <w:tcW w:w="993" w:type="dxa"/>
            <w:tcBorders>
              <w:top w:val="nil"/>
              <w:left w:val="nil"/>
              <w:bottom w:val="double" w:sz="6" w:space="0" w:color="auto"/>
              <w:right w:val="single" w:sz="4" w:space="0" w:color="auto"/>
            </w:tcBorders>
            <w:shd w:val="clear" w:color="auto" w:fill="auto"/>
            <w:noWrap/>
            <w:vAlign w:val="center"/>
            <w:hideMark/>
          </w:tcPr>
          <w:p w14:paraId="642B7CE9" w14:textId="77777777" w:rsidR="00FF31A6" w:rsidRPr="00730B1E" w:rsidRDefault="00FF31A6" w:rsidP="00FF31A6">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+13 %  </w:t>
            </w:r>
          </w:p>
        </w:tc>
        <w:tc>
          <w:tcPr>
            <w:tcW w:w="992" w:type="dxa"/>
            <w:tcBorders>
              <w:top w:val="nil"/>
              <w:left w:val="nil"/>
              <w:bottom w:val="double" w:sz="6" w:space="0" w:color="auto"/>
              <w:right w:val="nil"/>
            </w:tcBorders>
            <w:shd w:val="clear" w:color="auto" w:fill="auto"/>
            <w:noWrap/>
            <w:vAlign w:val="bottom"/>
            <w:hideMark/>
          </w:tcPr>
          <w:p w14:paraId="7363E204" w14:textId="732FDA4D" w:rsidR="00FF31A6" w:rsidRPr="00730B1E" w:rsidRDefault="00FF31A6" w:rsidP="00FF31A6">
            <w:pPr>
              <w:spacing w:line="240" w:lineRule="auto"/>
              <w:jc w:val="center"/>
              <w:rPr>
                <w:rFonts w:eastAsia="Times New Roman"/>
                <w:b/>
                <w:bCs/>
                <w:szCs w:val="24"/>
                <w:lang w:eastAsia="cs-CZ"/>
              </w:rPr>
            </w:pPr>
            <w:r w:rsidRPr="00730B1E">
              <w:rPr>
                <w:rFonts w:eastAsia="Times New Roman"/>
                <w:b/>
                <w:bCs/>
                <w:szCs w:val="24"/>
                <w:lang w:eastAsia="cs-CZ"/>
              </w:rPr>
              <w:t>16,56</w:t>
            </w:r>
          </w:p>
        </w:tc>
        <w:tc>
          <w:tcPr>
            <w:tcW w:w="922" w:type="dxa"/>
            <w:gridSpan w:val="2"/>
            <w:tcBorders>
              <w:top w:val="nil"/>
              <w:left w:val="nil"/>
              <w:bottom w:val="double" w:sz="6" w:space="0" w:color="auto"/>
              <w:right w:val="nil"/>
            </w:tcBorders>
            <w:shd w:val="clear" w:color="auto" w:fill="auto"/>
            <w:noWrap/>
            <w:vAlign w:val="center"/>
            <w:hideMark/>
          </w:tcPr>
          <w:p w14:paraId="59E29875" w14:textId="77777777" w:rsidR="00FF31A6" w:rsidRPr="00730B1E" w:rsidRDefault="00FF31A6" w:rsidP="00FF31A6">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-16 %  </w:t>
            </w:r>
          </w:p>
        </w:tc>
      </w:tr>
      <w:tr w:rsidR="00B64E96" w:rsidRPr="00730B1E" w14:paraId="19183D97" w14:textId="77777777" w:rsidTr="00602BF6">
        <w:trPr>
          <w:trHeight w:val="330"/>
        </w:trPr>
        <w:tc>
          <w:tcPr>
            <w:tcW w:w="2060" w:type="dxa"/>
            <w:tcBorders>
              <w:top w:val="nil"/>
              <w:left w:val="nil"/>
              <w:bottom w:val="nil"/>
              <w:right w:val="nil"/>
            </w:tcBorders>
            <w:shd w:val="clear" w:color="auto" w:fill="auto"/>
            <w:noWrap/>
            <w:vAlign w:val="bottom"/>
            <w:hideMark/>
          </w:tcPr>
          <w:p w14:paraId="3BF67D78" w14:textId="77777777" w:rsidR="00FF31A6" w:rsidRPr="00730B1E" w:rsidRDefault="00FF31A6" w:rsidP="00FF31A6">
            <w:pPr>
              <w:spacing w:line="240" w:lineRule="auto"/>
              <w:jc w:val="center"/>
              <w:rPr>
                <w:rFonts w:eastAsia="Times New Roman"/>
                <w:b/>
                <w:bCs/>
                <w:sz w:val="20"/>
                <w:szCs w:val="20"/>
                <w:lang w:eastAsia="cs-CZ"/>
              </w:rPr>
            </w:pPr>
          </w:p>
        </w:tc>
        <w:tc>
          <w:tcPr>
            <w:tcW w:w="1020" w:type="dxa"/>
            <w:tcBorders>
              <w:top w:val="nil"/>
              <w:left w:val="nil"/>
              <w:bottom w:val="nil"/>
              <w:right w:val="nil"/>
            </w:tcBorders>
            <w:shd w:val="clear" w:color="auto" w:fill="auto"/>
            <w:noWrap/>
            <w:vAlign w:val="bottom"/>
            <w:hideMark/>
          </w:tcPr>
          <w:p w14:paraId="7A384446" w14:textId="77777777" w:rsidR="00FF31A6" w:rsidRPr="00DF07F3" w:rsidRDefault="00FF31A6" w:rsidP="00FF31A6">
            <w:pPr>
              <w:spacing w:line="240" w:lineRule="auto"/>
              <w:jc w:val="left"/>
              <w:rPr>
                <w:sz w:val="20"/>
              </w:rPr>
            </w:pPr>
          </w:p>
        </w:tc>
        <w:tc>
          <w:tcPr>
            <w:tcW w:w="1031" w:type="dxa"/>
            <w:tcBorders>
              <w:top w:val="nil"/>
              <w:left w:val="nil"/>
              <w:bottom w:val="nil"/>
              <w:right w:val="nil"/>
            </w:tcBorders>
            <w:shd w:val="clear" w:color="auto" w:fill="auto"/>
            <w:noWrap/>
            <w:vAlign w:val="bottom"/>
            <w:hideMark/>
          </w:tcPr>
          <w:p w14:paraId="5BA02FE8" w14:textId="77777777" w:rsidR="00FF31A6" w:rsidRPr="00DF07F3" w:rsidRDefault="00FF31A6" w:rsidP="00FF31A6">
            <w:pPr>
              <w:spacing w:line="240" w:lineRule="auto"/>
              <w:jc w:val="left"/>
              <w:rPr>
                <w:sz w:val="20"/>
              </w:rPr>
            </w:pPr>
          </w:p>
        </w:tc>
        <w:tc>
          <w:tcPr>
            <w:tcW w:w="1134" w:type="dxa"/>
            <w:tcBorders>
              <w:top w:val="nil"/>
              <w:left w:val="nil"/>
              <w:bottom w:val="nil"/>
              <w:right w:val="nil"/>
            </w:tcBorders>
            <w:shd w:val="clear" w:color="auto" w:fill="auto"/>
            <w:noWrap/>
            <w:vAlign w:val="bottom"/>
            <w:hideMark/>
          </w:tcPr>
          <w:p w14:paraId="2B5AC880" w14:textId="77777777" w:rsidR="00FF31A6" w:rsidRPr="00DF07F3" w:rsidRDefault="00FF31A6" w:rsidP="00FF31A6">
            <w:pPr>
              <w:spacing w:line="240" w:lineRule="auto"/>
              <w:jc w:val="left"/>
              <w:rPr>
                <w:sz w:val="20"/>
              </w:rPr>
            </w:pPr>
          </w:p>
        </w:tc>
        <w:tc>
          <w:tcPr>
            <w:tcW w:w="992" w:type="dxa"/>
            <w:tcBorders>
              <w:top w:val="nil"/>
              <w:left w:val="nil"/>
              <w:bottom w:val="nil"/>
              <w:right w:val="nil"/>
            </w:tcBorders>
            <w:shd w:val="clear" w:color="auto" w:fill="auto"/>
            <w:noWrap/>
            <w:vAlign w:val="bottom"/>
            <w:hideMark/>
          </w:tcPr>
          <w:p w14:paraId="54CA9B95" w14:textId="77777777" w:rsidR="00FF31A6" w:rsidRPr="00DF07F3" w:rsidRDefault="00FF31A6" w:rsidP="00FF31A6">
            <w:pPr>
              <w:spacing w:line="240" w:lineRule="auto"/>
              <w:jc w:val="left"/>
              <w:rPr>
                <w:sz w:val="20"/>
              </w:rPr>
            </w:pPr>
          </w:p>
        </w:tc>
        <w:tc>
          <w:tcPr>
            <w:tcW w:w="993" w:type="dxa"/>
            <w:tcBorders>
              <w:top w:val="nil"/>
              <w:left w:val="nil"/>
              <w:bottom w:val="nil"/>
              <w:right w:val="nil"/>
            </w:tcBorders>
            <w:shd w:val="clear" w:color="auto" w:fill="auto"/>
            <w:noWrap/>
            <w:vAlign w:val="bottom"/>
            <w:hideMark/>
          </w:tcPr>
          <w:p w14:paraId="7BBF8F19" w14:textId="77777777" w:rsidR="00FF31A6" w:rsidRPr="00DF07F3" w:rsidRDefault="00FF31A6" w:rsidP="00FF31A6">
            <w:pPr>
              <w:spacing w:line="240" w:lineRule="auto"/>
              <w:jc w:val="left"/>
              <w:rPr>
                <w:sz w:val="20"/>
              </w:rPr>
            </w:pPr>
          </w:p>
        </w:tc>
        <w:tc>
          <w:tcPr>
            <w:tcW w:w="992" w:type="dxa"/>
            <w:tcBorders>
              <w:top w:val="nil"/>
              <w:left w:val="nil"/>
              <w:bottom w:val="nil"/>
              <w:right w:val="nil"/>
            </w:tcBorders>
            <w:shd w:val="clear" w:color="auto" w:fill="auto"/>
            <w:noWrap/>
            <w:vAlign w:val="bottom"/>
            <w:hideMark/>
          </w:tcPr>
          <w:p w14:paraId="7EE1A877" w14:textId="77777777" w:rsidR="00FF31A6" w:rsidRPr="00DF07F3" w:rsidRDefault="00FF31A6" w:rsidP="00FF31A6">
            <w:pPr>
              <w:spacing w:line="240" w:lineRule="auto"/>
              <w:jc w:val="left"/>
              <w:rPr>
                <w:sz w:val="20"/>
              </w:rPr>
            </w:pPr>
          </w:p>
        </w:tc>
        <w:tc>
          <w:tcPr>
            <w:tcW w:w="922" w:type="dxa"/>
            <w:gridSpan w:val="2"/>
            <w:tcBorders>
              <w:top w:val="nil"/>
              <w:left w:val="nil"/>
              <w:bottom w:val="nil"/>
              <w:right w:val="nil"/>
            </w:tcBorders>
            <w:shd w:val="clear" w:color="auto" w:fill="auto"/>
            <w:noWrap/>
            <w:vAlign w:val="bottom"/>
            <w:hideMark/>
          </w:tcPr>
          <w:p w14:paraId="3208DD22" w14:textId="77777777" w:rsidR="00FF31A6" w:rsidRPr="00DF07F3" w:rsidRDefault="00FF31A6" w:rsidP="00FF31A6">
            <w:pPr>
              <w:spacing w:line="240" w:lineRule="auto"/>
              <w:jc w:val="left"/>
              <w:rPr>
                <w:sz w:val="20"/>
              </w:rPr>
            </w:pPr>
          </w:p>
        </w:tc>
      </w:tr>
    </w:tbl>
    <w:p w14:paraId="122F7B9E" w14:textId="2E8EA518" w:rsidR="00FF31A6" w:rsidRPr="00730B1E" w:rsidRDefault="00FF31A6" w:rsidP="00FF31A6">
      <w:pPr>
        <w:pStyle w:val="OdstavecASR"/>
      </w:pPr>
      <w:r w:rsidRPr="00730B1E">
        <w:t xml:space="preserve">Za zmínku rovněž stojí fakt, že oproti loňskému roku stoupl počet soudců (úvazků) asi o 9, což není </w:t>
      </w:r>
      <w:r w:rsidR="00BF0598" w:rsidRPr="00730B1E">
        <w:t xml:space="preserve">zanedbatelné </w:t>
      </w:r>
      <w:r w:rsidRPr="00730B1E">
        <w:t>číslo (přibližně 10 % z počtu úvazků v roce 2022).</w:t>
      </w:r>
    </w:p>
    <w:p w14:paraId="3176982F" w14:textId="118A5D70" w:rsidR="00FF31A6" w:rsidRPr="00730B1E" w:rsidRDefault="00FF31A6" w:rsidP="00FF31A6">
      <w:pPr>
        <w:pStyle w:val="Nadpis3"/>
        <w:numPr>
          <w:ilvl w:val="2"/>
          <w:numId w:val="1"/>
        </w:numPr>
        <w:rPr>
          <w:color w:val="auto"/>
        </w:rPr>
      </w:pPr>
      <w:bookmarkStart w:id="1232" w:name="_Toc109801394"/>
      <w:bookmarkStart w:id="1233" w:name="_Toc169250859"/>
      <w:bookmarkStart w:id="1234" w:name="_Toc174080895"/>
      <w:r w:rsidRPr="00730B1E">
        <w:rPr>
          <w:color w:val="auto"/>
        </w:rPr>
        <w:t>Další statistiky</w:t>
      </w:r>
      <w:bookmarkEnd w:id="1232"/>
      <w:bookmarkEnd w:id="1233"/>
      <w:bookmarkEnd w:id="1234"/>
    </w:p>
    <w:p w14:paraId="253AE617" w14:textId="04F9AD2E" w:rsidR="00C95005" w:rsidRPr="00730B1E" w:rsidRDefault="00FF31A6" w:rsidP="00FF31A6">
      <w:pPr>
        <w:pStyle w:val="OdstavecASR"/>
      </w:pPr>
      <w:r w:rsidRPr="00730B1E">
        <w:t>Zajímavým a velmi důležitým statistickým údajem je složení agendy z hlediska způsobu řešení úpadku. Proto tyto statistiky uvádíme každoročně. V následující tabulce uvádíme podíl počtu věcí dosud v řízení podle jednotlivých způsobů řešení úpadku a podle krajských soudů ke konci roku 2023.</w:t>
      </w:r>
    </w:p>
    <w:p w14:paraId="62CEA27B" w14:textId="3257AB3A" w:rsidR="00C95005" w:rsidRPr="00730B1E" w:rsidRDefault="00C95005" w:rsidP="00C95005">
      <w:pPr>
        <w:pStyle w:val="Podnadpis"/>
        <w:numPr>
          <w:ilvl w:val="0"/>
          <w:numId w:val="0"/>
        </w:numPr>
        <w:rPr>
          <w:color w:val="auto"/>
        </w:rPr>
      </w:pPr>
      <w:bookmarkStart w:id="1235" w:name="_Toc43931246"/>
      <w:bookmarkStart w:id="1236" w:name="_Toc75952379"/>
      <w:bookmarkStart w:id="1237" w:name="_Toc106106832"/>
      <w:bookmarkStart w:id="1238" w:name="_Toc109802155"/>
      <w:bookmarkStart w:id="1239" w:name="_Toc144104314"/>
      <w:bookmarkStart w:id="1240" w:name="_Toc169251128"/>
      <w:bookmarkStart w:id="1241" w:name="_Toc174080814"/>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71</w:t>
      </w:r>
      <w:r w:rsidRPr="00730B1E">
        <w:rPr>
          <w:noProof/>
          <w:color w:val="auto"/>
        </w:rPr>
        <w:fldChar w:fldCharType="end"/>
      </w:r>
      <w:r w:rsidRPr="00730B1E">
        <w:rPr>
          <w:color w:val="auto"/>
        </w:rPr>
        <w:t>: KS – podíl jednotlivých způsobů řešení úpadku</w:t>
      </w:r>
      <w:bookmarkEnd w:id="1235"/>
      <w:bookmarkEnd w:id="1236"/>
      <w:r w:rsidRPr="00730B1E">
        <w:rPr>
          <w:color w:val="auto"/>
        </w:rPr>
        <w:t xml:space="preserve"> v %</w:t>
      </w:r>
      <w:bookmarkEnd w:id="1237"/>
      <w:bookmarkEnd w:id="1238"/>
      <w:bookmarkEnd w:id="1239"/>
      <w:r w:rsidR="00606356" w:rsidRPr="00730B1E">
        <w:rPr>
          <w:color w:val="auto"/>
        </w:rPr>
        <w:t>, 2023</w:t>
      </w:r>
      <w:bookmarkEnd w:id="1240"/>
      <w:bookmarkEnd w:id="1241"/>
    </w:p>
    <w:tbl>
      <w:tblPr>
        <w:tblW w:w="7520" w:type="dxa"/>
        <w:tblCellMar>
          <w:left w:w="70" w:type="dxa"/>
          <w:right w:w="70" w:type="dxa"/>
        </w:tblCellMar>
        <w:tblLook w:val="04A0" w:firstRow="1" w:lastRow="0" w:firstColumn="1" w:lastColumn="0" w:noHBand="0" w:noVBand="1"/>
      </w:tblPr>
      <w:tblGrid>
        <w:gridCol w:w="2480"/>
        <w:gridCol w:w="1578"/>
        <w:gridCol w:w="1771"/>
        <w:gridCol w:w="1691"/>
      </w:tblGrid>
      <w:tr w:rsidR="00B64E96" w:rsidRPr="00730B1E" w14:paraId="38927B5D" w14:textId="77777777" w:rsidTr="00C9500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1FC5481A" w14:textId="77777777" w:rsidR="00C95005" w:rsidRPr="00730B1E" w:rsidRDefault="00C95005" w:rsidP="00C95005">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5040" w:type="dxa"/>
            <w:gridSpan w:val="3"/>
            <w:tcBorders>
              <w:top w:val="double" w:sz="6" w:space="0" w:color="auto"/>
              <w:left w:val="nil"/>
              <w:bottom w:val="nil"/>
              <w:right w:val="nil"/>
            </w:tcBorders>
            <w:shd w:val="clear" w:color="auto" w:fill="auto"/>
            <w:noWrap/>
            <w:vAlign w:val="center"/>
            <w:hideMark/>
          </w:tcPr>
          <w:p w14:paraId="6E6BCC88" w14:textId="77777777" w:rsidR="00C95005" w:rsidRPr="00730B1E" w:rsidRDefault="00C95005" w:rsidP="00C95005">
            <w:pPr>
              <w:spacing w:line="240" w:lineRule="auto"/>
              <w:jc w:val="center"/>
              <w:rPr>
                <w:rFonts w:eastAsia="Times New Roman"/>
                <w:b/>
                <w:bCs/>
                <w:szCs w:val="24"/>
                <w:lang w:eastAsia="cs-CZ"/>
              </w:rPr>
            </w:pPr>
            <w:r w:rsidRPr="00730B1E">
              <w:rPr>
                <w:rFonts w:eastAsia="Times New Roman"/>
                <w:b/>
                <w:bCs/>
                <w:szCs w:val="24"/>
                <w:lang w:eastAsia="cs-CZ"/>
              </w:rPr>
              <w:t>Způsob řešení úpadku</w:t>
            </w:r>
          </w:p>
        </w:tc>
      </w:tr>
      <w:tr w:rsidR="00B64E96" w:rsidRPr="00730B1E" w14:paraId="57E5CE9A" w14:textId="77777777" w:rsidTr="00C95005">
        <w:trPr>
          <w:trHeight w:val="330"/>
        </w:trPr>
        <w:tc>
          <w:tcPr>
            <w:tcW w:w="2480" w:type="dxa"/>
            <w:vMerge/>
            <w:tcBorders>
              <w:top w:val="double" w:sz="6" w:space="0" w:color="auto"/>
              <w:left w:val="nil"/>
              <w:bottom w:val="double" w:sz="6" w:space="0" w:color="000000"/>
              <w:right w:val="nil"/>
            </w:tcBorders>
            <w:vAlign w:val="center"/>
            <w:hideMark/>
          </w:tcPr>
          <w:p w14:paraId="66935F4C" w14:textId="77777777" w:rsidR="00C95005" w:rsidRPr="00730B1E" w:rsidRDefault="00C95005" w:rsidP="00C95005">
            <w:pPr>
              <w:spacing w:line="240" w:lineRule="auto"/>
              <w:jc w:val="left"/>
              <w:rPr>
                <w:rFonts w:eastAsia="Times New Roman"/>
                <w:b/>
                <w:bCs/>
                <w:szCs w:val="24"/>
                <w:lang w:eastAsia="cs-CZ"/>
              </w:rPr>
            </w:pPr>
          </w:p>
        </w:tc>
        <w:tc>
          <w:tcPr>
            <w:tcW w:w="1578" w:type="dxa"/>
            <w:tcBorders>
              <w:top w:val="nil"/>
              <w:left w:val="nil"/>
              <w:bottom w:val="double" w:sz="6" w:space="0" w:color="auto"/>
              <w:right w:val="nil"/>
            </w:tcBorders>
            <w:shd w:val="clear" w:color="auto" w:fill="auto"/>
            <w:noWrap/>
            <w:vAlign w:val="center"/>
            <w:hideMark/>
          </w:tcPr>
          <w:p w14:paraId="3EBBCF82" w14:textId="77777777" w:rsidR="00C95005" w:rsidRPr="00730B1E" w:rsidRDefault="00C95005" w:rsidP="00C95005">
            <w:pPr>
              <w:spacing w:line="240" w:lineRule="auto"/>
              <w:jc w:val="center"/>
              <w:rPr>
                <w:rFonts w:eastAsia="Times New Roman"/>
                <w:b/>
                <w:bCs/>
                <w:szCs w:val="24"/>
                <w:lang w:eastAsia="cs-CZ"/>
              </w:rPr>
            </w:pPr>
            <w:r w:rsidRPr="00730B1E">
              <w:rPr>
                <w:rFonts w:eastAsia="Times New Roman"/>
                <w:b/>
                <w:bCs/>
                <w:szCs w:val="24"/>
                <w:lang w:eastAsia="cs-CZ"/>
              </w:rPr>
              <w:t>Konkurzem</w:t>
            </w:r>
          </w:p>
        </w:tc>
        <w:tc>
          <w:tcPr>
            <w:tcW w:w="1771" w:type="dxa"/>
            <w:tcBorders>
              <w:top w:val="nil"/>
              <w:left w:val="nil"/>
              <w:bottom w:val="double" w:sz="6" w:space="0" w:color="auto"/>
              <w:right w:val="nil"/>
            </w:tcBorders>
            <w:shd w:val="clear" w:color="auto" w:fill="auto"/>
            <w:noWrap/>
            <w:vAlign w:val="center"/>
            <w:hideMark/>
          </w:tcPr>
          <w:p w14:paraId="46149374" w14:textId="77777777" w:rsidR="00C95005" w:rsidRPr="00730B1E" w:rsidRDefault="00C95005" w:rsidP="00C95005">
            <w:pPr>
              <w:spacing w:line="240" w:lineRule="auto"/>
              <w:jc w:val="center"/>
              <w:rPr>
                <w:rFonts w:eastAsia="Times New Roman"/>
                <w:b/>
                <w:bCs/>
                <w:szCs w:val="24"/>
                <w:lang w:eastAsia="cs-CZ"/>
              </w:rPr>
            </w:pPr>
            <w:r w:rsidRPr="00730B1E">
              <w:rPr>
                <w:rFonts w:eastAsia="Times New Roman"/>
                <w:b/>
                <w:bCs/>
                <w:szCs w:val="24"/>
                <w:lang w:eastAsia="cs-CZ"/>
              </w:rPr>
              <w:t>Reorganizací</w:t>
            </w:r>
          </w:p>
        </w:tc>
        <w:tc>
          <w:tcPr>
            <w:tcW w:w="1691" w:type="dxa"/>
            <w:tcBorders>
              <w:top w:val="nil"/>
              <w:left w:val="nil"/>
              <w:bottom w:val="double" w:sz="6" w:space="0" w:color="auto"/>
              <w:right w:val="nil"/>
            </w:tcBorders>
            <w:shd w:val="clear" w:color="auto" w:fill="auto"/>
            <w:noWrap/>
            <w:vAlign w:val="center"/>
            <w:hideMark/>
          </w:tcPr>
          <w:p w14:paraId="1E69B231" w14:textId="77777777" w:rsidR="00C95005" w:rsidRPr="00730B1E" w:rsidRDefault="00C95005" w:rsidP="00C95005">
            <w:pPr>
              <w:spacing w:line="240" w:lineRule="auto"/>
              <w:jc w:val="center"/>
              <w:rPr>
                <w:rFonts w:eastAsia="Times New Roman"/>
                <w:b/>
                <w:bCs/>
                <w:szCs w:val="24"/>
                <w:lang w:eastAsia="cs-CZ"/>
              </w:rPr>
            </w:pPr>
            <w:r w:rsidRPr="00730B1E">
              <w:rPr>
                <w:rFonts w:eastAsia="Times New Roman"/>
                <w:b/>
                <w:bCs/>
                <w:szCs w:val="24"/>
                <w:lang w:eastAsia="cs-CZ"/>
              </w:rPr>
              <w:t>Oddlužením</w:t>
            </w:r>
          </w:p>
        </w:tc>
      </w:tr>
      <w:tr w:rsidR="00B64E96" w:rsidRPr="00730B1E" w14:paraId="426B421D" w14:textId="77777777" w:rsidTr="00C9500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633CAC1" w14:textId="77777777" w:rsidR="00C95005" w:rsidRPr="00730B1E" w:rsidRDefault="00C95005" w:rsidP="00C95005">
            <w:pPr>
              <w:spacing w:line="240" w:lineRule="auto"/>
              <w:jc w:val="left"/>
              <w:rPr>
                <w:rFonts w:eastAsia="Times New Roman"/>
                <w:szCs w:val="24"/>
                <w:lang w:eastAsia="cs-CZ"/>
              </w:rPr>
            </w:pPr>
            <w:r w:rsidRPr="00730B1E">
              <w:rPr>
                <w:rFonts w:eastAsia="Times New Roman"/>
                <w:szCs w:val="24"/>
                <w:lang w:eastAsia="cs-CZ"/>
              </w:rPr>
              <w:t>MS Praha</w:t>
            </w:r>
          </w:p>
        </w:tc>
        <w:tc>
          <w:tcPr>
            <w:tcW w:w="1578" w:type="dxa"/>
            <w:tcBorders>
              <w:top w:val="single" w:sz="4" w:space="0" w:color="auto"/>
              <w:left w:val="nil"/>
              <w:bottom w:val="single" w:sz="4" w:space="0" w:color="auto"/>
              <w:right w:val="nil"/>
            </w:tcBorders>
            <w:shd w:val="clear" w:color="auto" w:fill="auto"/>
            <w:noWrap/>
            <w:vAlign w:val="bottom"/>
            <w:hideMark/>
          </w:tcPr>
          <w:p w14:paraId="2BF61BAA" w14:textId="73B601B9"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13,28</w:t>
            </w:r>
          </w:p>
        </w:tc>
        <w:tc>
          <w:tcPr>
            <w:tcW w:w="1771" w:type="dxa"/>
            <w:tcBorders>
              <w:top w:val="single" w:sz="4" w:space="0" w:color="auto"/>
              <w:left w:val="nil"/>
              <w:bottom w:val="single" w:sz="4" w:space="0" w:color="auto"/>
              <w:right w:val="nil"/>
            </w:tcBorders>
            <w:shd w:val="clear" w:color="auto" w:fill="auto"/>
            <w:noWrap/>
            <w:vAlign w:val="bottom"/>
            <w:hideMark/>
          </w:tcPr>
          <w:p w14:paraId="1B902286" w14:textId="7866D57A"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0,14</w:t>
            </w:r>
          </w:p>
        </w:tc>
        <w:tc>
          <w:tcPr>
            <w:tcW w:w="1691" w:type="dxa"/>
            <w:tcBorders>
              <w:top w:val="single" w:sz="4" w:space="0" w:color="auto"/>
              <w:left w:val="nil"/>
              <w:bottom w:val="single" w:sz="4" w:space="0" w:color="auto"/>
              <w:right w:val="nil"/>
            </w:tcBorders>
            <w:shd w:val="clear" w:color="auto" w:fill="auto"/>
            <w:noWrap/>
            <w:vAlign w:val="bottom"/>
            <w:hideMark/>
          </w:tcPr>
          <w:p w14:paraId="03893963" w14:textId="7837F67E"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86,59</w:t>
            </w:r>
          </w:p>
        </w:tc>
      </w:tr>
      <w:tr w:rsidR="00B64E96" w:rsidRPr="00730B1E" w14:paraId="19E08E09" w14:textId="77777777" w:rsidTr="00C95005">
        <w:trPr>
          <w:trHeight w:val="315"/>
        </w:trPr>
        <w:tc>
          <w:tcPr>
            <w:tcW w:w="2480" w:type="dxa"/>
            <w:tcBorders>
              <w:top w:val="nil"/>
              <w:left w:val="nil"/>
              <w:bottom w:val="single" w:sz="4" w:space="0" w:color="auto"/>
              <w:right w:val="nil"/>
            </w:tcBorders>
            <w:shd w:val="clear" w:color="auto" w:fill="auto"/>
            <w:noWrap/>
            <w:vAlign w:val="bottom"/>
            <w:hideMark/>
          </w:tcPr>
          <w:p w14:paraId="27D42063" w14:textId="77777777" w:rsidR="00C95005" w:rsidRPr="00730B1E" w:rsidRDefault="00C95005" w:rsidP="00C95005">
            <w:pPr>
              <w:spacing w:line="240" w:lineRule="auto"/>
              <w:jc w:val="left"/>
              <w:rPr>
                <w:rFonts w:eastAsia="Times New Roman"/>
                <w:szCs w:val="24"/>
                <w:lang w:eastAsia="cs-CZ"/>
              </w:rPr>
            </w:pPr>
            <w:r w:rsidRPr="00730B1E">
              <w:rPr>
                <w:rFonts w:eastAsia="Times New Roman"/>
                <w:szCs w:val="24"/>
                <w:lang w:eastAsia="cs-CZ"/>
              </w:rPr>
              <w:t>KS Praha</w:t>
            </w:r>
          </w:p>
        </w:tc>
        <w:tc>
          <w:tcPr>
            <w:tcW w:w="1578" w:type="dxa"/>
            <w:tcBorders>
              <w:top w:val="nil"/>
              <w:left w:val="nil"/>
              <w:bottom w:val="single" w:sz="4" w:space="0" w:color="auto"/>
              <w:right w:val="nil"/>
            </w:tcBorders>
            <w:shd w:val="clear" w:color="auto" w:fill="auto"/>
            <w:noWrap/>
            <w:vAlign w:val="bottom"/>
            <w:hideMark/>
          </w:tcPr>
          <w:p w14:paraId="0FEB453E" w14:textId="6CC16DE9"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2,74</w:t>
            </w:r>
          </w:p>
        </w:tc>
        <w:tc>
          <w:tcPr>
            <w:tcW w:w="1771" w:type="dxa"/>
            <w:tcBorders>
              <w:top w:val="nil"/>
              <w:left w:val="nil"/>
              <w:bottom w:val="single" w:sz="4" w:space="0" w:color="auto"/>
              <w:right w:val="nil"/>
            </w:tcBorders>
            <w:shd w:val="clear" w:color="auto" w:fill="auto"/>
            <w:noWrap/>
            <w:vAlign w:val="bottom"/>
            <w:hideMark/>
          </w:tcPr>
          <w:p w14:paraId="4FCC15BE" w14:textId="1B9D99AF"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0,03</w:t>
            </w:r>
          </w:p>
        </w:tc>
        <w:tc>
          <w:tcPr>
            <w:tcW w:w="1691" w:type="dxa"/>
            <w:tcBorders>
              <w:top w:val="nil"/>
              <w:left w:val="nil"/>
              <w:bottom w:val="single" w:sz="4" w:space="0" w:color="auto"/>
              <w:right w:val="nil"/>
            </w:tcBorders>
            <w:shd w:val="clear" w:color="auto" w:fill="auto"/>
            <w:noWrap/>
            <w:vAlign w:val="bottom"/>
            <w:hideMark/>
          </w:tcPr>
          <w:p w14:paraId="636AF908" w14:textId="710A07C3"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97,23</w:t>
            </w:r>
          </w:p>
        </w:tc>
      </w:tr>
      <w:tr w:rsidR="00B64E96" w:rsidRPr="00730B1E" w14:paraId="41D1337C" w14:textId="77777777" w:rsidTr="00C95005">
        <w:trPr>
          <w:trHeight w:val="315"/>
        </w:trPr>
        <w:tc>
          <w:tcPr>
            <w:tcW w:w="2480" w:type="dxa"/>
            <w:tcBorders>
              <w:top w:val="nil"/>
              <w:left w:val="nil"/>
              <w:bottom w:val="single" w:sz="4" w:space="0" w:color="auto"/>
              <w:right w:val="nil"/>
            </w:tcBorders>
            <w:shd w:val="clear" w:color="auto" w:fill="auto"/>
            <w:noWrap/>
            <w:vAlign w:val="bottom"/>
            <w:hideMark/>
          </w:tcPr>
          <w:p w14:paraId="56B5B8D9" w14:textId="77777777" w:rsidR="00C95005" w:rsidRPr="00730B1E" w:rsidRDefault="00C95005" w:rsidP="00C95005">
            <w:pPr>
              <w:spacing w:line="240" w:lineRule="auto"/>
              <w:jc w:val="left"/>
              <w:rPr>
                <w:rFonts w:eastAsia="Times New Roman"/>
                <w:szCs w:val="24"/>
                <w:lang w:eastAsia="cs-CZ"/>
              </w:rPr>
            </w:pPr>
            <w:r w:rsidRPr="00730B1E">
              <w:rPr>
                <w:rFonts w:eastAsia="Times New Roman"/>
                <w:szCs w:val="24"/>
                <w:lang w:eastAsia="cs-CZ"/>
              </w:rPr>
              <w:t>KS Č. Budějovice</w:t>
            </w:r>
          </w:p>
        </w:tc>
        <w:tc>
          <w:tcPr>
            <w:tcW w:w="1578" w:type="dxa"/>
            <w:tcBorders>
              <w:top w:val="nil"/>
              <w:left w:val="nil"/>
              <w:bottom w:val="single" w:sz="4" w:space="0" w:color="auto"/>
              <w:right w:val="nil"/>
            </w:tcBorders>
            <w:shd w:val="clear" w:color="auto" w:fill="auto"/>
            <w:noWrap/>
            <w:vAlign w:val="bottom"/>
            <w:hideMark/>
          </w:tcPr>
          <w:p w14:paraId="148144E9" w14:textId="1A3CC157"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2,79</w:t>
            </w:r>
          </w:p>
        </w:tc>
        <w:tc>
          <w:tcPr>
            <w:tcW w:w="1771" w:type="dxa"/>
            <w:tcBorders>
              <w:top w:val="nil"/>
              <w:left w:val="nil"/>
              <w:bottom w:val="single" w:sz="4" w:space="0" w:color="auto"/>
              <w:right w:val="nil"/>
            </w:tcBorders>
            <w:shd w:val="clear" w:color="auto" w:fill="auto"/>
            <w:noWrap/>
            <w:vAlign w:val="bottom"/>
            <w:hideMark/>
          </w:tcPr>
          <w:p w14:paraId="3E3D5D96" w14:textId="3BECA3AB"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0,02</w:t>
            </w:r>
          </w:p>
        </w:tc>
        <w:tc>
          <w:tcPr>
            <w:tcW w:w="1691" w:type="dxa"/>
            <w:tcBorders>
              <w:top w:val="nil"/>
              <w:left w:val="nil"/>
              <w:bottom w:val="single" w:sz="4" w:space="0" w:color="auto"/>
              <w:right w:val="nil"/>
            </w:tcBorders>
            <w:shd w:val="clear" w:color="auto" w:fill="auto"/>
            <w:noWrap/>
            <w:vAlign w:val="bottom"/>
            <w:hideMark/>
          </w:tcPr>
          <w:p w14:paraId="533C0D25" w14:textId="0AB51105"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97,20</w:t>
            </w:r>
          </w:p>
        </w:tc>
      </w:tr>
      <w:tr w:rsidR="00B64E96" w:rsidRPr="00730B1E" w14:paraId="442DD455" w14:textId="77777777" w:rsidTr="00C95005">
        <w:trPr>
          <w:trHeight w:val="315"/>
        </w:trPr>
        <w:tc>
          <w:tcPr>
            <w:tcW w:w="2480" w:type="dxa"/>
            <w:tcBorders>
              <w:top w:val="nil"/>
              <w:left w:val="nil"/>
              <w:bottom w:val="single" w:sz="4" w:space="0" w:color="auto"/>
              <w:right w:val="nil"/>
            </w:tcBorders>
            <w:shd w:val="clear" w:color="auto" w:fill="auto"/>
            <w:noWrap/>
            <w:vAlign w:val="bottom"/>
            <w:hideMark/>
          </w:tcPr>
          <w:p w14:paraId="11B0FD3B" w14:textId="77777777" w:rsidR="00C95005" w:rsidRPr="00730B1E" w:rsidRDefault="00C95005" w:rsidP="00C95005">
            <w:pPr>
              <w:spacing w:line="240" w:lineRule="auto"/>
              <w:jc w:val="left"/>
              <w:rPr>
                <w:rFonts w:eastAsia="Times New Roman"/>
                <w:szCs w:val="24"/>
                <w:lang w:eastAsia="cs-CZ"/>
              </w:rPr>
            </w:pPr>
            <w:r w:rsidRPr="00730B1E">
              <w:rPr>
                <w:rFonts w:eastAsia="Times New Roman"/>
                <w:szCs w:val="24"/>
                <w:lang w:eastAsia="cs-CZ"/>
              </w:rPr>
              <w:t>KS Plzeň</w:t>
            </w:r>
          </w:p>
        </w:tc>
        <w:tc>
          <w:tcPr>
            <w:tcW w:w="1578" w:type="dxa"/>
            <w:tcBorders>
              <w:top w:val="nil"/>
              <w:left w:val="nil"/>
              <w:bottom w:val="single" w:sz="4" w:space="0" w:color="auto"/>
              <w:right w:val="nil"/>
            </w:tcBorders>
            <w:shd w:val="clear" w:color="auto" w:fill="auto"/>
            <w:noWrap/>
            <w:vAlign w:val="bottom"/>
            <w:hideMark/>
          </w:tcPr>
          <w:p w14:paraId="4DEF8A76" w14:textId="324E6299"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2,58</w:t>
            </w:r>
          </w:p>
        </w:tc>
        <w:tc>
          <w:tcPr>
            <w:tcW w:w="1771" w:type="dxa"/>
            <w:tcBorders>
              <w:top w:val="nil"/>
              <w:left w:val="nil"/>
              <w:bottom w:val="single" w:sz="4" w:space="0" w:color="auto"/>
              <w:right w:val="nil"/>
            </w:tcBorders>
            <w:shd w:val="clear" w:color="auto" w:fill="auto"/>
            <w:noWrap/>
            <w:vAlign w:val="bottom"/>
            <w:hideMark/>
          </w:tcPr>
          <w:p w14:paraId="799FBC63" w14:textId="41CAA692"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0,00</w:t>
            </w:r>
          </w:p>
        </w:tc>
        <w:tc>
          <w:tcPr>
            <w:tcW w:w="1691" w:type="dxa"/>
            <w:tcBorders>
              <w:top w:val="nil"/>
              <w:left w:val="nil"/>
              <w:bottom w:val="single" w:sz="4" w:space="0" w:color="auto"/>
              <w:right w:val="nil"/>
            </w:tcBorders>
            <w:shd w:val="clear" w:color="auto" w:fill="auto"/>
            <w:noWrap/>
            <w:vAlign w:val="bottom"/>
            <w:hideMark/>
          </w:tcPr>
          <w:p w14:paraId="000B14E9" w14:textId="3E238520"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97,42</w:t>
            </w:r>
          </w:p>
        </w:tc>
      </w:tr>
      <w:tr w:rsidR="00B64E96" w:rsidRPr="00730B1E" w14:paraId="0CB7FDE7" w14:textId="77777777" w:rsidTr="00C95005">
        <w:trPr>
          <w:trHeight w:val="315"/>
        </w:trPr>
        <w:tc>
          <w:tcPr>
            <w:tcW w:w="2480" w:type="dxa"/>
            <w:tcBorders>
              <w:top w:val="nil"/>
              <w:left w:val="nil"/>
              <w:bottom w:val="single" w:sz="4" w:space="0" w:color="auto"/>
              <w:right w:val="nil"/>
            </w:tcBorders>
            <w:shd w:val="clear" w:color="auto" w:fill="auto"/>
            <w:noWrap/>
            <w:vAlign w:val="bottom"/>
            <w:hideMark/>
          </w:tcPr>
          <w:p w14:paraId="2D37A8BB" w14:textId="77777777" w:rsidR="00C95005" w:rsidRPr="00730B1E" w:rsidRDefault="00C95005" w:rsidP="00C95005">
            <w:pPr>
              <w:spacing w:line="240" w:lineRule="auto"/>
              <w:jc w:val="left"/>
              <w:rPr>
                <w:rFonts w:eastAsia="Times New Roman"/>
                <w:szCs w:val="24"/>
                <w:lang w:eastAsia="cs-CZ"/>
              </w:rPr>
            </w:pPr>
            <w:r w:rsidRPr="00730B1E">
              <w:rPr>
                <w:rFonts w:eastAsia="Times New Roman"/>
                <w:szCs w:val="24"/>
                <w:lang w:eastAsia="cs-CZ"/>
              </w:rPr>
              <w:t>KS Ústí n. Labem</w:t>
            </w:r>
          </w:p>
        </w:tc>
        <w:tc>
          <w:tcPr>
            <w:tcW w:w="1578" w:type="dxa"/>
            <w:tcBorders>
              <w:top w:val="nil"/>
              <w:left w:val="nil"/>
              <w:bottom w:val="single" w:sz="4" w:space="0" w:color="auto"/>
              <w:right w:val="nil"/>
            </w:tcBorders>
            <w:shd w:val="clear" w:color="auto" w:fill="auto"/>
            <w:noWrap/>
            <w:vAlign w:val="bottom"/>
            <w:hideMark/>
          </w:tcPr>
          <w:p w14:paraId="4B50EBF8" w14:textId="4BDAF342"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1,92</w:t>
            </w:r>
          </w:p>
        </w:tc>
        <w:tc>
          <w:tcPr>
            <w:tcW w:w="1771" w:type="dxa"/>
            <w:tcBorders>
              <w:top w:val="nil"/>
              <w:left w:val="nil"/>
              <w:bottom w:val="single" w:sz="4" w:space="0" w:color="auto"/>
              <w:right w:val="nil"/>
            </w:tcBorders>
            <w:shd w:val="clear" w:color="auto" w:fill="auto"/>
            <w:noWrap/>
            <w:vAlign w:val="bottom"/>
            <w:hideMark/>
          </w:tcPr>
          <w:p w14:paraId="7A79615B" w14:textId="534E1D49"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0,01</w:t>
            </w:r>
          </w:p>
        </w:tc>
        <w:tc>
          <w:tcPr>
            <w:tcW w:w="1691" w:type="dxa"/>
            <w:tcBorders>
              <w:top w:val="nil"/>
              <w:left w:val="nil"/>
              <w:bottom w:val="single" w:sz="4" w:space="0" w:color="auto"/>
              <w:right w:val="nil"/>
            </w:tcBorders>
            <w:shd w:val="clear" w:color="auto" w:fill="auto"/>
            <w:noWrap/>
            <w:vAlign w:val="bottom"/>
            <w:hideMark/>
          </w:tcPr>
          <w:p w14:paraId="1D98DF37" w14:textId="3594D2C3"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98,07</w:t>
            </w:r>
          </w:p>
        </w:tc>
      </w:tr>
      <w:tr w:rsidR="00B64E96" w:rsidRPr="00730B1E" w14:paraId="3A0A1F89" w14:textId="77777777" w:rsidTr="00C95005">
        <w:trPr>
          <w:trHeight w:val="315"/>
        </w:trPr>
        <w:tc>
          <w:tcPr>
            <w:tcW w:w="2480" w:type="dxa"/>
            <w:tcBorders>
              <w:top w:val="nil"/>
              <w:left w:val="nil"/>
              <w:bottom w:val="single" w:sz="4" w:space="0" w:color="auto"/>
              <w:right w:val="nil"/>
            </w:tcBorders>
            <w:shd w:val="clear" w:color="auto" w:fill="auto"/>
            <w:noWrap/>
            <w:vAlign w:val="bottom"/>
            <w:hideMark/>
          </w:tcPr>
          <w:p w14:paraId="09942DE2" w14:textId="77777777" w:rsidR="00C95005" w:rsidRPr="00730B1E" w:rsidRDefault="00C95005" w:rsidP="00C95005">
            <w:pPr>
              <w:spacing w:line="240" w:lineRule="auto"/>
              <w:jc w:val="left"/>
              <w:rPr>
                <w:rFonts w:eastAsia="Times New Roman"/>
                <w:szCs w:val="24"/>
                <w:lang w:eastAsia="cs-CZ"/>
              </w:rPr>
            </w:pPr>
            <w:r w:rsidRPr="00730B1E">
              <w:rPr>
                <w:rFonts w:eastAsia="Times New Roman"/>
                <w:szCs w:val="24"/>
                <w:lang w:eastAsia="cs-CZ"/>
              </w:rPr>
              <w:t>KS Hr. Králové</w:t>
            </w:r>
          </w:p>
        </w:tc>
        <w:tc>
          <w:tcPr>
            <w:tcW w:w="1578" w:type="dxa"/>
            <w:tcBorders>
              <w:top w:val="nil"/>
              <w:left w:val="nil"/>
              <w:bottom w:val="single" w:sz="4" w:space="0" w:color="auto"/>
              <w:right w:val="nil"/>
            </w:tcBorders>
            <w:shd w:val="clear" w:color="auto" w:fill="auto"/>
            <w:noWrap/>
            <w:vAlign w:val="bottom"/>
            <w:hideMark/>
          </w:tcPr>
          <w:p w14:paraId="14B0FBF7" w14:textId="551B669C"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2,67</w:t>
            </w:r>
          </w:p>
        </w:tc>
        <w:tc>
          <w:tcPr>
            <w:tcW w:w="1771" w:type="dxa"/>
            <w:tcBorders>
              <w:top w:val="nil"/>
              <w:left w:val="nil"/>
              <w:bottom w:val="single" w:sz="4" w:space="0" w:color="auto"/>
              <w:right w:val="nil"/>
            </w:tcBorders>
            <w:shd w:val="clear" w:color="auto" w:fill="auto"/>
            <w:noWrap/>
            <w:vAlign w:val="bottom"/>
            <w:hideMark/>
          </w:tcPr>
          <w:p w14:paraId="64BEE36F" w14:textId="7EEA58EE"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0,04</w:t>
            </w:r>
          </w:p>
        </w:tc>
        <w:tc>
          <w:tcPr>
            <w:tcW w:w="1691" w:type="dxa"/>
            <w:tcBorders>
              <w:top w:val="nil"/>
              <w:left w:val="nil"/>
              <w:bottom w:val="single" w:sz="4" w:space="0" w:color="auto"/>
              <w:right w:val="nil"/>
            </w:tcBorders>
            <w:shd w:val="clear" w:color="auto" w:fill="auto"/>
            <w:noWrap/>
            <w:vAlign w:val="bottom"/>
            <w:hideMark/>
          </w:tcPr>
          <w:p w14:paraId="0A27F5B7" w14:textId="0657A1E3"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97,29</w:t>
            </w:r>
          </w:p>
        </w:tc>
      </w:tr>
      <w:tr w:rsidR="00B64E96" w:rsidRPr="00730B1E" w14:paraId="44DF6C99" w14:textId="77777777" w:rsidTr="00C95005">
        <w:trPr>
          <w:trHeight w:val="315"/>
        </w:trPr>
        <w:tc>
          <w:tcPr>
            <w:tcW w:w="2480" w:type="dxa"/>
            <w:tcBorders>
              <w:top w:val="nil"/>
              <w:left w:val="nil"/>
              <w:bottom w:val="single" w:sz="4" w:space="0" w:color="auto"/>
              <w:right w:val="nil"/>
            </w:tcBorders>
            <w:shd w:val="clear" w:color="auto" w:fill="auto"/>
            <w:noWrap/>
            <w:vAlign w:val="bottom"/>
            <w:hideMark/>
          </w:tcPr>
          <w:p w14:paraId="31688B22" w14:textId="77777777" w:rsidR="00C95005" w:rsidRPr="00730B1E" w:rsidRDefault="00C95005" w:rsidP="00C95005">
            <w:pPr>
              <w:spacing w:line="240" w:lineRule="auto"/>
              <w:jc w:val="left"/>
              <w:rPr>
                <w:rFonts w:eastAsia="Times New Roman"/>
                <w:szCs w:val="24"/>
                <w:lang w:eastAsia="cs-CZ"/>
              </w:rPr>
            </w:pPr>
            <w:r w:rsidRPr="00730B1E">
              <w:rPr>
                <w:rFonts w:eastAsia="Times New Roman"/>
                <w:szCs w:val="24"/>
                <w:lang w:eastAsia="cs-CZ"/>
              </w:rPr>
              <w:t>KS Brno</w:t>
            </w:r>
          </w:p>
        </w:tc>
        <w:tc>
          <w:tcPr>
            <w:tcW w:w="1578" w:type="dxa"/>
            <w:tcBorders>
              <w:top w:val="nil"/>
              <w:left w:val="nil"/>
              <w:bottom w:val="single" w:sz="4" w:space="0" w:color="auto"/>
              <w:right w:val="nil"/>
            </w:tcBorders>
            <w:shd w:val="clear" w:color="auto" w:fill="auto"/>
            <w:noWrap/>
            <w:vAlign w:val="bottom"/>
            <w:hideMark/>
          </w:tcPr>
          <w:p w14:paraId="12AE7251" w14:textId="36EF485C"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4,54</w:t>
            </w:r>
          </w:p>
        </w:tc>
        <w:tc>
          <w:tcPr>
            <w:tcW w:w="1771" w:type="dxa"/>
            <w:tcBorders>
              <w:top w:val="nil"/>
              <w:left w:val="nil"/>
              <w:bottom w:val="single" w:sz="4" w:space="0" w:color="auto"/>
              <w:right w:val="nil"/>
            </w:tcBorders>
            <w:shd w:val="clear" w:color="auto" w:fill="auto"/>
            <w:noWrap/>
            <w:vAlign w:val="bottom"/>
            <w:hideMark/>
          </w:tcPr>
          <w:p w14:paraId="49645488" w14:textId="69CF9D14"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0,05</w:t>
            </w:r>
          </w:p>
        </w:tc>
        <w:tc>
          <w:tcPr>
            <w:tcW w:w="1691" w:type="dxa"/>
            <w:tcBorders>
              <w:top w:val="nil"/>
              <w:left w:val="nil"/>
              <w:bottom w:val="single" w:sz="4" w:space="0" w:color="auto"/>
              <w:right w:val="nil"/>
            </w:tcBorders>
            <w:shd w:val="clear" w:color="auto" w:fill="auto"/>
            <w:noWrap/>
            <w:vAlign w:val="bottom"/>
            <w:hideMark/>
          </w:tcPr>
          <w:p w14:paraId="290BCDB5" w14:textId="4C0488AA"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95,41</w:t>
            </w:r>
          </w:p>
        </w:tc>
      </w:tr>
      <w:tr w:rsidR="00B64E96" w:rsidRPr="00730B1E" w14:paraId="13BBC336" w14:textId="77777777" w:rsidTr="00C95005">
        <w:trPr>
          <w:trHeight w:val="330"/>
        </w:trPr>
        <w:tc>
          <w:tcPr>
            <w:tcW w:w="2480" w:type="dxa"/>
            <w:tcBorders>
              <w:top w:val="nil"/>
              <w:left w:val="nil"/>
              <w:bottom w:val="double" w:sz="6" w:space="0" w:color="auto"/>
              <w:right w:val="nil"/>
            </w:tcBorders>
            <w:shd w:val="clear" w:color="auto" w:fill="auto"/>
            <w:noWrap/>
            <w:vAlign w:val="bottom"/>
            <w:hideMark/>
          </w:tcPr>
          <w:p w14:paraId="4A560D3D" w14:textId="77777777" w:rsidR="00C95005" w:rsidRPr="00730B1E" w:rsidRDefault="00C95005" w:rsidP="00C95005">
            <w:pPr>
              <w:spacing w:line="240" w:lineRule="auto"/>
              <w:jc w:val="left"/>
              <w:rPr>
                <w:rFonts w:eastAsia="Times New Roman"/>
                <w:szCs w:val="24"/>
                <w:lang w:eastAsia="cs-CZ"/>
              </w:rPr>
            </w:pPr>
            <w:r w:rsidRPr="00730B1E">
              <w:rPr>
                <w:rFonts w:eastAsia="Times New Roman"/>
                <w:szCs w:val="24"/>
                <w:lang w:eastAsia="cs-CZ"/>
              </w:rPr>
              <w:t>KS Ostrava</w:t>
            </w:r>
          </w:p>
        </w:tc>
        <w:tc>
          <w:tcPr>
            <w:tcW w:w="1578" w:type="dxa"/>
            <w:tcBorders>
              <w:top w:val="nil"/>
              <w:left w:val="nil"/>
              <w:bottom w:val="double" w:sz="6" w:space="0" w:color="auto"/>
              <w:right w:val="nil"/>
            </w:tcBorders>
            <w:shd w:val="clear" w:color="auto" w:fill="auto"/>
            <w:noWrap/>
            <w:vAlign w:val="bottom"/>
            <w:hideMark/>
          </w:tcPr>
          <w:p w14:paraId="6246A6F6" w14:textId="28EE2788"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2,62</w:t>
            </w:r>
          </w:p>
        </w:tc>
        <w:tc>
          <w:tcPr>
            <w:tcW w:w="1771" w:type="dxa"/>
            <w:tcBorders>
              <w:top w:val="nil"/>
              <w:left w:val="nil"/>
              <w:bottom w:val="double" w:sz="6" w:space="0" w:color="auto"/>
              <w:right w:val="nil"/>
            </w:tcBorders>
            <w:shd w:val="clear" w:color="auto" w:fill="auto"/>
            <w:noWrap/>
            <w:vAlign w:val="bottom"/>
            <w:hideMark/>
          </w:tcPr>
          <w:p w14:paraId="4B802859" w14:textId="7042B821"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0,03</w:t>
            </w:r>
          </w:p>
        </w:tc>
        <w:tc>
          <w:tcPr>
            <w:tcW w:w="1691" w:type="dxa"/>
            <w:tcBorders>
              <w:top w:val="nil"/>
              <w:left w:val="nil"/>
              <w:bottom w:val="double" w:sz="6" w:space="0" w:color="auto"/>
              <w:right w:val="nil"/>
            </w:tcBorders>
            <w:shd w:val="clear" w:color="auto" w:fill="auto"/>
            <w:noWrap/>
            <w:vAlign w:val="bottom"/>
            <w:hideMark/>
          </w:tcPr>
          <w:p w14:paraId="0E98B746" w14:textId="47F094DC" w:rsidR="00C95005" w:rsidRPr="00730B1E" w:rsidRDefault="00C95005" w:rsidP="00C95005">
            <w:pPr>
              <w:spacing w:line="240" w:lineRule="auto"/>
              <w:jc w:val="center"/>
              <w:rPr>
                <w:rFonts w:eastAsia="Times New Roman"/>
                <w:szCs w:val="24"/>
                <w:lang w:eastAsia="cs-CZ"/>
              </w:rPr>
            </w:pPr>
            <w:r w:rsidRPr="00730B1E">
              <w:rPr>
                <w:rFonts w:eastAsia="Times New Roman"/>
                <w:szCs w:val="24"/>
                <w:lang w:eastAsia="cs-CZ"/>
              </w:rPr>
              <w:t>97,35</w:t>
            </w:r>
          </w:p>
        </w:tc>
      </w:tr>
      <w:tr w:rsidR="00B64E96" w:rsidRPr="00730B1E" w14:paraId="2843C2B1" w14:textId="77777777" w:rsidTr="00C95005">
        <w:trPr>
          <w:trHeight w:val="345"/>
        </w:trPr>
        <w:tc>
          <w:tcPr>
            <w:tcW w:w="2480" w:type="dxa"/>
            <w:tcBorders>
              <w:top w:val="nil"/>
              <w:left w:val="nil"/>
              <w:bottom w:val="double" w:sz="6" w:space="0" w:color="auto"/>
              <w:right w:val="nil"/>
            </w:tcBorders>
            <w:shd w:val="clear" w:color="auto" w:fill="auto"/>
            <w:noWrap/>
            <w:vAlign w:val="bottom"/>
            <w:hideMark/>
          </w:tcPr>
          <w:p w14:paraId="253CACBC" w14:textId="77777777" w:rsidR="00C95005" w:rsidRPr="00730B1E" w:rsidRDefault="00C95005" w:rsidP="00C95005">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578" w:type="dxa"/>
            <w:tcBorders>
              <w:top w:val="nil"/>
              <w:left w:val="nil"/>
              <w:bottom w:val="double" w:sz="6" w:space="0" w:color="auto"/>
              <w:right w:val="nil"/>
            </w:tcBorders>
            <w:shd w:val="clear" w:color="auto" w:fill="auto"/>
            <w:noWrap/>
            <w:vAlign w:val="bottom"/>
            <w:hideMark/>
          </w:tcPr>
          <w:p w14:paraId="23BB7207" w14:textId="4C7051D9" w:rsidR="00C95005" w:rsidRPr="00730B1E" w:rsidRDefault="00C95005" w:rsidP="00C95005">
            <w:pPr>
              <w:spacing w:line="240" w:lineRule="auto"/>
              <w:jc w:val="center"/>
              <w:rPr>
                <w:rFonts w:eastAsia="Times New Roman"/>
                <w:b/>
                <w:bCs/>
                <w:szCs w:val="24"/>
                <w:lang w:eastAsia="cs-CZ"/>
              </w:rPr>
            </w:pPr>
            <w:r w:rsidRPr="00730B1E">
              <w:rPr>
                <w:rFonts w:eastAsia="Times New Roman"/>
                <w:b/>
                <w:bCs/>
                <w:szCs w:val="24"/>
                <w:lang w:eastAsia="cs-CZ"/>
              </w:rPr>
              <w:t>3,85</w:t>
            </w:r>
          </w:p>
        </w:tc>
        <w:tc>
          <w:tcPr>
            <w:tcW w:w="1771" w:type="dxa"/>
            <w:tcBorders>
              <w:top w:val="nil"/>
              <w:left w:val="nil"/>
              <w:bottom w:val="double" w:sz="6" w:space="0" w:color="auto"/>
              <w:right w:val="nil"/>
            </w:tcBorders>
            <w:shd w:val="clear" w:color="auto" w:fill="auto"/>
            <w:noWrap/>
            <w:vAlign w:val="bottom"/>
            <w:hideMark/>
          </w:tcPr>
          <w:p w14:paraId="69124631" w14:textId="17080659" w:rsidR="00C95005" w:rsidRPr="00730B1E" w:rsidRDefault="00C95005" w:rsidP="00C95005">
            <w:pPr>
              <w:spacing w:line="240" w:lineRule="auto"/>
              <w:jc w:val="center"/>
              <w:rPr>
                <w:rFonts w:eastAsia="Times New Roman"/>
                <w:b/>
                <w:bCs/>
                <w:szCs w:val="24"/>
                <w:lang w:eastAsia="cs-CZ"/>
              </w:rPr>
            </w:pPr>
            <w:r w:rsidRPr="00730B1E">
              <w:rPr>
                <w:rFonts w:eastAsia="Times New Roman"/>
                <w:b/>
                <w:bCs/>
                <w:szCs w:val="24"/>
                <w:lang w:eastAsia="cs-CZ"/>
              </w:rPr>
              <w:t>0,04</w:t>
            </w:r>
          </w:p>
        </w:tc>
        <w:tc>
          <w:tcPr>
            <w:tcW w:w="1691" w:type="dxa"/>
            <w:tcBorders>
              <w:top w:val="nil"/>
              <w:left w:val="nil"/>
              <w:bottom w:val="double" w:sz="6" w:space="0" w:color="auto"/>
              <w:right w:val="nil"/>
            </w:tcBorders>
            <w:shd w:val="clear" w:color="auto" w:fill="auto"/>
            <w:noWrap/>
            <w:vAlign w:val="bottom"/>
            <w:hideMark/>
          </w:tcPr>
          <w:p w14:paraId="7D1BA2DC" w14:textId="4CD45052" w:rsidR="00C95005" w:rsidRPr="00730B1E" w:rsidRDefault="00C95005" w:rsidP="00C95005">
            <w:pPr>
              <w:spacing w:line="240" w:lineRule="auto"/>
              <w:jc w:val="center"/>
              <w:rPr>
                <w:rFonts w:eastAsia="Times New Roman"/>
                <w:b/>
                <w:bCs/>
                <w:szCs w:val="24"/>
                <w:lang w:eastAsia="cs-CZ"/>
              </w:rPr>
            </w:pPr>
            <w:r w:rsidRPr="00730B1E">
              <w:rPr>
                <w:rFonts w:eastAsia="Times New Roman"/>
                <w:b/>
                <w:bCs/>
                <w:szCs w:val="24"/>
                <w:lang w:eastAsia="cs-CZ"/>
              </w:rPr>
              <w:t>96,11</w:t>
            </w:r>
          </w:p>
        </w:tc>
      </w:tr>
      <w:tr w:rsidR="00B64E96" w:rsidRPr="00730B1E" w14:paraId="288BFD46" w14:textId="77777777" w:rsidTr="00C95005">
        <w:trPr>
          <w:trHeight w:val="330"/>
        </w:trPr>
        <w:tc>
          <w:tcPr>
            <w:tcW w:w="2480" w:type="dxa"/>
            <w:tcBorders>
              <w:top w:val="nil"/>
              <w:left w:val="nil"/>
              <w:bottom w:val="nil"/>
              <w:right w:val="nil"/>
            </w:tcBorders>
            <w:shd w:val="clear" w:color="auto" w:fill="auto"/>
            <w:noWrap/>
            <w:vAlign w:val="bottom"/>
            <w:hideMark/>
          </w:tcPr>
          <w:p w14:paraId="4A90C203" w14:textId="77777777" w:rsidR="00C95005" w:rsidRPr="00730B1E" w:rsidRDefault="00C95005" w:rsidP="00C95005">
            <w:pPr>
              <w:spacing w:line="240" w:lineRule="auto"/>
              <w:jc w:val="center"/>
              <w:rPr>
                <w:rFonts w:eastAsia="Times New Roman"/>
                <w:b/>
                <w:bCs/>
                <w:szCs w:val="24"/>
                <w:lang w:eastAsia="cs-CZ"/>
              </w:rPr>
            </w:pPr>
          </w:p>
        </w:tc>
        <w:tc>
          <w:tcPr>
            <w:tcW w:w="1578" w:type="dxa"/>
            <w:tcBorders>
              <w:top w:val="nil"/>
              <w:left w:val="nil"/>
              <w:bottom w:val="nil"/>
              <w:right w:val="nil"/>
            </w:tcBorders>
            <w:shd w:val="clear" w:color="auto" w:fill="auto"/>
            <w:noWrap/>
            <w:vAlign w:val="bottom"/>
            <w:hideMark/>
          </w:tcPr>
          <w:p w14:paraId="2E6FD265" w14:textId="77777777" w:rsidR="00C95005" w:rsidRPr="00DF07F3" w:rsidRDefault="00C95005" w:rsidP="00C95005">
            <w:pPr>
              <w:spacing w:line="240" w:lineRule="auto"/>
              <w:jc w:val="left"/>
              <w:rPr>
                <w:sz w:val="20"/>
              </w:rPr>
            </w:pPr>
          </w:p>
        </w:tc>
        <w:tc>
          <w:tcPr>
            <w:tcW w:w="1771" w:type="dxa"/>
            <w:tcBorders>
              <w:top w:val="nil"/>
              <w:left w:val="nil"/>
              <w:bottom w:val="nil"/>
              <w:right w:val="nil"/>
            </w:tcBorders>
            <w:shd w:val="clear" w:color="auto" w:fill="auto"/>
            <w:noWrap/>
            <w:vAlign w:val="bottom"/>
            <w:hideMark/>
          </w:tcPr>
          <w:p w14:paraId="12E73659" w14:textId="77777777" w:rsidR="00C95005" w:rsidRPr="00DF07F3" w:rsidRDefault="00C95005" w:rsidP="00C95005">
            <w:pPr>
              <w:spacing w:line="240" w:lineRule="auto"/>
              <w:jc w:val="left"/>
              <w:rPr>
                <w:sz w:val="20"/>
              </w:rPr>
            </w:pPr>
          </w:p>
        </w:tc>
        <w:tc>
          <w:tcPr>
            <w:tcW w:w="1691" w:type="dxa"/>
            <w:tcBorders>
              <w:top w:val="nil"/>
              <w:left w:val="nil"/>
              <w:bottom w:val="nil"/>
              <w:right w:val="nil"/>
            </w:tcBorders>
            <w:shd w:val="clear" w:color="auto" w:fill="auto"/>
            <w:noWrap/>
            <w:vAlign w:val="bottom"/>
            <w:hideMark/>
          </w:tcPr>
          <w:p w14:paraId="4B1CBD03" w14:textId="77777777" w:rsidR="00C95005" w:rsidRPr="00DF07F3" w:rsidRDefault="00C95005" w:rsidP="00C95005">
            <w:pPr>
              <w:spacing w:line="240" w:lineRule="auto"/>
              <w:jc w:val="left"/>
              <w:rPr>
                <w:sz w:val="20"/>
              </w:rPr>
            </w:pPr>
          </w:p>
        </w:tc>
      </w:tr>
    </w:tbl>
    <w:p w14:paraId="5E48401F" w14:textId="7FB3C78A" w:rsidR="00C95005" w:rsidRPr="00730B1E" w:rsidRDefault="00C95005" w:rsidP="00C95005">
      <w:pPr>
        <w:pStyle w:val="OdstavecASR"/>
      </w:pPr>
      <w:r w:rsidRPr="00730B1E">
        <w:t xml:space="preserve">Naprosté minimum věcí se řeší reorganizací a pouze necelých 4 % věcí se řeší konkursem (ve většině případů se jedná o řešení úpadku právnických osob). V roce 2022 klesl podíl úpadků řešených konkursem o 0,4 </w:t>
      </w:r>
      <w:r w:rsidR="00606356" w:rsidRPr="00730B1E">
        <w:t>p.b.</w:t>
      </w:r>
      <w:r w:rsidRPr="00730B1E">
        <w:t>, předchozí rok to bylo o</w:t>
      </w:r>
      <w:r w:rsidR="00D04325" w:rsidRPr="00730B1E">
        <w:t xml:space="preserve"> 0,6</w:t>
      </w:r>
      <w:r w:rsidRPr="00730B1E">
        <w:t xml:space="preserve"> </w:t>
      </w:r>
      <w:r w:rsidR="00606356" w:rsidRPr="00730B1E">
        <w:t>p.b.</w:t>
      </w:r>
      <w:r w:rsidRPr="00730B1E">
        <w:t xml:space="preserve"> V roce 2020 se jednalo o pokles o 0,9 p.b. a v roce 2019 byl pokles asi o 1,4 p.b. V roce 2018 to bylo o 1,6 p.b. a rozdíl mezi rokem 2016 a 2017 byl 1,5 p.b. Mezi rokem 2016 a rokem 2022 tedy klesl podíl věcí řešených konkurzem </w:t>
      </w:r>
      <w:r w:rsidRPr="00730B1E">
        <w:lastRenderedPageBreak/>
        <w:t>o 6,4 </w:t>
      </w:r>
      <w:r w:rsidR="00606356" w:rsidRPr="00730B1E">
        <w:t>p.b.</w:t>
      </w:r>
      <w:r w:rsidRPr="00730B1E">
        <w:t xml:space="preserve"> Rok 2023 je první po šesti letech, kdy prakticky k žádnému poklesu nedošlo (pouze o 0,06</w:t>
      </w:r>
      <w:r w:rsidR="00606356" w:rsidRPr="00730B1E">
        <w:t xml:space="preserve"> p.b.</w:t>
      </w:r>
      <w:r w:rsidRPr="00730B1E">
        <w:t>).</w:t>
      </w:r>
    </w:p>
    <w:p w14:paraId="14D0C699" w14:textId="3A3DB02F" w:rsidR="00C95005" w:rsidRPr="00730B1E" w:rsidRDefault="00C95005" w:rsidP="00C95005">
      <w:pPr>
        <w:pStyle w:val="OdstavecASR"/>
      </w:pPr>
      <w:r w:rsidRPr="00730B1E">
        <w:t>Velmi zajímavé jsou rozdíly mezi jednotlivými soudy. Největší podíl úpadků řešených konkursem má suverénně Praha (asi třikrát více než je celorepublikový průměr), nejmenší naopak KS Ústí nad Labem. To je dáno zejména tím, že v Praze sídlí velké množství společností a koncentrují se zde tedy podnikatelské úpadky, zároveň je zde oproti ekonomicky slabším regionům relativně menší množství spotřebitelů ohrožených insolvencí.</w:t>
      </w:r>
    </w:p>
    <w:p w14:paraId="79758231" w14:textId="77777777" w:rsidR="00C95005" w:rsidRPr="00730B1E" w:rsidRDefault="00C95005">
      <w:pPr>
        <w:spacing w:after="160" w:line="259" w:lineRule="auto"/>
        <w:jc w:val="left"/>
      </w:pPr>
      <w:r w:rsidRPr="00730B1E">
        <w:br w:type="page"/>
      </w:r>
    </w:p>
    <w:p w14:paraId="49865EAE" w14:textId="73924D43" w:rsidR="008430BD" w:rsidRPr="00730B1E" w:rsidRDefault="008430BD" w:rsidP="008430BD">
      <w:pPr>
        <w:pStyle w:val="Nadpis2"/>
        <w:numPr>
          <w:ilvl w:val="1"/>
          <w:numId w:val="1"/>
        </w:numPr>
        <w:spacing w:before="120"/>
        <w:rPr>
          <w:color w:val="auto"/>
        </w:rPr>
      </w:pPr>
      <w:bookmarkStart w:id="1242" w:name="_Toc106092784"/>
      <w:bookmarkStart w:id="1243" w:name="_Toc169250860"/>
      <w:bookmarkStart w:id="1244" w:name="_Toc174080896"/>
      <w:r w:rsidRPr="00730B1E">
        <w:rPr>
          <w:color w:val="auto"/>
        </w:rPr>
        <w:lastRenderedPageBreak/>
        <w:t>Incidenční spory</w:t>
      </w:r>
      <w:bookmarkEnd w:id="1242"/>
      <w:bookmarkEnd w:id="1243"/>
      <w:bookmarkEnd w:id="1244"/>
    </w:p>
    <w:p w14:paraId="1E5FE2DB" w14:textId="77777777" w:rsidR="00936BCD" w:rsidRPr="00730B1E" w:rsidRDefault="00936BCD" w:rsidP="00936BCD">
      <w:pPr>
        <w:pStyle w:val="OdstavecASR"/>
      </w:pPr>
      <w:r w:rsidRPr="00730B1E">
        <w:t>Od roku 2019 jsou ve výroční statistické zprávě rovněž diskutovány tzv. incidenční spory. Jedná se o spory vyvolané insolvenčním řízením a projednávané v jeho rámci. Incidenční spory jsou definovány v insolvenčním zákoně (zákon č. 182/2006 Sb.) a jsou jimi například:</w:t>
      </w:r>
    </w:p>
    <w:p w14:paraId="5F8EA913" w14:textId="77777777" w:rsidR="00936BCD" w:rsidRPr="00730B1E" w:rsidRDefault="00936BCD" w:rsidP="00A94F8F">
      <w:pPr>
        <w:pStyle w:val="Odstavecseseznamem"/>
        <w:numPr>
          <w:ilvl w:val="0"/>
          <w:numId w:val="15"/>
        </w:numPr>
        <w:spacing w:before="60" w:after="120"/>
        <w:ind w:left="714" w:hanging="357"/>
      </w:pPr>
      <w:r w:rsidRPr="00730B1E">
        <w:t>spory o pravost, výši nebo pořadí přihlášených pohledávek,</w:t>
      </w:r>
    </w:p>
    <w:p w14:paraId="7EF91C9C" w14:textId="77777777" w:rsidR="00936BCD" w:rsidRPr="00730B1E" w:rsidRDefault="00936BCD" w:rsidP="00A94F8F">
      <w:pPr>
        <w:pStyle w:val="Odstavecseseznamem"/>
        <w:numPr>
          <w:ilvl w:val="0"/>
          <w:numId w:val="15"/>
        </w:numPr>
        <w:spacing w:before="60" w:after="120"/>
        <w:ind w:left="714" w:hanging="357"/>
      </w:pPr>
      <w:r w:rsidRPr="00730B1E">
        <w:t>spory o vypořádání společného jmění dlužníka a jeho manžela,</w:t>
      </w:r>
    </w:p>
    <w:p w14:paraId="35CB7D4A" w14:textId="77777777" w:rsidR="00936BCD" w:rsidRPr="00730B1E" w:rsidRDefault="00936BCD" w:rsidP="00A94F8F">
      <w:pPr>
        <w:pStyle w:val="Odstavecseseznamem"/>
        <w:numPr>
          <w:ilvl w:val="0"/>
          <w:numId w:val="15"/>
        </w:numPr>
        <w:spacing w:before="60" w:after="120"/>
        <w:ind w:left="714" w:hanging="357"/>
      </w:pPr>
      <w:r w:rsidRPr="00730B1E">
        <w:t>spory o platnost smluv, kterými došlo ke zpeněžení majetkové podstaty prodejem mimo dražbu.</w:t>
      </w:r>
    </w:p>
    <w:p w14:paraId="5A925A05" w14:textId="2352961F" w:rsidR="00936BCD" w:rsidRPr="00730B1E" w:rsidRDefault="00BF0598" w:rsidP="00936BCD">
      <w:pPr>
        <w:pStyle w:val="OdstavecASR"/>
      </w:pPr>
      <w:r w:rsidRPr="00730B1E">
        <w:t xml:space="preserve">Incidenční </w:t>
      </w:r>
      <w:r w:rsidR="00936BCD" w:rsidRPr="00730B1E">
        <w:t xml:space="preserve">spory </w:t>
      </w:r>
      <w:r w:rsidRPr="00730B1E">
        <w:t xml:space="preserve">se svou podstatou </w:t>
      </w:r>
      <w:r w:rsidR="00936BCD" w:rsidRPr="00730B1E">
        <w:t>nacházejí na pomezí insolvenčních a obchodních sporů a jsou rozhodovány insolvenčními odděleními na obchodních úsecích soudů. Vedeny jsou od roku 2010 v rejstříku ICm; v dalším průběhu let nedošlo k žádným výrazným změnám ve vedení statistik. Dříve byly zapisovány do rejstříku Cm.</w:t>
      </w:r>
    </w:p>
    <w:p w14:paraId="3AD5A93F" w14:textId="77777777" w:rsidR="000218DE" w:rsidRPr="00730B1E" w:rsidRDefault="000218DE" w:rsidP="000218DE">
      <w:pPr>
        <w:pStyle w:val="Nadpis3"/>
        <w:numPr>
          <w:ilvl w:val="2"/>
          <w:numId w:val="1"/>
        </w:numPr>
        <w:rPr>
          <w:color w:val="auto"/>
        </w:rPr>
      </w:pPr>
      <w:bookmarkStart w:id="1245" w:name="_Toc109801396"/>
      <w:bookmarkStart w:id="1246" w:name="_Toc169250861"/>
      <w:bookmarkStart w:id="1247" w:name="_Toc174080897"/>
      <w:r w:rsidRPr="00730B1E">
        <w:rPr>
          <w:color w:val="auto"/>
        </w:rPr>
        <w:t>Délka řízení</w:t>
      </w:r>
      <w:bookmarkEnd w:id="1245"/>
      <w:bookmarkEnd w:id="1246"/>
      <w:bookmarkEnd w:id="1247"/>
    </w:p>
    <w:p w14:paraId="7A5D488A" w14:textId="0CE69D43" w:rsidR="00EB6FD4" w:rsidRPr="00730B1E" w:rsidRDefault="00EB6FD4" w:rsidP="00EB6FD4">
      <w:r w:rsidRPr="00730B1E">
        <w:t xml:space="preserve">Uvádíme délky řízení v kalendářních dnech ode dne nápadu do dne konečného vyřízení soudem I. stupně zjištěné ze statistických listů. </w:t>
      </w:r>
    </w:p>
    <w:p w14:paraId="0ED3330B" w14:textId="492B5C7D" w:rsidR="00EB6FD4" w:rsidRPr="00730B1E" w:rsidRDefault="00EB6FD4" w:rsidP="00EB6FD4">
      <w:pPr>
        <w:pStyle w:val="Podnadpis"/>
        <w:numPr>
          <w:ilvl w:val="0"/>
          <w:numId w:val="0"/>
        </w:numPr>
        <w:rPr>
          <w:color w:val="auto"/>
        </w:rPr>
      </w:pPr>
      <w:bookmarkStart w:id="1248" w:name="_Toc75952258"/>
      <w:bookmarkStart w:id="1249" w:name="_Toc106106715"/>
      <w:bookmarkStart w:id="1250" w:name="_Toc109802039"/>
      <w:bookmarkStart w:id="1251" w:name="_Toc144104189"/>
      <w:bookmarkStart w:id="1252" w:name="_Toc169251002"/>
      <w:bookmarkStart w:id="1253" w:name="_Toc17408068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83</w:t>
      </w:r>
      <w:r w:rsidRPr="00730B1E">
        <w:rPr>
          <w:color w:val="auto"/>
        </w:rPr>
        <w:fldChar w:fldCharType="end"/>
      </w:r>
      <w:r w:rsidRPr="00730B1E">
        <w:rPr>
          <w:color w:val="auto"/>
        </w:rPr>
        <w:t>: KS – délka incidenčních sporů řízení v letech 201</w:t>
      </w:r>
      <w:r w:rsidR="00606356" w:rsidRPr="00730B1E">
        <w:rPr>
          <w:color w:val="auto"/>
        </w:rPr>
        <w:t>4</w:t>
      </w:r>
      <w:r w:rsidRPr="00730B1E">
        <w:rPr>
          <w:color w:val="auto"/>
        </w:rPr>
        <w:t>–202</w:t>
      </w:r>
      <w:bookmarkEnd w:id="1248"/>
      <w:bookmarkEnd w:id="1249"/>
      <w:bookmarkEnd w:id="1250"/>
      <w:bookmarkEnd w:id="1251"/>
      <w:r w:rsidRPr="00730B1E">
        <w:rPr>
          <w:color w:val="auto"/>
        </w:rPr>
        <w:t>3</w:t>
      </w:r>
      <w:bookmarkEnd w:id="1252"/>
      <w:bookmarkEnd w:id="1253"/>
    </w:p>
    <w:p w14:paraId="11D3D258" w14:textId="4497CD96" w:rsidR="00EB6FD4" w:rsidRPr="00730B1E" w:rsidRDefault="008021D1" w:rsidP="00EB6FD4">
      <w:r w:rsidRPr="00730B1E">
        <w:rPr>
          <w:noProof/>
          <w:lang w:eastAsia="cs-CZ"/>
        </w:rPr>
        <w:drawing>
          <wp:inline distT="0" distB="0" distL="0" distR="0" wp14:anchorId="021E0878" wp14:editId="516FAEF5">
            <wp:extent cx="5029200" cy="3657600"/>
            <wp:effectExtent l="0" t="0" r="0"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675CBF0" w14:textId="77777777" w:rsidR="008021D1" w:rsidRPr="00730B1E" w:rsidRDefault="008021D1" w:rsidP="008021D1">
      <w:pPr>
        <w:pStyle w:val="OdstavecASR"/>
      </w:pPr>
    </w:p>
    <w:p w14:paraId="0CCA4441" w14:textId="47471FDE" w:rsidR="008021D1" w:rsidRPr="00730B1E" w:rsidRDefault="008021D1" w:rsidP="008021D1">
      <w:pPr>
        <w:pStyle w:val="OdstavecASR"/>
      </w:pPr>
      <w:r w:rsidRPr="00730B1E">
        <w:t>Graf ukazuje, že medián délky řízení byl v letech 2014 až 2018 poměrně stabilní, zatímco průměr a percentil 90 rostly. Zvětšoval se tak rozdíl mezi hodnotami percentilu 90 a mediánem. Jinými slovy se zvětšoval rozdíl mezi věcí s „běžnou“ délkou řízení a věcí trvající</w:t>
      </w:r>
      <w:r w:rsidR="00BF0598" w:rsidRPr="00730B1E">
        <w:t xml:space="preserve"> dlouho</w:t>
      </w:r>
      <w:r w:rsidRPr="00730B1E">
        <w:t>. Následně se průměr a percentil 90 stabilizovaly a medián klesl. V letech 2021 až 2023 se tak medián držel na úrovni asi o měsíc nižší než v letech 2014 až 2019.</w:t>
      </w:r>
    </w:p>
    <w:p w14:paraId="46A930A1" w14:textId="08C916A9" w:rsidR="008021D1" w:rsidRPr="00730B1E" w:rsidRDefault="008021D1" w:rsidP="008021D1">
      <w:pPr>
        <w:pStyle w:val="OdstavecASR"/>
      </w:pPr>
      <w:r w:rsidRPr="00730B1E">
        <w:lastRenderedPageBreak/>
        <w:t>Obecné závěry o trendech vyřizování v této agendě můžeme vyvodit až poté, co prozkoumáme další data (vyřizování věcí, disposition time). Z absolutních hodnot délek řízení je nicméně patrné, že agenda je nelehká a vyřízení zabírá soudům mnoho času.</w:t>
      </w:r>
    </w:p>
    <w:p w14:paraId="4FB2E827" w14:textId="53A57345" w:rsidR="008021D1" w:rsidRPr="00730B1E" w:rsidRDefault="008021D1" w:rsidP="008021D1">
      <w:pPr>
        <w:pStyle w:val="Podnadpis"/>
        <w:rPr>
          <w:color w:val="auto"/>
        </w:rPr>
      </w:pPr>
      <w:bookmarkStart w:id="1254" w:name="_Toc43931247"/>
      <w:bookmarkStart w:id="1255" w:name="_Toc75952380"/>
      <w:bookmarkStart w:id="1256" w:name="_Toc106106833"/>
      <w:bookmarkStart w:id="1257" w:name="_Toc109802156"/>
      <w:bookmarkStart w:id="1258" w:name="_Toc144104315"/>
      <w:bookmarkStart w:id="1259" w:name="_Toc169251129"/>
      <w:bookmarkStart w:id="1260" w:name="_Toc174080815"/>
      <w:r w:rsidRPr="00730B1E">
        <w:rPr>
          <w:color w:val="auto"/>
        </w:rPr>
        <w:t xml:space="preserve">Tabulka </w:t>
      </w:r>
      <w:r w:rsidRPr="00730B1E">
        <w:rPr>
          <w:noProof/>
          <w:color w:val="auto"/>
        </w:rPr>
        <w:fldChar w:fldCharType="begin"/>
      </w:r>
      <w:r w:rsidRPr="00730B1E">
        <w:rPr>
          <w:noProof/>
          <w:color w:val="auto"/>
        </w:rPr>
        <w:instrText xml:space="preserve"> SEQ Tabulka \* ARABIC </w:instrText>
      </w:r>
      <w:r w:rsidRPr="00730B1E">
        <w:rPr>
          <w:noProof/>
          <w:color w:val="auto"/>
        </w:rPr>
        <w:fldChar w:fldCharType="separate"/>
      </w:r>
      <w:r w:rsidR="00056825">
        <w:rPr>
          <w:noProof/>
          <w:color w:val="auto"/>
        </w:rPr>
        <w:t>72</w:t>
      </w:r>
      <w:r w:rsidRPr="00730B1E">
        <w:rPr>
          <w:noProof/>
          <w:color w:val="auto"/>
        </w:rPr>
        <w:fldChar w:fldCharType="end"/>
      </w:r>
      <w:r w:rsidRPr="00730B1E">
        <w:rPr>
          <w:color w:val="auto"/>
        </w:rPr>
        <w:t>: KS – délky incidenčních sporů dle soudů</w:t>
      </w:r>
      <w:bookmarkEnd w:id="1254"/>
      <w:bookmarkEnd w:id="1255"/>
      <w:bookmarkEnd w:id="1256"/>
      <w:bookmarkEnd w:id="1257"/>
      <w:bookmarkEnd w:id="1258"/>
      <w:r w:rsidR="00606356" w:rsidRPr="00730B1E">
        <w:rPr>
          <w:color w:val="auto"/>
        </w:rPr>
        <w:t>, 2023</w:t>
      </w:r>
      <w:bookmarkEnd w:id="1259"/>
      <w:bookmarkEnd w:id="1260"/>
    </w:p>
    <w:tbl>
      <w:tblPr>
        <w:tblW w:w="8748" w:type="dxa"/>
        <w:tblCellMar>
          <w:left w:w="70" w:type="dxa"/>
          <w:right w:w="70" w:type="dxa"/>
        </w:tblCellMar>
        <w:tblLook w:val="04A0" w:firstRow="1" w:lastRow="0" w:firstColumn="1" w:lastColumn="0" w:noHBand="0" w:noVBand="1"/>
      </w:tblPr>
      <w:tblGrid>
        <w:gridCol w:w="2268"/>
        <w:gridCol w:w="802"/>
        <w:gridCol w:w="1233"/>
        <w:gridCol w:w="802"/>
        <w:gridCol w:w="1233"/>
        <w:gridCol w:w="1177"/>
        <w:gridCol w:w="1233"/>
      </w:tblGrid>
      <w:tr w:rsidR="00B64E96" w:rsidRPr="00730B1E" w14:paraId="0FF8F1E6" w14:textId="77777777" w:rsidTr="00606356">
        <w:trPr>
          <w:trHeight w:val="330"/>
        </w:trPr>
        <w:tc>
          <w:tcPr>
            <w:tcW w:w="2268" w:type="dxa"/>
            <w:vMerge w:val="restart"/>
            <w:tcBorders>
              <w:top w:val="double" w:sz="6" w:space="0" w:color="auto"/>
              <w:left w:val="nil"/>
              <w:bottom w:val="double" w:sz="6" w:space="0" w:color="000000"/>
              <w:right w:val="nil"/>
            </w:tcBorders>
            <w:shd w:val="clear" w:color="auto" w:fill="auto"/>
            <w:noWrap/>
            <w:vAlign w:val="center"/>
            <w:hideMark/>
          </w:tcPr>
          <w:p w14:paraId="48FAEE73" w14:textId="55F4887B" w:rsidR="008021D1" w:rsidRPr="00730B1E" w:rsidRDefault="001E2458" w:rsidP="008021D1">
            <w:pPr>
              <w:spacing w:line="240" w:lineRule="auto"/>
              <w:jc w:val="center"/>
              <w:rPr>
                <w:rFonts w:eastAsia="Times New Roman"/>
                <w:b/>
                <w:bCs/>
                <w:szCs w:val="24"/>
                <w:lang w:eastAsia="cs-CZ"/>
              </w:rPr>
            </w:pPr>
            <w:r w:rsidRPr="00730B1E">
              <w:rPr>
                <w:rFonts w:eastAsia="Times New Roman"/>
                <w:b/>
                <w:bCs/>
                <w:szCs w:val="24"/>
                <w:lang w:eastAsia="cs-CZ"/>
              </w:rPr>
              <w:t>S</w:t>
            </w:r>
            <w:r w:rsidR="008021D1" w:rsidRPr="00730B1E">
              <w:rPr>
                <w:rFonts w:eastAsia="Times New Roman"/>
                <w:b/>
                <w:bCs/>
                <w:szCs w:val="24"/>
                <w:lang w:eastAsia="cs-CZ"/>
              </w:rPr>
              <w:t>oud</w:t>
            </w:r>
          </w:p>
        </w:tc>
        <w:tc>
          <w:tcPr>
            <w:tcW w:w="6480" w:type="dxa"/>
            <w:gridSpan w:val="6"/>
            <w:tcBorders>
              <w:top w:val="double" w:sz="6" w:space="0" w:color="auto"/>
              <w:left w:val="nil"/>
              <w:bottom w:val="nil"/>
              <w:right w:val="nil"/>
            </w:tcBorders>
            <w:shd w:val="clear" w:color="auto" w:fill="auto"/>
            <w:noWrap/>
            <w:vAlign w:val="center"/>
            <w:hideMark/>
          </w:tcPr>
          <w:p w14:paraId="5D9A9FFF" w14:textId="77777777" w:rsidR="008021D1" w:rsidRPr="00730B1E" w:rsidRDefault="008021D1" w:rsidP="008021D1">
            <w:pPr>
              <w:spacing w:line="240" w:lineRule="auto"/>
              <w:jc w:val="center"/>
              <w:rPr>
                <w:rFonts w:eastAsia="Times New Roman"/>
                <w:b/>
                <w:bCs/>
                <w:szCs w:val="24"/>
                <w:lang w:eastAsia="cs-CZ"/>
              </w:rPr>
            </w:pPr>
            <w:r w:rsidRPr="00730B1E">
              <w:rPr>
                <w:rFonts w:eastAsia="Times New Roman"/>
                <w:b/>
                <w:bCs/>
                <w:szCs w:val="24"/>
                <w:lang w:eastAsia="cs-CZ"/>
              </w:rPr>
              <w:t>Délka řízení</w:t>
            </w:r>
          </w:p>
        </w:tc>
      </w:tr>
      <w:tr w:rsidR="00B64E96" w:rsidRPr="00730B1E" w14:paraId="6B1F70F6" w14:textId="77777777" w:rsidTr="00606356">
        <w:trPr>
          <w:trHeight w:val="330"/>
        </w:trPr>
        <w:tc>
          <w:tcPr>
            <w:tcW w:w="2268" w:type="dxa"/>
            <w:vMerge/>
            <w:tcBorders>
              <w:top w:val="double" w:sz="6" w:space="0" w:color="auto"/>
              <w:left w:val="nil"/>
              <w:bottom w:val="double" w:sz="6" w:space="0" w:color="000000"/>
              <w:right w:val="nil"/>
            </w:tcBorders>
            <w:vAlign w:val="center"/>
            <w:hideMark/>
          </w:tcPr>
          <w:p w14:paraId="5C64CC7C" w14:textId="77777777" w:rsidR="008021D1" w:rsidRPr="00730B1E" w:rsidRDefault="008021D1" w:rsidP="008021D1">
            <w:pPr>
              <w:spacing w:line="240" w:lineRule="auto"/>
              <w:jc w:val="left"/>
              <w:rPr>
                <w:rFonts w:eastAsia="Times New Roman"/>
                <w:b/>
                <w:bCs/>
                <w:szCs w:val="24"/>
                <w:lang w:eastAsia="cs-CZ"/>
              </w:rPr>
            </w:pPr>
          </w:p>
        </w:tc>
        <w:tc>
          <w:tcPr>
            <w:tcW w:w="2035" w:type="dxa"/>
            <w:gridSpan w:val="2"/>
            <w:tcBorders>
              <w:top w:val="nil"/>
              <w:left w:val="nil"/>
              <w:bottom w:val="double" w:sz="6" w:space="0" w:color="auto"/>
              <w:right w:val="nil"/>
            </w:tcBorders>
            <w:shd w:val="clear" w:color="auto" w:fill="auto"/>
            <w:noWrap/>
            <w:vAlign w:val="center"/>
            <w:hideMark/>
          </w:tcPr>
          <w:p w14:paraId="22059946" w14:textId="77777777" w:rsidR="008021D1" w:rsidRPr="00730B1E" w:rsidRDefault="008021D1" w:rsidP="008021D1">
            <w:pPr>
              <w:spacing w:line="240" w:lineRule="auto"/>
              <w:jc w:val="center"/>
              <w:rPr>
                <w:rFonts w:eastAsia="Times New Roman"/>
                <w:b/>
                <w:bCs/>
                <w:szCs w:val="24"/>
                <w:lang w:eastAsia="cs-CZ"/>
              </w:rPr>
            </w:pPr>
            <w:r w:rsidRPr="00730B1E">
              <w:rPr>
                <w:rFonts w:eastAsia="Times New Roman"/>
                <w:b/>
                <w:bCs/>
                <w:szCs w:val="24"/>
                <w:lang w:eastAsia="cs-CZ"/>
              </w:rPr>
              <w:t>Průměr</w:t>
            </w:r>
          </w:p>
        </w:tc>
        <w:tc>
          <w:tcPr>
            <w:tcW w:w="203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BD5DF4E" w14:textId="77777777" w:rsidR="008021D1" w:rsidRPr="00730B1E" w:rsidRDefault="008021D1" w:rsidP="008021D1">
            <w:pPr>
              <w:spacing w:line="240" w:lineRule="auto"/>
              <w:jc w:val="center"/>
              <w:rPr>
                <w:rFonts w:eastAsia="Times New Roman"/>
                <w:b/>
                <w:bCs/>
                <w:szCs w:val="24"/>
                <w:lang w:eastAsia="cs-CZ"/>
              </w:rPr>
            </w:pPr>
            <w:r w:rsidRPr="00730B1E">
              <w:rPr>
                <w:rFonts w:eastAsia="Times New Roman"/>
                <w:b/>
                <w:bCs/>
                <w:szCs w:val="24"/>
                <w:lang w:eastAsia="cs-CZ"/>
              </w:rPr>
              <w:t>Medián</w:t>
            </w:r>
          </w:p>
        </w:tc>
        <w:tc>
          <w:tcPr>
            <w:tcW w:w="2410" w:type="dxa"/>
            <w:gridSpan w:val="2"/>
            <w:tcBorders>
              <w:top w:val="nil"/>
              <w:left w:val="nil"/>
              <w:bottom w:val="double" w:sz="6" w:space="0" w:color="auto"/>
              <w:right w:val="nil"/>
            </w:tcBorders>
            <w:shd w:val="clear" w:color="auto" w:fill="auto"/>
            <w:noWrap/>
            <w:vAlign w:val="center"/>
            <w:hideMark/>
          </w:tcPr>
          <w:p w14:paraId="66E49B1C" w14:textId="77777777" w:rsidR="008021D1" w:rsidRPr="00730B1E" w:rsidRDefault="008021D1" w:rsidP="008021D1">
            <w:pPr>
              <w:spacing w:line="240" w:lineRule="auto"/>
              <w:jc w:val="center"/>
              <w:rPr>
                <w:rFonts w:eastAsia="Times New Roman"/>
                <w:b/>
                <w:bCs/>
                <w:szCs w:val="24"/>
                <w:lang w:eastAsia="cs-CZ"/>
              </w:rPr>
            </w:pPr>
            <w:r w:rsidRPr="00730B1E">
              <w:rPr>
                <w:rFonts w:eastAsia="Times New Roman"/>
                <w:b/>
                <w:bCs/>
                <w:szCs w:val="24"/>
                <w:lang w:eastAsia="cs-CZ"/>
              </w:rPr>
              <w:t>Percentil 90</w:t>
            </w:r>
          </w:p>
        </w:tc>
      </w:tr>
      <w:tr w:rsidR="00B64E96" w:rsidRPr="00730B1E" w14:paraId="20004C3B" w14:textId="77777777" w:rsidTr="00606356">
        <w:trPr>
          <w:trHeight w:val="330"/>
        </w:trPr>
        <w:tc>
          <w:tcPr>
            <w:tcW w:w="2268" w:type="dxa"/>
            <w:tcBorders>
              <w:top w:val="single" w:sz="4" w:space="0" w:color="auto"/>
              <w:left w:val="nil"/>
              <w:bottom w:val="single" w:sz="4" w:space="0" w:color="auto"/>
              <w:right w:val="nil"/>
            </w:tcBorders>
            <w:shd w:val="clear" w:color="auto" w:fill="auto"/>
            <w:noWrap/>
            <w:vAlign w:val="bottom"/>
            <w:hideMark/>
          </w:tcPr>
          <w:p w14:paraId="303D8DDF" w14:textId="77777777" w:rsidR="008021D1" w:rsidRPr="00730B1E" w:rsidRDefault="008021D1" w:rsidP="008021D1">
            <w:pPr>
              <w:spacing w:line="240" w:lineRule="auto"/>
              <w:jc w:val="left"/>
              <w:rPr>
                <w:rFonts w:eastAsia="Times New Roman"/>
                <w:szCs w:val="24"/>
                <w:lang w:eastAsia="cs-CZ"/>
              </w:rPr>
            </w:pPr>
            <w:r w:rsidRPr="00730B1E">
              <w:rPr>
                <w:rFonts w:eastAsia="Times New Roman"/>
                <w:szCs w:val="24"/>
                <w:lang w:eastAsia="cs-CZ"/>
              </w:rPr>
              <w:t>MS Praha</w:t>
            </w:r>
          </w:p>
        </w:tc>
        <w:tc>
          <w:tcPr>
            <w:tcW w:w="802" w:type="dxa"/>
            <w:tcBorders>
              <w:top w:val="single" w:sz="4" w:space="0" w:color="auto"/>
              <w:left w:val="nil"/>
              <w:bottom w:val="single" w:sz="4" w:space="0" w:color="auto"/>
              <w:right w:val="nil"/>
            </w:tcBorders>
            <w:shd w:val="clear" w:color="auto" w:fill="auto"/>
            <w:noWrap/>
            <w:vAlign w:val="bottom"/>
            <w:hideMark/>
          </w:tcPr>
          <w:p w14:paraId="44786B45"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542</w:t>
            </w:r>
          </w:p>
        </w:tc>
        <w:tc>
          <w:tcPr>
            <w:tcW w:w="1233" w:type="dxa"/>
            <w:tcBorders>
              <w:top w:val="single" w:sz="4" w:space="0" w:color="auto"/>
              <w:left w:val="nil"/>
              <w:bottom w:val="single" w:sz="4" w:space="0" w:color="auto"/>
              <w:right w:val="nil"/>
            </w:tcBorders>
            <w:shd w:val="clear" w:color="auto" w:fill="auto"/>
            <w:noWrap/>
            <w:vAlign w:val="center"/>
            <w:hideMark/>
          </w:tcPr>
          <w:p w14:paraId="5AB805F0"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802" w:type="dxa"/>
            <w:tcBorders>
              <w:top w:val="nil"/>
              <w:left w:val="single" w:sz="4" w:space="0" w:color="auto"/>
              <w:bottom w:val="single" w:sz="4" w:space="0" w:color="auto"/>
              <w:right w:val="nil"/>
            </w:tcBorders>
            <w:shd w:val="clear" w:color="auto" w:fill="auto"/>
            <w:noWrap/>
            <w:vAlign w:val="bottom"/>
            <w:hideMark/>
          </w:tcPr>
          <w:p w14:paraId="60C8BA27"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379</w:t>
            </w:r>
          </w:p>
        </w:tc>
        <w:tc>
          <w:tcPr>
            <w:tcW w:w="1233" w:type="dxa"/>
            <w:tcBorders>
              <w:top w:val="nil"/>
              <w:left w:val="nil"/>
              <w:bottom w:val="single" w:sz="4" w:space="0" w:color="auto"/>
              <w:right w:val="single" w:sz="4" w:space="0" w:color="auto"/>
            </w:tcBorders>
            <w:shd w:val="clear" w:color="auto" w:fill="auto"/>
            <w:noWrap/>
            <w:vAlign w:val="center"/>
            <w:hideMark/>
          </w:tcPr>
          <w:p w14:paraId="0F9A4E93"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1177" w:type="dxa"/>
            <w:tcBorders>
              <w:top w:val="single" w:sz="4" w:space="0" w:color="auto"/>
              <w:left w:val="nil"/>
              <w:bottom w:val="single" w:sz="4" w:space="0" w:color="auto"/>
              <w:right w:val="nil"/>
            </w:tcBorders>
            <w:shd w:val="clear" w:color="auto" w:fill="auto"/>
            <w:noWrap/>
            <w:vAlign w:val="bottom"/>
            <w:hideMark/>
          </w:tcPr>
          <w:p w14:paraId="2DC5202A"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1 160</w:t>
            </w:r>
          </w:p>
        </w:tc>
        <w:tc>
          <w:tcPr>
            <w:tcW w:w="1233" w:type="dxa"/>
            <w:tcBorders>
              <w:top w:val="single" w:sz="4" w:space="0" w:color="auto"/>
              <w:left w:val="nil"/>
              <w:bottom w:val="single" w:sz="4" w:space="0" w:color="auto"/>
              <w:right w:val="nil"/>
            </w:tcBorders>
            <w:shd w:val="clear" w:color="auto" w:fill="auto"/>
            <w:noWrap/>
            <w:vAlign w:val="center"/>
            <w:hideMark/>
          </w:tcPr>
          <w:p w14:paraId="7E6FBF06"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160F644D" w14:textId="77777777" w:rsidTr="00606356">
        <w:trPr>
          <w:trHeight w:val="315"/>
        </w:trPr>
        <w:tc>
          <w:tcPr>
            <w:tcW w:w="2268" w:type="dxa"/>
            <w:tcBorders>
              <w:top w:val="nil"/>
              <w:left w:val="nil"/>
              <w:bottom w:val="single" w:sz="4" w:space="0" w:color="auto"/>
              <w:right w:val="nil"/>
            </w:tcBorders>
            <w:shd w:val="clear" w:color="auto" w:fill="auto"/>
            <w:noWrap/>
            <w:vAlign w:val="bottom"/>
            <w:hideMark/>
          </w:tcPr>
          <w:p w14:paraId="4679416F" w14:textId="77777777" w:rsidR="008021D1" w:rsidRPr="00730B1E" w:rsidRDefault="008021D1" w:rsidP="008021D1">
            <w:pPr>
              <w:spacing w:line="240" w:lineRule="auto"/>
              <w:jc w:val="left"/>
              <w:rPr>
                <w:rFonts w:eastAsia="Times New Roman"/>
                <w:szCs w:val="24"/>
                <w:lang w:eastAsia="cs-CZ"/>
              </w:rPr>
            </w:pPr>
            <w:r w:rsidRPr="00730B1E">
              <w:rPr>
                <w:rFonts w:eastAsia="Times New Roman"/>
                <w:szCs w:val="24"/>
                <w:lang w:eastAsia="cs-CZ"/>
              </w:rPr>
              <w:t>KS Praha</w:t>
            </w:r>
          </w:p>
        </w:tc>
        <w:tc>
          <w:tcPr>
            <w:tcW w:w="802" w:type="dxa"/>
            <w:tcBorders>
              <w:top w:val="nil"/>
              <w:left w:val="nil"/>
              <w:bottom w:val="single" w:sz="4" w:space="0" w:color="auto"/>
              <w:right w:val="nil"/>
            </w:tcBorders>
            <w:shd w:val="clear" w:color="auto" w:fill="auto"/>
            <w:noWrap/>
            <w:vAlign w:val="bottom"/>
            <w:hideMark/>
          </w:tcPr>
          <w:p w14:paraId="34D01C89"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459</w:t>
            </w:r>
          </w:p>
        </w:tc>
        <w:tc>
          <w:tcPr>
            <w:tcW w:w="1233" w:type="dxa"/>
            <w:tcBorders>
              <w:top w:val="nil"/>
              <w:left w:val="nil"/>
              <w:bottom w:val="single" w:sz="4" w:space="0" w:color="auto"/>
              <w:right w:val="nil"/>
            </w:tcBorders>
            <w:shd w:val="clear" w:color="auto" w:fill="auto"/>
            <w:noWrap/>
            <w:vAlign w:val="center"/>
            <w:hideMark/>
          </w:tcPr>
          <w:p w14:paraId="2EE38C1D"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+26 %  </w:t>
            </w:r>
          </w:p>
        </w:tc>
        <w:tc>
          <w:tcPr>
            <w:tcW w:w="802" w:type="dxa"/>
            <w:tcBorders>
              <w:top w:val="nil"/>
              <w:left w:val="single" w:sz="4" w:space="0" w:color="auto"/>
              <w:bottom w:val="single" w:sz="4" w:space="0" w:color="auto"/>
              <w:right w:val="nil"/>
            </w:tcBorders>
            <w:shd w:val="clear" w:color="auto" w:fill="auto"/>
            <w:noWrap/>
            <w:vAlign w:val="bottom"/>
            <w:hideMark/>
          </w:tcPr>
          <w:p w14:paraId="6A82EDEE"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219</w:t>
            </w:r>
          </w:p>
        </w:tc>
        <w:tc>
          <w:tcPr>
            <w:tcW w:w="1233" w:type="dxa"/>
            <w:tcBorders>
              <w:top w:val="nil"/>
              <w:left w:val="nil"/>
              <w:bottom w:val="single" w:sz="4" w:space="0" w:color="auto"/>
              <w:right w:val="single" w:sz="4" w:space="0" w:color="auto"/>
            </w:tcBorders>
            <w:shd w:val="clear" w:color="auto" w:fill="auto"/>
            <w:noWrap/>
            <w:vAlign w:val="center"/>
            <w:hideMark/>
          </w:tcPr>
          <w:p w14:paraId="3BEEA28C"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-8 %  </w:t>
            </w:r>
          </w:p>
        </w:tc>
        <w:tc>
          <w:tcPr>
            <w:tcW w:w="1177" w:type="dxa"/>
            <w:tcBorders>
              <w:top w:val="nil"/>
              <w:left w:val="nil"/>
              <w:bottom w:val="single" w:sz="4" w:space="0" w:color="auto"/>
              <w:right w:val="nil"/>
            </w:tcBorders>
            <w:shd w:val="clear" w:color="auto" w:fill="auto"/>
            <w:noWrap/>
            <w:vAlign w:val="bottom"/>
            <w:hideMark/>
          </w:tcPr>
          <w:p w14:paraId="4CDE9B97"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1 099</w:t>
            </w:r>
          </w:p>
        </w:tc>
        <w:tc>
          <w:tcPr>
            <w:tcW w:w="1233" w:type="dxa"/>
            <w:tcBorders>
              <w:top w:val="nil"/>
              <w:left w:val="nil"/>
              <w:bottom w:val="single" w:sz="4" w:space="0" w:color="auto"/>
              <w:right w:val="nil"/>
            </w:tcBorders>
            <w:shd w:val="clear" w:color="auto" w:fill="auto"/>
            <w:noWrap/>
            <w:vAlign w:val="center"/>
            <w:hideMark/>
          </w:tcPr>
          <w:p w14:paraId="1303DBAE"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+38 %  </w:t>
            </w:r>
          </w:p>
        </w:tc>
      </w:tr>
      <w:tr w:rsidR="00B64E96" w:rsidRPr="00730B1E" w14:paraId="66EF32B0" w14:textId="77777777" w:rsidTr="00606356">
        <w:trPr>
          <w:trHeight w:val="315"/>
        </w:trPr>
        <w:tc>
          <w:tcPr>
            <w:tcW w:w="2268" w:type="dxa"/>
            <w:tcBorders>
              <w:top w:val="nil"/>
              <w:left w:val="nil"/>
              <w:bottom w:val="single" w:sz="4" w:space="0" w:color="auto"/>
              <w:right w:val="nil"/>
            </w:tcBorders>
            <w:shd w:val="clear" w:color="auto" w:fill="auto"/>
            <w:noWrap/>
            <w:vAlign w:val="bottom"/>
            <w:hideMark/>
          </w:tcPr>
          <w:p w14:paraId="67879964" w14:textId="77777777" w:rsidR="008021D1" w:rsidRPr="00730B1E" w:rsidRDefault="008021D1" w:rsidP="008021D1">
            <w:pPr>
              <w:spacing w:line="240" w:lineRule="auto"/>
              <w:jc w:val="left"/>
              <w:rPr>
                <w:rFonts w:eastAsia="Times New Roman"/>
                <w:szCs w:val="24"/>
                <w:lang w:eastAsia="cs-CZ"/>
              </w:rPr>
            </w:pPr>
            <w:r w:rsidRPr="00730B1E">
              <w:rPr>
                <w:rFonts w:eastAsia="Times New Roman"/>
                <w:szCs w:val="24"/>
                <w:lang w:eastAsia="cs-CZ"/>
              </w:rPr>
              <w:t>KS Č. Budějovice</w:t>
            </w:r>
          </w:p>
        </w:tc>
        <w:tc>
          <w:tcPr>
            <w:tcW w:w="802" w:type="dxa"/>
            <w:tcBorders>
              <w:top w:val="nil"/>
              <w:left w:val="nil"/>
              <w:bottom w:val="single" w:sz="4" w:space="0" w:color="auto"/>
              <w:right w:val="nil"/>
            </w:tcBorders>
            <w:shd w:val="clear" w:color="auto" w:fill="auto"/>
            <w:noWrap/>
            <w:vAlign w:val="bottom"/>
            <w:hideMark/>
          </w:tcPr>
          <w:p w14:paraId="58146CBD"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249</w:t>
            </w:r>
          </w:p>
        </w:tc>
        <w:tc>
          <w:tcPr>
            <w:tcW w:w="1233" w:type="dxa"/>
            <w:tcBorders>
              <w:top w:val="nil"/>
              <w:left w:val="nil"/>
              <w:bottom w:val="single" w:sz="4" w:space="0" w:color="auto"/>
              <w:right w:val="nil"/>
            </w:tcBorders>
            <w:shd w:val="clear" w:color="auto" w:fill="auto"/>
            <w:noWrap/>
            <w:vAlign w:val="center"/>
            <w:hideMark/>
          </w:tcPr>
          <w:p w14:paraId="229C7F94"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802" w:type="dxa"/>
            <w:tcBorders>
              <w:top w:val="nil"/>
              <w:left w:val="single" w:sz="4" w:space="0" w:color="auto"/>
              <w:bottom w:val="single" w:sz="4" w:space="0" w:color="auto"/>
              <w:right w:val="nil"/>
            </w:tcBorders>
            <w:shd w:val="clear" w:color="auto" w:fill="auto"/>
            <w:noWrap/>
            <w:vAlign w:val="bottom"/>
            <w:hideMark/>
          </w:tcPr>
          <w:p w14:paraId="68D72056"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124</w:t>
            </w:r>
          </w:p>
        </w:tc>
        <w:tc>
          <w:tcPr>
            <w:tcW w:w="1233" w:type="dxa"/>
            <w:tcBorders>
              <w:top w:val="nil"/>
              <w:left w:val="nil"/>
              <w:bottom w:val="single" w:sz="4" w:space="0" w:color="auto"/>
              <w:right w:val="single" w:sz="4" w:space="0" w:color="auto"/>
            </w:tcBorders>
            <w:shd w:val="clear" w:color="auto" w:fill="auto"/>
            <w:noWrap/>
            <w:vAlign w:val="center"/>
            <w:hideMark/>
          </w:tcPr>
          <w:p w14:paraId="20007FB3"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1177" w:type="dxa"/>
            <w:tcBorders>
              <w:top w:val="nil"/>
              <w:left w:val="nil"/>
              <w:bottom w:val="single" w:sz="4" w:space="0" w:color="auto"/>
              <w:right w:val="nil"/>
            </w:tcBorders>
            <w:shd w:val="clear" w:color="auto" w:fill="auto"/>
            <w:noWrap/>
            <w:vAlign w:val="bottom"/>
            <w:hideMark/>
          </w:tcPr>
          <w:p w14:paraId="4E2FC48D"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660</w:t>
            </w:r>
          </w:p>
        </w:tc>
        <w:tc>
          <w:tcPr>
            <w:tcW w:w="1233" w:type="dxa"/>
            <w:tcBorders>
              <w:top w:val="nil"/>
              <w:left w:val="nil"/>
              <w:bottom w:val="single" w:sz="4" w:space="0" w:color="auto"/>
              <w:right w:val="nil"/>
            </w:tcBorders>
            <w:shd w:val="clear" w:color="auto" w:fill="auto"/>
            <w:noWrap/>
            <w:vAlign w:val="center"/>
            <w:hideMark/>
          </w:tcPr>
          <w:p w14:paraId="19943CDA"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r>
      <w:tr w:rsidR="00B64E96" w:rsidRPr="00730B1E" w14:paraId="0F6B1F9A" w14:textId="77777777" w:rsidTr="00606356">
        <w:trPr>
          <w:trHeight w:val="315"/>
        </w:trPr>
        <w:tc>
          <w:tcPr>
            <w:tcW w:w="2268" w:type="dxa"/>
            <w:tcBorders>
              <w:top w:val="nil"/>
              <w:left w:val="nil"/>
              <w:bottom w:val="single" w:sz="4" w:space="0" w:color="auto"/>
              <w:right w:val="nil"/>
            </w:tcBorders>
            <w:shd w:val="clear" w:color="auto" w:fill="auto"/>
            <w:noWrap/>
            <w:vAlign w:val="bottom"/>
            <w:hideMark/>
          </w:tcPr>
          <w:p w14:paraId="01786C53" w14:textId="77777777" w:rsidR="008021D1" w:rsidRPr="00730B1E" w:rsidRDefault="008021D1" w:rsidP="008021D1">
            <w:pPr>
              <w:spacing w:line="240" w:lineRule="auto"/>
              <w:jc w:val="left"/>
              <w:rPr>
                <w:rFonts w:eastAsia="Times New Roman"/>
                <w:szCs w:val="24"/>
                <w:lang w:eastAsia="cs-CZ"/>
              </w:rPr>
            </w:pPr>
            <w:r w:rsidRPr="00730B1E">
              <w:rPr>
                <w:rFonts w:eastAsia="Times New Roman"/>
                <w:szCs w:val="24"/>
                <w:lang w:eastAsia="cs-CZ"/>
              </w:rPr>
              <w:t>KS Plzeň</w:t>
            </w:r>
          </w:p>
        </w:tc>
        <w:tc>
          <w:tcPr>
            <w:tcW w:w="802" w:type="dxa"/>
            <w:tcBorders>
              <w:top w:val="nil"/>
              <w:left w:val="nil"/>
              <w:bottom w:val="single" w:sz="4" w:space="0" w:color="auto"/>
              <w:right w:val="nil"/>
            </w:tcBorders>
            <w:shd w:val="clear" w:color="auto" w:fill="auto"/>
            <w:noWrap/>
            <w:vAlign w:val="bottom"/>
            <w:hideMark/>
          </w:tcPr>
          <w:p w14:paraId="03E04C3A"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374</w:t>
            </w:r>
          </w:p>
        </w:tc>
        <w:tc>
          <w:tcPr>
            <w:tcW w:w="1233" w:type="dxa"/>
            <w:tcBorders>
              <w:top w:val="nil"/>
              <w:left w:val="nil"/>
              <w:bottom w:val="single" w:sz="4" w:space="0" w:color="auto"/>
              <w:right w:val="nil"/>
            </w:tcBorders>
            <w:shd w:val="clear" w:color="auto" w:fill="auto"/>
            <w:noWrap/>
            <w:vAlign w:val="center"/>
            <w:hideMark/>
          </w:tcPr>
          <w:p w14:paraId="4ED8F6A8"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802" w:type="dxa"/>
            <w:tcBorders>
              <w:top w:val="nil"/>
              <w:left w:val="single" w:sz="4" w:space="0" w:color="auto"/>
              <w:bottom w:val="single" w:sz="4" w:space="0" w:color="auto"/>
              <w:right w:val="nil"/>
            </w:tcBorders>
            <w:shd w:val="clear" w:color="auto" w:fill="auto"/>
            <w:noWrap/>
            <w:vAlign w:val="bottom"/>
            <w:hideMark/>
          </w:tcPr>
          <w:p w14:paraId="747B6919"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172</w:t>
            </w:r>
          </w:p>
        </w:tc>
        <w:tc>
          <w:tcPr>
            <w:tcW w:w="1233" w:type="dxa"/>
            <w:tcBorders>
              <w:top w:val="nil"/>
              <w:left w:val="nil"/>
              <w:bottom w:val="single" w:sz="4" w:space="0" w:color="auto"/>
              <w:right w:val="single" w:sz="4" w:space="0" w:color="auto"/>
            </w:tcBorders>
            <w:shd w:val="clear" w:color="auto" w:fill="auto"/>
            <w:noWrap/>
            <w:vAlign w:val="center"/>
            <w:hideMark/>
          </w:tcPr>
          <w:p w14:paraId="3D7BCB69"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1177" w:type="dxa"/>
            <w:tcBorders>
              <w:top w:val="nil"/>
              <w:left w:val="nil"/>
              <w:bottom w:val="single" w:sz="4" w:space="0" w:color="auto"/>
              <w:right w:val="nil"/>
            </w:tcBorders>
            <w:shd w:val="clear" w:color="auto" w:fill="auto"/>
            <w:noWrap/>
            <w:vAlign w:val="bottom"/>
            <w:hideMark/>
          </w:tcPr>
          <w:p w14:paraId="51374134"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1 016</w:t>
            </w:r>
          </w:p>
        </w:tc>
        <w:tc>
          <w:tcPr>
            <w:tcW w:w="1233" w:type="dxa"/>
            <w:tcBorders>
              <w:top w:val="nil"/>
              <w:left w:val="nil"/>
              <w:bottom w:val="single" w:sz="4" w:space="0" w:color="auto"/>
              <w:right w:val="nil"/>
            </w:tcBorders>
            <w:shd w:val="clear" w:color="auto" w:fill="auto"/>
            <w:noWrap/>
            <w:vAlign w:val="center"/>
            <w:hideMark/>
          </w:tcPr>
          <w:p w14:paraId="4FCD3B5C"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r>
      <w:tr w:rsidR="00B64E96" w:rsidRPr="00730B1E" w14:paraId="5EAC9093" w14:textId="77777777" w:rsidTr="00606356">
        <w:trPr>
          <w:trHeight w:val="315"/>
        </w:trPr>
        <w:tc>
          <w:tcPr>
            <w:tcW w:w="2268" w:type="dxa"/>
            <w:tcBorders>
              <w:top w:val="nil"/>
              <w:left w:val="nil"/>
              <w:bottom w:val="single" w:sz="4" w:space="0" w:color="auto"/>
              <w:right w:val="nil"/>
            </w:tcBorders>
            <w:shd w:val="clear" w:color="auto" w:fill="auto"/>
            <w:noWrap/>
            <w:vAlign w:val="bottom"/>
            <w:hideMark/>
          </w:tcPr>
          <w:p w14:paraId="1BA80EFF" w14:textId="77777777" w:rsidR="008021D1" w:rsidRPr="00730B1E" w:rsidRDefault="008021D1" w:rsidP="008021D1">
            <w:pPr>
              <w:spacing w:line="240" w:lineRule="auto"/>
              <w:jc w:val="left"/>
              <w:rPr>
                <w:rFonts w:eastAsia="Times New Roman"/>
                <w:szCs w:val="24"/>
                <w:lang w:eastAsia="cs-CZ"/>
              </w:rPr>
            </w:pPr>
            <w:r w:rsidRPr="00730B1E">
              <w:rPr>
                <w:rFonts w:eastAsia="Times New Roman"/>
                <w:szCs w:val="24"/>
                <w:lang w:eastAsia="cs-CZ"/>
              </w:rPr>
              <w:t>KS Ústí n. Labem</w:t>
            </w:r>
          </w:p>
        </w:tc>
        <w:tc>
          <w:tcPr>
            <w:tcW w:w="802" w:type="dxa"/>
            <w:tcBorders>
              <w:top w:val="nil"/>
              <w:left w:val="nil"/>
              <w:bottom w:val="single" w:sz="4" w:space="0" w:color="auto"/>
              <w:right w:val="nil"/>
            </w:tcBorders>
            <w:shd w:val="clear" w:color="auto" w:fill="auto"/>
            <w:noWrap/>
            <w:vAlign w:val="bottom"/>
            <w:hideMark/>
          </w:tcPr>
          <w:p w14:paraId="1953FB05"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497</w:t>
            </w:r>
          </w:p>
        </w:tc>
        <w:tc>
          <w:tcPr>
            <w:tcW w:w="1233" w:type="dxa"/>
            <w:tcBorders>
              <w:top w:val="nil"/>
              <w:left w:val="nil"/>
              <w:bottom w:val="single" w:sz="4" w:space="0" w:color="auto"/>
              <w:right w:val="nil"/>
            </w:tcBorders>
            <w:shd w:val="clear" w:color="auto" w:fill="auto"/>
            <w:noWrap/>
            <w:vAlign w:val="center"/>
            <w:hideMark/>
          </w:tcPr>
          <w:p w14:paraId="45D1B300"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+7 %  </w:t>
            </w:r>
          </w:p>
        </w:tc>
        <w:tc>
          <w:tcPr>
            <w:tcW w:w="802" w:type="dxa"/>
            <w:tcBorders>
              <w:top w:val="nil"/>
              <w:left w:val="single" w:sz="4" w:space="0" w:color="auto"/>
              <w:bottom w:val="single" w:sz="4" w:space="0" w:color="auto"/>
              <w:right w:val="nil"/>
            </w:tcBorders>
            <w:shd w:val="clear" w:color="auto" w:fill="auto"/>
            <w:noWrap/>
            <w:vAlign w:val="bottom"/>
            <w:hideMark/>
          </w:tcPr>
          <w:p w14:paraId="18CCEC15"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302</w:t>
            </w:r>
          </w:p>
        </w:tc>
        <w:tc>
          <w:tcPr>
            <w:tcW w:w="1233" w:type="dxa"/>
            <w:tcBorders>
              <w:top w:val="nil"/>
              <w:left w:val="nil"/>
              <w:bottom w:val="single" w:sz="4" w:space="0" w:color="auto"/>
              <w:right w:val="single" w:sz="4" w:space="0" w:color="auto"/>
            </w:tcBorders>
            <w:shd w:val="clear" w:color="auto" w:fill="auto"/>
            <w:noWrap/>
            <w:vAlign w:val="center"/>
            <w:hideMark/>
          </w:tcPr>
          <w:p w14:paraId="08899662"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1177" w:type="dxa"/>
            <w:tcBorders>
              <w:top w:val="nil"/>
              <w:left w:val="nil"/>
              <w:bottom w:val="single" w:sz="4" w:space="0" w:color="auto"/>
              <w:right w:val="nil"/>
            </w:tcBorders>
            <w:shd w:val="clear" w:color="auto" w:fill="auto"/>
            <w:noWrap/>
            <w:vAlign w:val="bottom"/>
            <w:hideMark/>
          </w:tcPr>
          <w:p w14:paraId="215ADC49"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1 182</w:t>
            </w:r>
          </w:p>
        </w:tc>
        <w:tc>
          <w:tcPr>
            <w:tcW w:w="1233" w:type="dxa"/>
            <w:tcBorders>
              <w:top w:val="nil"/>
              <w:left w:val="nil"/>
              <w:bottom w:val="single" w:sz="4" w:space="0" w:color="auto"/>
              <w:right w:val="nil"/>
            </w:tcBorders>
            <w:shd w:val="clear" w:color="auto" w:fill="auto"/>
            <w:noWrap/>
            <w:vAlign w:val="center"/>
            <w:hideMark/>
          </w:tcPr>
          <w:p w14:paraId="35C19637"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r>
      <w:tr w:rsidR="00B64E96" w:rsidRPr="00730B1E" w14:paraId="74E5A7D9" w14:textId="77777777" w:rsidTr="00606356">
        <w:trPr>
          <w:trHeight w:val="315"/>
        </w:trPr>
        <w:tc>
          <w:tcPr>
            <w:tcW w:w="2268" w:type="dxa"/>
            <w:tcBorders>
              <w:top w:val="nil"/>
              <w:left w:val="nil"/>
              <w:bottom w:val="single" w:sz="4" w:space="0" w:color="auto"/>
              <w:right w:val="nil"/>
            </w:tcBorders>
            <w:shd w:val="clear" w:color="auto" w:fill="auto"/>
            <w:noWrap/>
            <w:vAlign w:val="bottom"/>
            <w:hideMark/>
          </w:tcPr>
          <w:p w14:paraId="1D333404" w14:textId="77777777" w:rsidR="008021D1" w:rsidRPr="00730B1E" w:rsidRDefault="008021D1" w:rsidP="008021D1">
            <w:pPr>
              <w:spacing w:line="240" w:lineRule="auto"/>
              <w:jc w:val="left"/>
              <w:rPr>
                <w:rFonts w:eastAsia="Times New Roman"/>
                <w:szCs w:val="24"/>
                <w:lang w:eastAsia="cs-CZ"/>
              </w:rPr>
            </w:pPr>
            <w:r w:rsidRPr="00730B1E">
              <w:rPr>
                <w:rFonts w:eastAsia="Times New Roman"/>
                <w:szCs w:val="24"/>
                <w:lang w:eastAsia="cs-CZ"/>
              </w:rPr>
              <w:t>KS Hr. Králové</w:t>
            </w:r>
          </w:p>
        </w:tc>
        <w:tc>
          <w:tcPr>
            <w:tcW w:w="802" w:type="dxa"/>
            <w:tcBorders>
              <w:top w:val="nil"/>
              <w:left w:val="nil"/>
              <w:bottom w:val="single" w:sz="4" w:space="0" w:color="auto"/>
              <w:right w:val="nil"/>
            </w:tcBorders>
            <w:shd w:val="clear" w:color="auto" w:fill="auto"/>
            <w:noWrap/>
            <w:vAlign w:val="bottom"/>
            <w:hideMark/>
          </w:tcPr>
          <w:p w14:paraId="505F4469"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431</w:t>
            </w:r>
          </w:p>
        </w:tc>
        <w:tc>
          <w:tcPr>
            <w:tcW w:w="1233" w:type="dxa"/>
            <w:tcBorders>
              <w:top w:val="nil"/>
              <w:left w:val="nil"/>
              <w:bottom w:val="single" w:sz="4" w:space="0" w:color="auto"/>
              <w:right w:val="nil"/>
            </w:tcBorders>
            <w:shd w:val="clear" w:color="auto" w:fill="auto"/>
            <w:noWrap/>
            <w:vAlign w:val="center"/>
            <w:hideMark/>
          </w:tcPr>
          <w:p w14:paraId="71D04A81"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c>
          <w:tcPr>
            <w:tcW w:w="802" w:type="dxa"/>
            <w:tcBorders>
              <w:top w:val="nil"/>
              <w:left w:val="single" w:sz="4" w:space="0" w:color="auto"/>
              <w:bottom w:val="single" w:sz="4" w:space="0" w:color="auto"/>
              <w:right w:val="nil"/>
            </w:tcBorders>
            <w:shd w:val="clear" w:color="auto" w:fill="auto"/>
            <w:noWrap/>
            <w:vAlign w:val="bottom"/>
            <w:hideMark/>
          </w:tcPr>
          <w:p w14:paraId="5EC73950"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263</w:t>
            </w:r>
          </w:p>
        </w:tc>
        <w:tc>
          <w:tcPr>
            <w:tcW w:w="1233" w:type="dxa"/>
            <w:tcBorders>
              <w:top w:val="nil"/>
              <w:left w:val="nil"/>
              <w:bottom w:val="single" w:sz="4" w:space="0" w:color="auto"/>
              <w:right w:val="single" w:sz="4" w:space="0" w:color="auto"/>
            </w:tcBorders>
            <w:shd w:val="clear" w:color="auto" w:fill="auto"/>
            <w:noWrap/>
            <w:vAlign w:val="center"/>
            <w:hideMark/>
          </w:tcPr>
          <w:p w14:paraId="1BEE950C"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+41 %  </w:t>
            </w:r>
          </w:p>
        </w:tc>
        <w:tc>
          <w:tcPr>
            <w:tcW w:w="1177" w:type="dxa"/>
            <w:tcBorders>
              <w:top w:val="nil"/>
              <w:left w:val="nil"/>
              <w:bottom w:val="single" w:sz="4" w:space="0" w:color="auto"/>
              <w:right w:val="nil"/>
            </w:tcBorders>
            <w:shd w:val="clear" w:color="auto" w:fill="auto"/>
            <w:noWrap/>
            <w:vAlign w:val="bottom"/>
            <w:hideMark/>
          </w:tcPr>
          <w:p w14:paraId="2AD89ED0"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889</w:t>
            </w:r>
          </w:p>
        </w:tc>
        <w:tc>
          <w:tcPr>
            <w:tcW w:w="1233" w:type="dxa"/>
            <w:tcBorders>
              <w:top w:val="nil"/>
              <w:left w:val="nil"/>
              <w:bottom w:val="single" w:sz="4" w:space="0" w:color="auto"/>
              <w:right w:val="nil"/>
            </w:tcBorders>
            <w:shd w:val="clear" w:color="auto" w:fill="auto"/>
            <w:noWrap/>
            <w:vAlign w:val="center"/>
            <w:hideMark/>
          </w:tcPr>
          <w:p w14:paraId="535166E8"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r>
      <w:tr w:rsidR="00B64E96" w:rsidRPr="00730B1E" w14:paraId="61E2CD23" w14:textId="77777777" w:rsidTr="00606356">
        <w:trPr>
          <w:trHeight w:val="315"/>
        </w:trPr>
        <w:tc>
          <w:tcPr>
            <w:tcW w:w="2268" w:type="dxa"/>
            <w:tcBorders>
              <w:top w:val="nil"/>
              <w:left w:val="nil"/>
              <w:bottom w:val="single" w:sz="4" w:space="0" w:color="auto"/>
              <w:right w:val="nil"/>
            </w:tcBorders>
            <w:shd w:val="clear" w:color="auto" w:fill="auto"/>
            <w:noWrap/>
            <w:vAlign w:val="bottom"/>
            <w:hideMark/>
          </w:tcPr>
          <w:p w14:paraId="29651A4F" w14:textId="77777777" w:rsidR="008021D1" w:rsidRPr="00730B1E" w:rsidRDefault="008021D1" w:rsidP="008021D1">
            <w:pPr>
              <w:spacing w:line="240" w:lineRule="auto"/>
              <w:jc w:val="left"/>
              <w:rPr>
                <w:rFonts w:eastAsia="Times New Roman"/>
                <w:szCs w:val="24"/>
                <w:lang w:eastAsia="cs-CZ"/>
              </w:rPr>
            </w:pPr>
            <w:r w:rsidRPr="00730B1E">
              <w:rPr>
                <w:rFonts w:eastAsia="Times New Roman"/>
                <w:szCs w:val="24"/>
                <w:lang w:eastAsia="cs-CZ"/>
              </w:rPr>
              <w:t>KS Brno</w:t>
            </w:r>
          </w:p>
        </w:tc>
        <w:tc>
          <w:tcPr>
            <w:tcW w:w="802" w:type="dxa"/>
            <w:tcBorders>
              <w:top w:val="nil"/>
              <w:left w:val="nil"/>
              <w:bottom w:val="single" w:sz="4" w:space="0" w:color="auto"/>
              <w:right w:val="nil"/>
            </w:tcBorders>
            <w:shd w:val="clear" w:color="auto" w:fill="auto"/>
            <w:noWrap/>
            <w:vAlign w:val="bottom"/>
            <w:hideMark/>
          </w:tcPr>
          <w:p w14:paraId="26AF0086"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681</w:t>
            </w:r>
          </w:p>
        </w:tc>
        <w:tc>
          <w:tcPr>
            <w:tcW w:w="1233" w:type="dxa"/>
            <w:tcBorders>
              <w:top w:val="nil"/>
              <w:left w:val="nil"/>
              <w:bottom w:val="single" w:sz="4" w:space="0" w:color="auto"/>
              <w:right w:val="nil"/>
            </w:tcBorders>
            <w:shd w:val="clear" w:color="auto" w:fill="auto"/>
            <w:noWrap/>
            <w:vAlign w:val="center"/>
            <w:hideMark/>
          </w:tcPr>
          <w:p w14:paraId="22B3D485"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802" w:type="dxa"/>
            <w:tcBorders>
              <w:top w:val="nil"/>
              <w:left w:val="single" w:sz="4" w:space="0" w:color="auto"/>
              <w:bottom w:val="single" w:sz="4" w:space="0" w:color="auto"/>
              <w:right w:val="nil"/>
            </w:tcBorders>
            <w:shd w:val="clear" w:color="auto" w:fill="auto"/>
            <w:noWrap/>
            <w:vAlign w:val="bottom"/>
            <w:hideMark/>
          </w:tcPr>
          <w:p w14:paraId="67ECC2DD"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426</w:t>
            </w:r>
          </w:p>
        </w:tc>
        <w:tc>
          <w:tcPr>
            <w:tcW w:w="1233" w:type="dxa"/>
            <w:tcBorders>
              <w:top w:val="nil"/>
              <w:left w:val="nil"/>
              <w:bottom w:val="single" w:sz="4" w:space="0" w:color="auto"/>
              <w:right w:val="single" w:sz="4" w:space="0" w:color="auto"/>
            </w:tcBorders>
            <w:shd w:val="clear" w:color="auto" w:fill="auto"/>
            <w:noWrap/>
            <w:vAlign w:val="center"/>
            <w:hideMark/>
          </w:tcPr>
          <w:p w14:paraId="00FC7C3E"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177" w:type="dxa"/>
            <w:tcBorders>
              <w:top w:val="nil"/>
              <w:left w:val="nil"/>
              <w:bottom w:val="single" w:sz="4" w:space="0" w:color="auto"/>
              <w:right w:val="nil"/>
            </w:tcBorders>
            <w:shd w:val="clear" w:color="auto" w:fill="auto"/>
            <w:noWrap/>
            <w:vAlign w:val="bottom"/>
            <w:hideMark/>
          </w:tcPr>
          <w:p w14:paraId="713715D6"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1 588</w:t>
            </w:r>
          </w:p>
        </w:tc>
        <w:tc>
          <w:tcPr>
            <w:tcW w:w="1233" w:type="dxa"/>
            <w:tcBorders>
              <w:top w:val="nil"/>
              <w:left w:val="nil"/>
              <w:bottom w:val="single" w:sz="4" w:space="0" w:color="auto"/>
              <w:right w:val="nil"/>
            </w:tcBorders>
            <w:shd w:val="clear" w:color="auto" w:fill="auto"/>
            <w:noWrap/>
            <w:vAlign w:val="center"/>
            <w:hideMark/>
          </w:tcPr>
          <w:p w14:paraId="694D9F3D"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r>
      <w:tr w:rsidR="00B64E96" w:rsidRPr="00730B1E" w14:paraId="54479C2C" w14:textId="77777777" w:rsidTr="00606356">
        <w:trPr>
          <w:trHeight w:val="330"/>
        </w:trPr>
        <w:tc>
          <w:tcPr>
            <w:tcW w:w="2268" w:type="dxa"/>
            <w:tcBorders>
              <w:top w:val="nil"/>
              <w:left w:val="nil"/>
              <w:bottom w:val="double" w:sz="6" w:space="0" w:color="auto"/>
              <w:right w:val="nil"/>
            </w:tcBorders>
            <w:shd w:val="clear" w:color="auto" w:fill="auto"/>
            <w:noWrap/>
            <w:vAlign w:val="bottom"/>
            <w:hideMark/>
          </w:tcPr>
          <w:p w14:paraId="54E499B8" w14:textId="77777777" w:rsidR="008021D1" w:rsidRPr="00730B1E" w:rsidRDefault="008021D1" w:rsidP="008021D1">
            <w:pPr>
              <w:spacing w:line="240" w:lineRule="auto"/>
              <w:jc w:val="left"/>
              <w:rPr>
                <w:rFonts w:eastAsia="Times New Roman"/>
                <w:szCs w:val="24"/>
                <w:lang w:eastAsia="cs-CZ"/>
              </w:rPr>
            </w:pPr>
            <w:r w:rsidRPr="00730B1E">
              <w:rPr>
                <w:rFonts w:eastAsia="Times New Roman"/>
                <w:szCs w:val="24"/>
                <w:lang w:eastAsia="cs-CZ"/>
              </w:rPr>
              <w:t>KS Ostrava</w:t>
            </w:r>
          </w:p>
        </w:tc>
        <w:tc>
          <w:tcPr>
            <w:tcW w:w="802" w:type="dxa"/>
            <w:tcBorders>
              <w:top w:val="nil"/>
              <w:left w:val="nil"/>
              <w:bottom w:val="double" w:sz="6" w:space="0" w:color="auto"/>
              <w:right w:val="nil"/>
            </w:tcBorders>
            <w:shd w:val="clear" w:color="auto" w:fill="auto"/>
            <w:noWrap/>
            <w:vAlign w:val="bottom"/>
            <w:hideMark/>
          </w:tcPr>
          <w:p w14:paraId="60EA1829"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523</w:t>
            </w:r>
          </w:p>
        </w:tc>
        <w:tc>
          <w:tcPr>
            <w:tcW w:w="1233" w:type="dxa"/>
            <w:tcBorders>
              <w:top w:val="nil"/>
              <w:left w:val="nil"/>
              <w:bottom w:val="double" w:sz="6" w:space="0" w:color="auto"/>
              <w:right w:val="nil"/>
            </w:tcBorders>
            <w:shd w:val="clear" w:color="auto" w:fill="auto"/>
            <w:noWrap/>
            <w:vAlign w:val="center"/>
            <w:hideMark/>
          </w:tcPr>
          <w:p w14:paraId="0FADC174"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+4 %  </w:t>
            </w:r>
          </w:p>
        </w:tc>
        <w:tc>
          <w:tcPr>
            <w:tcW w:w="802" w:type="dxa"/>
            <w:tcBorders>
              <w:top w:val="nil"/>
              <w:left w:val="single" w:sz="4" w:space="0" w:color="auto"/>
              <w:bottom w:val="double" w:sz="6" w:space="0" w:color="auto"/>
              <w:right w:val="nil"/>
            </w:tcBorders>
            <w:shd w:val="clear" w:color="auto" w:fill="auto"/>
            <w:noWrap/>
            <w:vAlign w:val="bottom"/>
            <w:hideMark/>
          </w:tcPr>
          <w:p w14:paraId="17E3297A"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253</w:t>
            </w:r>
          </w:p>
        </w:tc>
        <w:tc>
          <w:tcPr>
            <w:tcW w:w="1233" w:type="dxa"/>
            <w:tcBorders>
              <w:top w:val="nil"/>
              <w:left w:val="nil"/>
              <w:bottom w:val="double" w:sz="6" w:space="0" w:color="auto"/>
              <w:right w:val="single" w:sz="4" w:space="0" w:color="auto"/>
            </w:tcBorders>
            <w:shd w:val="clear" w:color="auto" w:fill="auto"/>
            <w:noWrap/>
            <w:vAlign w:val="center"/>
            <w:hideMark/>
          </w:tcPr>
          <w:p w14:paraId="00BAF8DA"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-17 %  </w:t>
            </w:r>
          </w:p>
        </w:tc>
        <w:tc>
          <w:tcPr>
            <w:tcW w:w="1177" w:type="dxa"/>
            <w:tcBorders>
              <w:top w:val="nil"/>
              <w:left w:val="nil"/>
              <w:bottom w:val="double" w:sz="6" w:space="0" w:color="auto"/>
              <w:right w:val="nil"/>
            </w:tcBorders>
            <w:shd w:val="clear" w:color="auto" w:fill="auto"/>
            <w:noWrap/>
            <w:vAlign w:val="bottom"/>
            <w:hideMark/>
          </w:tcPr>
          <w:p w14:paraId="1FE97A45" w14:textId="77777777" w:rsidR="008021D1" w:rsidRPr="00730B1E" w:rsidRDefault="008021D1" w:rsidP="008021D1">
            <w:pPr>
              <w:spacing w:line="240" w:lineRule="auto"/>
              <w:jc w:val="center"/>
              <w:rPr>
                <w:rFonts w:eastAsia="Times New Roman"/>
                <w:szCs w:val="24"/>
                <w:lang w:eastAsia="cs-CZ"/>
              </w:rPr>
            </w:pPr>
            <w:r w:rsidRPr="00730B1E">
              <w:rPr>
                <w:rFonts w:eastAsia="Times New Roman"/>
                <w:szCs w:val="24"/>
                <w:lang w:eastAsia="cs-CZ"/>
              </w:rPr>
              <w:t>1 392</w:t>
            </w:r>
          </w:p>
        </w:tc>
        <w:tc>
          <w:tcPr>
            <w:tcW w:w="1233" w:type="dxa"/>
            <w:tcBorders>
              <w:top w:val="nil"/>
              <w:left w:val="nil"/>
              <w:bottom w:val="double" w:sz="6" w:space="0" w:color="auto"/>
              <w:right w:val="nil"/>
            </w:tcBorders>
            <w:shd w:val="clear" w:color="auto" w:fill="auto"/>
            <w:noWrap/>
            <w:vAlign w:val="center"/>
            <w:hideMark/>
          </w:tcPr>
          <w:p w14:paraId="5B046FF3" w14:textId="77777777" w:rsidR="008021D1" w:rsidRPr="00730B1E" w:rsidRDefault="008021D1" w:rsidP="008021D1">
            <w:pPr>
              <w:spacing w:line="240" w:lineRule="auto"/>
              <w:jc w:val="center"/>
              <w:rPr>
                <w:rFonts w:eastAsia="Times New Roman"/>
                <w:sz w:val="20"/>
                <w:szCs w:val="20"/>
                <w:lang w:eastAsia="cs-CZ"/>
              </w:rPr>
            </w:pPr>
            <w:r w:rsidRPr="00730B1E">
              <w:rPr>
                <w:rFonts w:eastAsia="Times New Roman"/>
                <w:sz w:val="20"/>
                <w:szCs w:val="20"/>
                <w:lang w:eastAsia="cs-CZ"/>
              </w:rPr>
              <w:t xml:space="preserve">+25 %  </w:t>
            </w:r>
          </w:p>
        </w:tc>
      </w:tr>
      <w:tr w:rsidR="00B64E96" w:rsidRPr="00730B1E" w14:paraId="562E7346" w14:textId="77777777" w:rsidTr="00606356">
        <w:trPr>
          <w:trHeight w:val="345"/>
        </w:trPr>
        <w:tc>
          <w:tcPr>
            <w:tcW w:w="2268" w:type="dxa"/>
            <w:tcBorders>
              <w:top w:val="nil"/>
              <w:left w:val="nil"/>
              <w:bottom w:val="double" w:sz="6" w:space="0" w:color="auto"/>
              <w:right w:val="nil"/>
            </w:tcBorders>
            <w:shd w:val="clear" w:color="auto" w:fill="auto"/>
            <w:noWrap/>
            <w:vAlign w:val="bottom"/>
            <w:hideMark/>
          </w:tcPr>
          <w:p w14:paraId="5A3F32E1" w14:textId="77777777" w:rsidR="008021D1" w:rsidRPr="00730B1E" w:rsidRDefault="008021D1" w:rsidP="008021D1">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802" w:type="dxa"/>
            <w:tcBorders>
              <w:top w:val="nil"/>
              <w:left w:val="nil"/>
              <w:bottom w:val="double" w:sz="6" w:space="0" w:color="auto"/>
              <w:right w:val="nil"/>
            </w:tcBorders>
            <w:shd w:val="clear" w:color="auto" w:fill="auto"/>
            <w:noWrap/>
            <w:vAlign w:val="bottom"/>
            <w:hideMark/>
          </w:tcPr>
          <w:p w14:paraId="458FB4FC" w14:textId="77777777" w:rsidR="008021D1" w:rsidRPr="00730B1E" w:rsidRDefault="008021D1" w:rsidP="008021D1">
            <w:pPr>
              <w:spacing w:line="240" w:lineRule="auto"/>
              <w:jc w:val="center"/>
              <w:rPr>
                <w:rFonts w:eastAsia="Times New Roman"/>
                <w:b/>
                <w:bCs/>
                <w:szCs w:val="24"/>
                <w:lang w:eastAsia="cs-CZ"/>
              </w:rPr>
            </w:pPr>
            <w:r w:rsidRPr="00730B1E">
              <w:rPr>
                <w:rFonts w:eastAsia="Times New Roman"/>
                <w:b/>
                <w:bCs/>
                <w:szCs w:val="24"/>
                <w:lang w:eastAsia="cs-CZ"/>
              </w:rPr>
              <w:t>516</w:t>
            </w:r>
          </w:p>
        </w:tc>
        <w:tc>
          <w:tcPr>
            <w:tcW w:w="1233" w:type="dxa"/>
            <w:tcBorders>
              <w:top w:val="nil"/>
              <w:left w:val="nil"/>
              <w:bottom w:val="double" w:sz="6" w:space="0" w:color="auto"/>
              <w:right w:val="nil"/>
            </w:tcBorders>
            <w:shd w:val="clear" w:color="auto" w:fill="auto"/>
            <w:noWrap/>
            <w:vAlign w:val="center"/>
            <w:hideMark/>
          </w:tcPr>
          <w:p w14:paraId="351EF9D2" w14:textId="77777777" w:rsidR="008021D1" w:rsidRPr="00730B1E" w:rsidRDefault="008021D1" w:rsidP="008021D1">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+1 %  </w:t>
            </w:r>
          </w:p>
        </w:tc>
        <w:tc>
          <w:tcPr>
            <w:tcW w:w="802" w:type="dxa"/>
            <w:tcBorders>
              <w:top w:val="nil"/>
              <w:left w:val="single" w:sz="4" w:space="0" w:color="auto"/>
              <w:bottom w:val="double" w:sz="6" w:space="0" w:color="auto"/>
              <w:right w:val="nil"/>
            </w:tcBorders>
            <w:shd w:val="clear" w:color="auto" w:fill="auto"/>
            <w:noWrap/>
            <w:vAlign w:val="bottom"/>
            <w:hideMark/>
          </w:tcPr>
          <w:p w14:paraId="0062B1B4" w14:textId="77777777" w:rsidR="008021D1" w:rsidRPr="00730B1E" w:rsidRDefault="008021D1" w:rsidP="008021D1">
            <w:pPr>
              <w:spacing w:line="240" w:lineRule="auto"/>
              <w:jc w:val="center"/>
              <w:rPr>
                <w:rFonts w:eastAsia="Times New Roman"/>
                <w:b/>
                <w:bCs/>
                <w:szCs w:val="24"/>
                <w:lang w:eastAsia="cs-CZ"/>
              </w:rPr>
            </w:pPr>
            <w:r w:rsidRPr="00730B1E">
              <w:rPr>
                <w:rFonts w:eastAsia="Times New Roman"/>
                <w:b/>
                <w:bCs/>
                <w:szCs w:val="24"/>
                <w:lang w:eastAsia="cs-CZ"/>
              </w:rPr>
              <w:t>301</w:t>
            </w:r>
          </w:p>
        </w:tc>
        <w:tc>
          <w:tcPr>
            <w:tcW w:w="1233" w:type="dxa"/>
            <w:tcBorders>
              <w:top w:val="nil"/>
              <w:left w:val="nil"/>
              <w:bottom w:val="double" w:sz="6" w:space="0" w:color="auto"/>
              <w:right w:val="single" w:sz="4" w:space="0" w:color="auto"/>
            </w:tcBorders>
            <w:shd w:val="clear" w:color="auto" w:fill="auto"/>
            <w:noWrap/>
            <w:vAlign w:val="center"/>
            <w:hideMark/>
          </w:tcPr>
          <w:p w14:paraId="6547F3A5" w14:textId="77777777" w:rsidR="008021D1" w:rsidRPr="00730B1E" w:rsidRDefault="008021D1" w:rsidP="008021D1">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-2 %  </w:t>
            </w:r>
          </w:p>
        </w:tc>
        <w:tc>
          <w:tcPr>
            <w:tcW w:w="1177" w:type="dxa"/>
            <w:tcBorders>
              <w:top w:val="nil"/>
              <w:left w:val="nil"/>
              <w:bottom w:val="double" w:sz="6" w:space="0" w:color="auto"/>
              <w:right w:val="nil"/>
            </w:tcBorders>
            <w:shd w:val="clear" w:color="auto" w:fill="auto"/>
            <w:noWrap/>
            <w:vAlign w:val="bottom"/>
            <w:hideMark/>
          </w:tcPr>
          <w:p w14:paraId="145AF60F" w14:textId="77777777" w:rsidR="008021D1" w:rsidRPr="00730B1E" w:rsidRDefault="008021D1" w:rsidP="008021D1">
            <w:pPr>
              <w:spacing w:line="240" w:lineRule="auto"/>
              <w:jc w:val="center"/>
              <w:rPr>
                <w:rFonts w:eastAsia="Times New Roman"/>
                <w:b/>
                <w:bCs/>
                <w:szCs w:val="24"/>
                <w:lang w:eastAsia="cs-CZ"/>
              </w:rPr>
            </w:pPr>
            <w:r w:rsidRPr="00730B1E">
              <w:rPr>
                <w:rFonts w:eastAsia="Times New Roman"/>
                <w:b/>
                <w:bCs/>
                <w:szCs w:val="24"/>
                <w:lang w:eastAsia="cs-CZ"/>
              </w:rPr>
              <w:t>1 184</w:t>
            </w:r>
          </w:p>
        </w:tc>
        <w:tc>
          <w:tcPr>
            <w:tcW w:w="1233" w:type="dxa"/>
            <w:tcBorders>
              <w:top w:val="nil"/>
              <w:left w:val="nil"/>
              <w:bottom w:val="double" w:sz="6" w:space="0" w:color="auto"/>
              <w:right w:val="nil"/>
            </w:tcBorders>
            <w:shd w:val="clear" w:color="auto" w:fill="auto"/>
            <w:noWrap/>
            <w:vAlign w:val="center"/>
            <w:hideMark/>
          </w:tcPr>
          <w:p w14:paraId="009E5BA5" w14:textId="77777777" w:rsidR="008021D1" w:rsidRPr="00730B1E" w:rsidRDefault="008021D1" w:rsidP="008021D1">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-5 %  </w:t>
            </w:r>
          </w:p>
        </w:tc>
      </w:tr>
      <w:tr w:rsidR="00B64E96" w:rsidRPr="00730B1E" w14:paraId="0395A005" w14:textId="77777777" w:rsidTr="00606356">
        <w:trPr>
          <w:trHeight w:val="330"/>
        </w:trPr>
        <w:tc>
          <w:tcPr>
            <w:tcW w:w="2268" w:type="dxa"/>
            <w:tcBorders>
              <w:top w:val="nil"/>
              <w:left w:val="nil"/>
              <w:bottom w:val="nil"/>
              <w:right w:val="nil"/>
            </w:tcBorders>
            <w:shd w:val="clear" w:color="auto" w:fill="auto"/>
            <w:noWrap/>
            <w:vAlign w:val="bottom"/>
            <w:hideMark/>
          </w:tcPr>
          <w:p w14:paraId="4F093652" w14:textId="77777777" w:rsidR="008021D1" w:rsidRPr="00730B1E" w:rsidRDefault="008021D1" w:rsidP="008021D1">
            <w:pPr>
              <w:spacing w:line="240" w:lineRule="auto"/>
              <w:jc w:val="center"/>
              <w:rPr>
                <w:rFonts w:eastAsia="Times New Roman"/>
                <w:b/>
                <w:bCs/>
                <w:sz w:val="20"/>
                <w:szCs w:val="20"/>
                <w:lang w:eastAsia="cs-CZ"/>
              </w:rPr>
            </w:pPr>
          </w:p>
        </w:tc>
        <w:tc>
          <w:tcPr>
            <w:tcW w:w="802" w:type="dxa"/>
            <w:tcBorders>
              <w:top w:val="nil"/>
              <w:left w:val="nil"/>
              <w:bottom w:val="nil"/>
              <w:right w:val="nil"/>
            </w:tcBorders>
            <w:shd w:val="clear" w:color="auto" w:fill="auto"/>
            <w:noWrap/>
            <w:vAlign w:val="bottom"/>
            <w:hideMark/>
          </w:tcPr>
          <w:p w14:paraId="2F75D0B1" w14:textId="77777777" w:rsidR="008021D1" w:rsidRPr="00DF07F3" w:rsidRDefault="008021D1" w:rsidP="008021D1">
            <w:pPr>
              <w:spacing w:line="240" w:lineRule="auto"/>
              <w:jc w:val="left"/>
              <w:rPr>
                <w:sz w:val="20"/>
              </w:rPr>
            </w:pPr>
          </w:p>
        </w:tc>
        <w:tc>
          <w:tcPr>
            <w:tcW w:w="1233" w:type="dxa"/>
            <w:tcBorders>
              <w:top w:val="nil"/>
              <w:left w:val="nil"/>
              <w:bottom w:val="nil"/>
              <w:right w:val="nil"/>
            </w:tcBorders>
            <w:shd w:val="clear" w:color="auto" w:fill="auto"/>
            <w:noWrap/>
            <w:vAlign w:val="bottom"/>
            <w:hideMark/>
          </w:tcPr>
          <w:p w14:paraId="55D3D52A" w14:textId="77777777" w:rsidR="008021D1" w:rsidRPr="00DF07F3" w:rsidRDefault="008021D1" w:rsidP="008021D1">
            <w:pPr>
              <w:spacing w:line="240" w:lineRule="auto"/>
              <w:jc w:val="left"/>
              <w:rPr>
                <w:sz w:val="20"/>
              </w:rPr>
            </w:pPr>
          </w:p>
        </w:tc>
        <w:tc>
          <w:tcPr>
            <w:tcW w:w="802" w:type="dxa"/>
            <w:tcBorders>
              <w:top w:val="nil"/>
              <w:left w:val="nil"/>
              <w:bottom w:val="nil"/>
              <w:right w:val="nil"/>
            </w:tcBorders>
            <w:shd w:val="clear" w:color="auto" w:fill="auto"/>
            <w:noWrap/>
            <w:vAlign w:val="bottom"/>
            <w:hideMark/>
          </w:tcPr>
          <w:p w14:paraId="3AA5954F" w14:textId="77777777" w:rsidR="008021D1" w:rsidRPr="00DF07F3" w:rsidRDefault="008021D1" w:rsidP="008021D1">
            <w:pPr>
              <w:spacing w:line="240" w:lineRule="auto"/>
              <w:jc w:val="left"/>
              <w:rPr>
                <w:sz w:val="20"/>
              </w:rPr>
            </w:pPr>
          </w:p>
        </w:tc>
        <w:tc>
          <w:tcPr>
            <w:tcW w:w="1233" w:type="dxa"/>
            <w:tcBorders>
              <w:top w:val="nil"/>
              <w:left w:val="nil"/>
              <w:bottom w:val="nil"/>
              <w:right w:val="nil"/>
            </w:tcBorders>
            <w:shd w:val="clear" w:color="auto" w:fill="auto"/>
            <w:noWrap/>
            <w:vAlign w:val="bottom"/>
            <w:hideMark/>
          </w:tcPr>
          <w:p w14:paraId="7D5DC47F" w14:textId="77777777" w:rsidR="008021D1" w:rsidRPr="00DF07F3" w:rsidRDefault="008021D1" w:rsidP="008021D1">
            <w:pPr>
              <w:spacing w:line="240" w:lineRule="auto"/>
              <w:jc w:val="left"/>
              <w:rPr>
                <w:sz w:val="20"/>
              </w:rPr>
            </w:pPr>
          </w:p>
        </w:tc>
        <w:tc>
          <w:tcPr>
            <w:tcW w:w="1177" w:type="dxa"/>
            <w:tcBorders>
              <w:top w:val="nil"/>
              <w:left w:val="nil"/>
              <w:bottom w:val="nil"/>
              <w:right w:val="nil"/>
            </w:tcBorders>
            <w:shd w:val="clear" w:color="auto" w:fill="auto"/>
            <w:noWrap/>
            <w:vAlign w:val="bottom"/>
            <w:hideMark/>
          </w:tcPr>
          <w:p w14:paraId="1148434F" w14:textId="77777777" w:rsidR="008021D1" w:rsidRPr="00DF07F3" w:rsidRDefault="008021D1" w:rsidP="008021D1">
            <w:pPr>
              <w:spacing w:line="240" w:lineRule="auto"/>
              <w:jc w:val="left"/>
              <w:rPr>
                <w:sz w:val="20"/>
              </w:rPr>
            </w:pPr>
          </w:p>
        </w:tc>
        <w:tc>
          <w:tcPr>
            <w:tcW w:w="1233" w:type="dxa"/>
            <w:tcBorders>
              <w:top w:val="nil"/>
              <w:left w:val="nil"/>
              <w:bottom w:val="nil"/>
              <w:right w:val="nil"/>
            </w:tcBorders>
            <w:shd w:val="clear" w:color="auto" w:fill="auto"/>
            <w:noWrap/>
            <w:vAlign w:val="bottom"/>
            <w:hideMark/>
          </w:tcPr>
          <w:p w14:paraId="1C4AFB41" w14:textId="77777777" w:rsidR="008021D1" w:rsidRPr="00DF07F3" w:rsidRDefault="008021D1" w:rsidP="008021D1">
            <w:pPr>
              <w:spacing w:line="240" w:lineRule="auto"/>
              <w:jc w:val="left"/>
              <w:rPr>
                <w:sz w:val="20"/>
              </w:rPr>
            </w:pPr>
          </w:p>
        </w:tc>
      </w:tr>
    </w:tbl>
    <w:p w14:paraId="61828D88" w14:textId="77777777" w:rsidR="008021D1" w:rsidRPr="00730B1E" w:rsidRDefault="008021D1" w:rsidP="008021D1">
      <w:pPr>
        <w:pStyle w:val="OdstavecASR"/>
      </w:pPr>
      <w:r w:rsidRPr="00730B1E">
        <w:t>Vidíme, že již několik let zdaleka nejdelší délky řízení vykazuje KS Brno a MS Praha, nejkratší naopak KS České Budějovice.</w:t>
      </w:r>
    </w:p>
    <w:p w14:paraId="687C80AE" w14:textId="77777777" w:rsidR="008021D1" w:rsidRPr="00730B1E" w:rsidRDefault="008021D1" w:rsidP="008021D1">
      <w:pPr>
        <w:pStyle w:val="OdstavecASR"/>
      </w:pPr>
      <w:r w:rsidRPr="00730B1E">
        <w:t>Nakonec délky řízení zobrazíme pomocí histogramu. Šířka jednoho sloupce je 50 dnů a poslední sloupec reprezentuje všechny hodnoty nad 1 500 dnů.</w:t>
      </w:r>
    </w:p>
    <w:p w14:paraId="07B115B5" w14:textId="55E8C21E" w:rsidR="008021D1" w:rsidRPr="00730B1E" w:rsidRDefault="008021D1" w:rsidP="008021D1">
      <w:pPr>
        <w:pStyle w:val="Podnadpis"/>
        <w:rPr>
          <w:color w:val="auto"/>
        </w:rPr>
      </w:pPr>
      <w:bookmarkStart w:id="1261" w:name="_Toc43841456"/>
      <w:bookmarkStart w:id="1262" w:name="_Toc75952259"/>
      <w:bookmarkStart w:id="1263" w:name="_Toc106106716"/>
      <w:bookmarkStart w:id="1264" w:name="_Toc109802040"/>
      <w:bookmarkStart w:id="1265" w:name="_Toc144104190"/>
      <w:bookmarkStart w:id="1266" w:name="_Toc169251003"/>
      <w:bookmarkStart w:id="1267" w:name="_Toc174080689"/>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84</w:t>
      </w:r>
      <w:r w:rsidRPr="00730B1E">
        <w:rPr>
          <w:color w:val="auto"/>
        </w:rPr>
        <w:fldChar w:fldCharType="end"/>
      </w:r>
      <w:r w:rsidRPr="00730B1E">
        <w:rPr>
          <w:color w:val="auto"/>
        </w:rPr>
        <w:t>: KS – distribuce délek incidenčních sporů</w:t>
      </w:r>
      <w:bookmarkEnd w:id="1261"/>
      <w:bookmarkEnd w:id="1262"/>
      <w:bookmarkEnd w:id="1263"/>
      <w:bookmarkEnd w:id="1264"/>
      <w:bookmarkEnd w:id="1265"/>
      <w:bookmarkEnd w:id="1266"/>
      <w:bookmarkEnd w:id="1267"/>
    </w:p>
    <w:p w14:paraId="3810DF8F" w14:textId="5E5A6CB6" w:rsidR="00EB6FD4" w:rsidRPr="00730B1E" w:rsidRDefault="008021D1" w:rsidP="00EB6FD4">
      <w:r w:rsidRPr="00730B1E">
        <w:rPr>
          <w:noProof/>
          <w:lang w:eastAsia="cs-CZ"/>
        </w:rPr>
        <w:drawing>
          <wp:inline distT="0" distB="0" distL="0" distR="0" wp14:anchorId="0F016A2A" wp14:editId="421FF081">
            <wp:extent cx="5029200" cy="3657600"/>
            <wp:effectExtent l="0" t="0" r="0" b="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099B899" w14:textId="29B96F53" w:rsidR="008430BD" w:rsidRPr="00730B1E" w:rsidRDefault="008430BD" w:rsidP="008430BD">
      <w:pPr>
        <w:pStyle w:val="Nadpis3"/>
        <w:numPr>
          <w:ilvl w:val="2"/>
          <w:numId w:val="1"/>
        </w:numPr>
        <w:rPr>
          <w:color w:val="auto"/>
        </w:rPr>
      </w:pPr>
      <w:bookmarkStart w:id="1268" w:name="_Toc41059000"/>
      <w:bookmarkStart w:id="1269" w:name="_Toc41060948"/>
      <w:bookmarkStart w:id="1270" w:name="_Toc106092786"/>
      <w:bookmarkStart w:id="1271" w:name="_Toc169250862"/>
      <w:bookmarkStart w:id="1272" w:name="_Toc174080898"/>
      <w:bookmarkEnd w:id="1268"/>
      <w:bookmarkEnd w:id="1269"/>
      <w:r w:rsidRPr="00730B1E">
        <w:rPr>
          <w:color w:val="auto"/>
        </w:rPr>
        <w:lastRenderedPageBreak/>
        <w:t>Vyřizování věcí</w:t>
      </w:r>
      <w:bookmarkEnd w:id="1270"/>
      <w:bookmarkEnd w:id="1271"/>
      <w:bookmarkEnd w:id="1272"/>
    </w:p>
    <w:p w14:paraId="057D7F32" w14:textId="0DAE4E7B" w:rsidR="00FE5EC8" w:rsidRPr="00730B1E" w:rsidRDefault="00FE5EC8" w:rsidP="00FE5EC8">
      <w:r w:rsidRPr="00730B1E">
        <w:t xml:space="preserve">Celá insolvenční agenda je poměrně nová a incidenční spory na ni „navazují“. Proto byl v prvních letech nápad </w:t>
      </w:r>
      <w:r w:rsidR="00BF0598" w:rsidRPr="00730B1E">
        <w:t>incidenčních nízký</w:t>
      </w:r>
      <w:r w:rsidRPr="00730B1E">
        <w:t xml:space="preserve">, </w:t>
      </w:r>
      <w:r w:rsidR="00BF0598" w:rsidRPr="00730B1E">
        <w:t xml:space="preserve">ale </w:t>
      </w:r>
      <w:r w:rsidRPr="00730B1E">
        <w:t>postupně narůstal až do roku 2017. V těchto letech převyšoval počet příchozích věcí počet věcí vyřízených, a to ze začátku poměrně výrazně; počet vyřízených věcí se ale velmi rychle zvyšoval. Nahromadilo se poměrně velké množství nevyřízených věcí. Do určité míry nápad celkem logicky kopíruje růst nápadu v insolvenční agendě, nicméně s určitým zpožděním.</w:t>
      </w:r>
    </w:p>
    <w:p w14:paraId="3A8556AA" w14:textId="73056F51" w:rsidR="00FE5EC8" w:rsidRPr="00730B1E" w:rsidRDefault="00FE5EC8" w:rsidP="00FE5EC8">
      <w:pPr>
        <w:pStyle w:val="OdstavecASR"/>
      </w:pPr>
      <w:r w:rsidRPr="00730B1E">
        <w:t>V roce 2018 došlo k značnému poklesu v počtu příchozích věcí. Nejvyšší pokles byl zaznamenán u obou moravských krajských soudů, konkrétně u KS v Brně o 662 věcí (snížení o 56,7 %) a v Ostravě o 329 věcí (pokles o 67,3 %). U krajských soudů v Čechách se snížení příchozích věcí pohybovalo mezi 30 až 40 %. Tento náhlý pokles z roku 2018 lze připisovat snížení počtu nových úpadků obchodních společností, a to zřejmě díky příznivé ekonomické situaci toho období. Výše zmíněný pokles v počtu příchozích věcí pak vedl k velmi výraznému poklesu počtu věcí nevyřízených.</w:t>
      </w:r>
    </w:p>
    <w:p w14:paraId="285A85C3" w14:textId="0DB026AF" w:rsidR="00FE5EC8" w:rsidRPr="00730B1E" w:rsidRDefault="00FE5EC8" w:rsidP="00FE5EC8">
      <w:r w:rsidRPr="00730B1E">
        <w:t xml:space="preserve">Po roce 2018 již v počtu příchozích věcí není vidět žádný jasný trend. V roce 2021 ale došlo v porovnání s rokem 2020 k dalšímu poklesu. Pro rok 2021 bylo důležité to, že také došlo ke značnému poklesu v počtu nevyřízených věcí. V roce 2022 opět výrazně poklesl počet nevyřízených věcí. V roce 2023 ale počet příchozích věcí narostl, zatímco počet vyřízených věcí poklesl. Došlo k růstu v počtu nevyřízených věcí. </w:t>
      </w:r>
    </w:p>
    <w:p w14:paraId="34AC9218" w14:textId="0EB5BAD3" w:rsidR="00FE5EC8" w:rsidRPr="00730B1E" w:rsidRDefault="00FE5EC8" w:rsidP="00FE5EC8">
      <w:pPr>
        <w:pStyle w:val="Podnadpis"/>
        <w:rPr>
          <w:color w:val="auto"/>
        </w:rPr>
      </w:pPr>
      <w:bookmarkStart w:id="1273" w:name="_Toc43841457"/>
      <w:bookmarkStart w:id="1274" w:name="_Toc75952260"/>
      <w:bookmarkStart w:id="1275" w:name="_Toc106106717"/>
      <w:bookmarkStart w:id="1276" w:name="_Toc109802041"/>
      <w:bookmarkStart w:id="1277" w:name="_Toc144104191"/>
      <w:bookmarkStart w:id="1278" w:name="_Toc169251004"/>
      <w:bookmarkStart w:id="1279" w:name="_Toc17408069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85</w:t>
      </w:r>
      <w:r w:rsidRPr="00730B1E">
        <w:rPr>
          <w:color w:val="auto"/>
        </w:rPr>
        <w:fldChar w:fldCharType="end"/>
      </w:r>
      <w:r w:rsidRPr="00730B1E">
        <w:rPr>
          <w:color w:val="auto"/>
        </w:rPr>
        <w:t>: KS – vyřizování incidenčních sporů v letech 2015–20</w:t>
      </w:r>
      <w:bookmarkEnd w:id="1273"/>
      <w:r w:rsidRPr="00730B1E">
        <w:rPr>
          <w:color w:val="auto"/>
        </w:rPr>
        <w:t>2</w:t>
      </w:r>
      <w:bookmarkEnd w:id="1274"/>
      <w:bookmarkEnd w:id="1275"/>
      <w:bookmarkEnd w:id="1276"/>
      <w:bookmarkEnd w:id="1277"/>
      <w:r w:rsidRPr="00730B1E">
        <w:rPr>
          <w:color w:val="auto"/>
        </w:rPr>
        <w:t>3</w:t>
      </w:r>
      <w:bookmarkEnd w:id="1278"/>
      <w:bookmarkEnd w:id="1279"/>
    </w:p>
    <w:p w14:paraId="78F5B965" w14:textId="77777777" w:rsidR="00FE5EC8" w:rsidRPr="00730B1E" w:rsidRDefault="00FE5EC8" w:rsidP="00FE5EC8"/>
    <w:p w14:paraId="07A9A3F7" w14:textId="310ADCE5" w:rsidR="00FE5EC8" w:rsidRPr="00730B1E" w:rsidRDefault="00FE5EC8" w:rsidP="00FE5EC8">
      <w:r w:rsidRPr="00730B1E">
        <w:rPr>
          <w:noProof/>
          <w:lang w:eastAsia="cs-CZ"/>
        </w:rPr>
        <w:drawing>
          <wp:inline distT="0" distB="0" distL="0" distR="0" wp14:anchorId="6F642D5F" wp14:editId="5713E37B">
            <wp:extent cx="5029200" cy="3657600"/>
            <wp:effectExtent l="0" t="0" r="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CEEF017" w14:textId="1AA1A156" w:rsidR="00FE5EC8" w:rsidRPr="00730B1E" w:rsidRDefault="00FE5EC8">
      <w:pPr>
        <w:spacing w:after="160" w:line="259" w:lineRule="auto"/>
        <w:jc w:val="left"/>
      </w:pPr>
      <w:r w:rsidRPr="00730B1E">
        <w:br w:type="page"/>
      </w:r>
    </w:p>
    <w:p w14:paraId="1AA4B538" w14:textId="3883993E" w:rsidR="00FE5EC8" w:rsidRPr="00730B1E" w:rsidRDefault="00FE5EC8" w:rsidP="00FE5EC8">
      <w:pPr>
        <w:pStyle w:val="Podnadpis"/>
        <w:rPr>
          <w:color w:val="auto"/>
        </w:rPr>
      </w:pPr>
      <w:bookmarkStart w:id="1280" w:name="_Toc43931248"/>
      <w:bookmarkStart w:id="1281" w:name="_Toc75952381"/>
      <w:bookmarkStart w:id="1282" w:name="_Toc106106834"/>
      <w:bookmarkStart w:id="1283" w:name="_Toc109802157"/>
      <w:bookmarkStart w:id="1284" w:name="_Toc144104316"/>
      <w:bookmarkStart w:id="1285" w:name="_Toc169251130"/>
      <w:bookmarkStart w:id="1286" w:name="_Toc174080816"/>
      <w:r w:rsidRPr="00730B1E">
        <w:rPr>
          <w:color w:val="auto"/>
        </w:rPr>
        <w:lastRenderedPageBreak/>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73</w:t>
      </w:r>
      <w:r w:rsidRPr="00730B1E">
        <w:rPr>
          <w:noProof/>
          <w:color w:val="auto"/>
        </w:rPr>
        <w:fldChar w:fldCharType="end"/>
      </w:r>
      <w:r w:rsidRPr="00730B1E">
        <w:rPr>
          <w:color w:val="auto"/>
        </w:rPr>
        <w:t>: KS – vyřizování incidenčních sporů dle soudů</w:t>
      </w:r>
      <w:bookmarkEnd w:id="1280"/>
      <w:bookmarkEnd w:id="1281"/>
      <w:bookmarkEnd w:id="1282"/>
      <w:bookmarkEnd w:id="1283"/>
      <w:bookmarkEnd w:id="1284"/>
      <w:bookmarkEnd w:id="1285"/>
      <w:bookmarkEnd w:id="1286"/>
    </w:p>
    <w:tbl>
      <w:tblPr>
        <w:tblW w:w="9072" w:type="dxa"/>
        <w:tblCellMar>
          <w:left w:w="70" w:type="dxa"/>
          <w:right w:w="70" w:type="dxa"/>
        </w:tblCellMar>
        <w:tblLook w:val="04A0" w:firstRow="1" w:lastRow="0" w:firstColumn="1" w:lastColumn="0" w:noHBand="0" w:noVBand="1"/>
      </w:tblPr>
      <w:tblGrid>
        <w:gridCol w:w="1980"/>
        <w:gridCol w:w="948"/>
        <w:gridCol w:w="994"/>
        <w:gridCol w:w="948"/>
        <w:gridCol w:w="869"/>
        <w:gridCol w:w="948"/>
        <w:gridCol w:w="994"/>
        <w:gridCol w:w="1391"/>
      </w:tblGrid>
      <w:tr w:rsidR="00B64E96" w:rsidRPr="00730B1E" w14:paraId="1E48CEF9" w14:textId="77777777" w:rsidTr="00606356">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19A3CABC" w14:textId="4404FCEB" w:rsidR="00FE5EC8" w:rsidRPr="00730B1E" w:rsidRDefault="00165007" w:rsidP="00FE5EC8">
            <w:pPr>
              <w:spacing w:line="240" w:lineRule="auto"/>
              <w:jc w:val="center"/>
              <w:rPr>
                <w:rFonts w:eastAsia="Times New Roman"/>
                <w:b/>
                <w:bCs/>
                <w:szCs w:val="24"/>
                <w:lang w:eastAsia="cs-CZ"/>
              </w:rPr>
            </w:pPr>
            <w:r w:rsidRPr="00730B1E">
              <w:rPr>
                <w:rFonts w:eastAsia="Times New Roman"/>
                <w:b/>
                <w:bCs/>
                <w:szCs w:val="24"/>
                <w:lang w:eastAsia="cs-CZ"/>
              </w:rPr>
              <w:t>S</w:t>
            </w:r>
            <w:r w:rsidR="00FE5EC8" w:rsidRPr="00730B1E">
              <w:rPr>
                <w:rFonts w:eastAsia="Times New Roman"/>
                <w:b/>
                <w:bCs/>
                <w:szCs w:val="24"/>
                <w:lang w:eastAsia="cs-CZ"/>
              </w:rPr>
              <w:t>oud</w:t>
            </w:r>
          </w:p>
        </w:tc>
        <w:tc>
          <w:tcPr>
            <w:tcW w:w="5701" w:type="dxa"/>
            <w:gridSpan w:val="6"/>
            <w:tcBorders>
              <w:top w:val="double" w:sz="6" w:space="0" w:color="auto"/>
              <w:left w:val="nil"/>
              <w:bottom w:val="nil"/>
              <w:right w:val="single" w:sz="4" w:space="0" w:color="000000"/>
            </w:tcBorders>
            <w:shd w:val="clear" w:color="auto" w:fill="auto"/>
            <w:noWrap/>
            <w:vAlign w:val="center"/>
            <w:hideMark/>
          </w:tcPr>
          <w:p w14:paraId="3BA557F4" w14:textId="77777777"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Počet věcí</w:t>
            </w:r>
          </w:p>
        </w:tc>
        <w:tc>
          <w:tcPr>
            <w:tcW w:w="1391" w:type="dxa"/>
            <w:vMerge w:val="restart"/>
            <w:tcBorders>
              <w:top w:val="double" w:sz="6" w:space="0" w:color="auto"/>
              <w:left w:val="single" w:sz="4" w:space="0" w:color="auto"/>
              <w:bottom w:val="double" w:sz="6" w:space="0" w:color="000000"/>
              <w:right w:val="nil"/>
            </w:tcBorders>
            <w:shd w:val="clear" w:color="auto" w:fill="auto"/>
            <w:vAlign w:val="center"/>
            <w:hideMark/>
          </w:tcPr>
          <w:p w14:paraId="512BF452" w14:textId="139DF6D4"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Míra vyřizování</w:t>
            </w:r>
            <w:r w:rsidR="00606356" w:rsidRPr="00730B1E">
              <w:rPr>
                <w:rFonts w:eastAsia="Times New Roman"/>
                <w:b/>
                <w:bCs/>
                <w:szCs w:val="24"/>
                <w:lang w:eastAsia="cs-CZ"/>
              </w:rPr>
              <w:br/>
            </w:r>
            <w:r w:rsidR="00165007" w:rsidRPr="00730B1E">
              <w:rPr>
                <w:rFonts w:eastAsia="Times New Roman"/>
                <w:b/>
                <w:bCs/>
                <w:szCs w:val="24"/>
                <w:lang w:eastAsia="cs-CZ"/>
              </w:rPr>
              <w:t>v </w:t>
            </w:r>
            <w:r w:rsidRPr="00730B1E">
              <w:rPr>
                <w:rFonts w:eastAsia="Times New Roman"/>
                <w:b/>
                <w:bCs/>
                <w:szCs w:val="24"/>
                <w:lang w:eastAsia="cs-CZ"/>
              </w:rPr>
              <w:t>%</w:t>
            </w:r>
          </w:p>
        </w:tc>
      </w:tr>
      <w:tr w:rsidR="00B64E96" w:rsidRPr="00730B1E" w14:paraId="63B7E61A" w14:textId="77777777" w:rsidTr="00606356">
        <w:trPr>
          <w:trHeight w:val="330"/>
        </w:trPr>
        <w:tc>
          <w:tcPr>
            <w:tcW w:w="1980" w:type="dxa"/>
            <w:vMerge/>
            <w:tcBorders>
              <w:top w:val="double" w:sz="6" w:space="0" w:color="auto"/>
              <w:left w:val="nil"/>
              <w:bottom w:val="double" w:sz="6" w:space="0" w:color="000000"/>
              <w:right w:val="nil"/>
            </w:tcBorders>
            <w:vAlign w:val="center"/>
            <w:hideMark/>
          </w:tcPr>
          <w:p w14:paraId="6A38F07C" w14:textId="77777777" w:rsidR="00FE5EC8" w:rsidRPr="00730B1E" w:rsidRDefault="00FE5EC8" w:rsidP="00FE5EC8">
            <w:pPr>
              <w:spacing w:line="240" w:lineRule="auto"/>
              <w:jc w:val="left"/>
              <w:rPr>
                <w:rFonts w:eastAsia="Times New Roman"/>
                <w:b/>
                <w:bCs/>
                <w:szCs w:val="24"/>
                <w:lang w:eastAsia="cs-CZ"/>
              </w:rPr>
            </w:pPr>
          </w:p>
        </w:tc>
        <w:tc>
          <w:tcPr>
            <w:tcW w:w="1942" w:type="dxa"/>
            <w:gridSpan w:val="2"/>
            <w:tcBorders>
              <w:top w:val="nil"/>
              <w:left w:val="nil"/>
              <w:bottom w:val="double" w:sz="6" w:space="0" w:color="auto"/>
              <w:right w:val="single" w:sz="4" w:space="0" w:color="000000"/>
            </w:tcBorders>
            <w:shd w:val="clear" w:color="auto" w:fill="auto"/>
            <w:vAlign w:val="center"/>
            <w:hideMark/>
          </w:tcPr>
          <w:p w14:paraId="256EB092" w14:textId="4A01603E"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817" w:type="dxa"/>
            <w:gridSpan w:val="2"/>
            <w:tcBorders>
              <w:top w:val="nil"/>
              <w:left w:val="nil"/>
              <w:bottom w:val="double" w:sz="6" w:space="0" w:color="auto"/>
              <w:right w:val="single" w:sz="4" w:space="0" w:color="000000"/>
            </w:tcBorders>
            <w:shd w:val="clear" w:color="auto" w:fill="auto"/>
            <w:noWrap/>
            <w:vAlign w:val="center"/>
            <w:hideMark/>
          </w:tcPr>
          <w:p w14:paraId="22789D9E" w14:textId="77777777"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942" w:type="dxa"/>
            <w:gridSpan w:val="2"/>
            <w:tcBorders>
              <w:top w:val="nil"/>
              <w:left w:val="nil"/>
              <w:bottom w:val="double" w:sz="6" w:space="0" w:color="auto"/>
              <w:right w:val="single" w:sz="4" w:space="0" w:color="000000"/>
            </w:tcBorders>
            <w:shd w:val="clear" w:color="auto" w:fill="auto"/>
            <w:noWrap/>
            <w:vAlign w:val="center"/>
            <w:hideMark/>
          </w:tcPr>
          <w:p w14:paraId="0843824E" w14:textId="77777777"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Nevyřízeno</w:t>
            </w:r>
          </w:p>
        </w:tc>
        <w:tc>
          <w:tcPr>
            <w:tcW w:w="1391" w:type="dxa"/>
            <w:vMerge/>
            <w:tcBorders>
              <w:top w:val="double" w:sz="6" w:space="0" w:color="auto"/>
              <w:left w:val="single" w:sz="4" w:space="0" w:color="auto"/>
              <w:bottom w:val="double" w:sz="6" w:space="0" w:color="000000"/>
              <w:right w:val="nil"/>
            </w:tcBorders>
            <w:vAlign w:val="center"/>
            <w:hideMark/>
          </w:tcPr>
          <w:p w14:paraId="20EA9DE4" w14:textId="77777777" w:rsidR="00FE5EC8" w:rsidRPr="00730B1E" w:rsidRDefault="00FE5EC8" w:rsidP="00FE5EC8">
            <w:pPr>
              <w:spacing w:line="240" w:lineRule="auto"/>
              <w:jc w:val="left"/>
              <w:rPr>
                <w:rFonts w:eastAsia="Times New Roman"/>
                <w:b/>
                <w:bCs/>
                <w:szCs w:val="24"/>
                <w:lang w:eastAsia="cs-CZ"/>
              </w:rPr>
            </w:pPr>
          </w:p>
        </w:tc>
      </w:tr>
      <w:tr w:rsidR="00B64E96" w:rsidRPr="00730B1E" w14:paraId="21FC2E4E" w14:textId="77777777" w:rsidTr="009714A7">
        <w:trPr>
          <w:trHeight w:val="330"/>
        </w:trPr>
        <w:tc>
          <w:tcPr>
            <w:tcW w:w="1980" w:type="dxa"/>
            <w:tcBorders>
              <w:top w:val="single" w:sz="4" w:space="0" w:color="auto"/>
              <w:left w:val="nil"/>
              <w:bottom w:val="single" w:sz="4" w:space="0" w:color="auto"/>
              <w:right w:val="nil"/>
            </w:tcBorders>
            <w:shd w:val="clear" w:color="auto" w:fill="auto"/>
            <w:noWrap/>
            <w:vAlign w:val="bottom"/>
            <w:hideMark/>
          </w:tcPr>
          <w:p w14:paraId="21036F14" w14:textId="77777777" w:rsidR="00FE5EC8" w:rsidRPr="00730B1E" w:rsidRDefault="00FE5EC8" w:rsidP="00FE5EC8">
            <w:pPr>
              <w:spacing w:line="240" w:lineRule="auto"/>
              <w:jc w:val="left"/>
              <w:rPr>
                <w:rFonts w:eastAsia="Times New Roman"/>
                <w:szCs w:val="24"/>
                <w:lang w:eastAsia="cs-CZ"/>
              </w:rPr>
            </w:pPr>
            <w:r w:rsidRPr="00730B1E">
              <w:rPr>
                <w:rFonts w:eastAsia="Times New Roman"/>
                <w:szCs w:val="24"/>
                <w:lang w:eastAsia="cs-CZ"/>
              </w:rPr>
              <w:t>MS Praha</w:t>
            </w:r>
          </w:p>
        </w:tc>
        <w:tc>
          <w:tcPr>
            <w:tcW w:w="948" w:type="dxa"/>
            <w:tcBorders>
              <w:top w:val="single" w:sz="4" w:space="0" w:color="auto"/>
              <w:left w:val="nil"/>
              <w:bottom w:val="single" w:sz="4" w:space="0" w:color="auto"/>
              <w:right w:val="nil"/>
            </w:tcBorders>
            <w:shd w:val="clear" w:color="auto" w:fill="auto"/>
            <w:noWrap/>
            <w:vAlign w:val="bottom"/>
            <w:hideMark/>
          </w:tcPr>
          <w:p w14:paraId="1BC920DE"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1 201</w:t>
            </w:r>
          </w:p>
        </w:tc>
        <w:tc>
          <w:tcPr>
            <w:tcW w:w="994" w:type="dxa"/>
            <w:tcBorders>
              <w:top w:val="single" w:sz="4" w:space="0" w:color="auto"/>
              <w:left w:val="nil"/>
              <w:bottom w:val="single" w:sz="4" w:space="0" w:color="auto"/>
              <w:right w:val="nil"/>
            </w:tcBorders>
            <w:shd w:val="clear" w:color="auto" w:fill="auto"/>
            <w:noWrap/>
            <w:vAlign w:val="center"/>
            <w:hideMark/>
          </w:tcPr>
          <w:p w14:paraId="0DFEACE2"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48" w:type="dxa"/>
            <w:tcBorders>
              <w:top w:val="single" w:sz="4" w:space="0" w:color="auto"/>
              <w:left w:val="single" w:sz="4" w:space="0" w:color="auto"/>
              <w:bottom w:val="single" w:sz="4" w:space="0" w:color="auto"/>
              <w:right w:val="nil"/>
            </w:tcBorders>
            <w:shd w:val="clear" w:color="auto" w:fill="auto"/>
            <w:noWrap/>
            <w:vAlign w:val="bottom"/>
            <w:hideMark/>
          </w:tcPr>
          <w:p w14:paraId="7E3B1178"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1 028</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3B1A31B7"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948" w:type="dxa"/>
            <w:tcBorders>
              <w:top w:val="single" w:sz="4" w:space="0" w:color="auto"/>
              <w:left w:val="nil"/>
              <w:bottom w:val="single" w:sz="4" w:space="0" w:color="auto"/>
              <w:right w:val="nil"/>
            </w:tcBorders>
            <w:shd w:val="clear" w:color="auto" w:fill="auto"/>
            <w:noWrap/>
            <w:vAlign w:val="bottom"/>
            <w:hideMark/>
          </w:tcPr>
          <w:p w14:paraId="76F1FC8A"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1 588</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3C7229C7"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+12 %  </w:t>
            </w:r>
          </w:p>
        </w:tc>
        <w:tc>
          <w:tcPr>
            <w:tcW w:w="1391" w:type="dxa"/>
            <w:tcBorders>
              <w:top w:val="single" w:sz="4" w:space="0" w:color="auto"/>
              <w:left w:val="nil"/>
              <w:bottom w:val="single" w:sz="4" w:space="0" w:color="auto"/>
              <w:right w:val="nil"/>
            </w:tcBorders>
            <w:shd w:val="clear" w:color="auto" w:fill="auto"/>
            <w:noWrap/>
            <w:vAlign w:val="bottom"/>
            <w:hideMark/>
          </w:tcPr>
          <w:p w14:paraId="02B983A6" w14:textId="27EC692C"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85</w:t>
            </w:r>
            <w:r w:rsidR="00FB1680" w:rsidRPr="00730B1E">
              <w:rPr>
                <w:rFonts w:eastAsia="Times New Roman"/>
                <w:szCs w:val="24"/>
                <w:lang w:eastAsia="cs-CZ"/>
              </w:rPr>
              <w:t>,</w:t>
            </w:r>
            <w:r w:rsidRPr="00730B1E">
              <w:rPr>
                <w:rFonts w:eastAsia="Times New Roman"/>
                <w:szCs w:val="24"/>
                <w:lang w:eastAsia="cs-CZ"/>
              </w:rPr>
              <w:t>60</w:t>
            </w:r>
          </w:p>
        </w:tc>
      </w:tr>
      <w:tr w:rsidR="00B64E96" w:rsidRPr="00730B1E" w14:paraId="0D64E226"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62892640" w14:textId="77777777" w:rsidR="00FE5EC8" w:rsidRPr="00730B1E" w:rsidRDefault="00FE5EC8" w:rsidP="00FE5EC8">
            <w:pPr>
              <w:spacing w:line="240" w:lineRule="auto"/>
              <w:jc w:val="left"/>
              <w:rPr>
                <w:rFonts w:eastAsia="Times New Roman"/>
                <w:szCs w:val="24"/>
                <w:lang w:eastAsia="cs-CZ"/>
              </w:rPr>
            </w:pPr>
            <w:r w:rsidRPr="00730B1E">
              <w:rPr>
                <w:rFonts w:eastAsia="Times New Roman"/>
                <w:szCs w:val="24"/>
                <w:lang w:eastAsia="cs-CZ"/>
              </w:rPr>
              <w:t>KS Praha</w:t>
            </w:r>
          </w:p>
        </w:tc>
        <w:tc>
          <w:tcPr>
            <w:tcW w:w="948" w:type="dxa"/>
            <w:tcBorders>
              <w:top w:val="nil"/>
              <w:left w:val="nil"/>
              <w:bottom w:val="single" w:sz="4" w:space="0" w:color="auto"/>
              <w:right w:val="nil"/>
            </w:tcBorders>
            <w:shd w:val="clear" w:color="auto" w:fill="auto"/>
            <w:noWrap/>
            <w:vAlign w:val="bottom"/>
            <w:hideMark/>
          </w:tcPr>
          <w:p w14:paraId="428D53C5"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368</w:t>
            </w:r>
          </w:p>
        </w:tc>
        <w:tc>
          <w:tcPr>
            <w:tcW w:w="994" w:type="dxa"/>
            <w:tcBorders>
              <w:top w:val="nil"/>
              <w:left w:val="nil"/>
              <w:bottom w:val="single" w:sz="4" w:space="0" w:color="auto"/>
              <w:right w:val="nil"/>
            </w:tcBorders>
            <w:shd w:val="clear" w:color="auto" w:fill="auto"/>
            <w:noWrap/>
            <w:vAlign w:val="center"/>
            <w:hideMark/>
          </w:tcPr>
          <w:p w14:paraId="42D38355"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48" w:type="dxa"/>
            <w:tcBorders>
              <w:top w:val="nil"/>
              <w:left w:val="single" w:sz="4" w:space="0" w:color="auto"/>
              <w:bottom w:val="single" w:sz="4" w:space="0" w:color="auto"/>
              <w:right w:val="nil"/>
            </w:tcBorders>
            <w:shd w:val="clear" w:color="auto" w:fill="auto"/>
            <w:noWrap/>
            <w:vAlign w:val="bottom"/>
            <w:hideMark/>
          </w:tcPr>
          <w:p w14:paraId="47623AC1"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422</w:t>
            </w:r>
          </w:p>
        </w:tc>
        <w:tc>
          <w:tcPr>
            <w:tcW w:w="869" w:type="dxa"/>
            <w:tcBorders>
              <w:top w:val="nil"/>
              <w:left w:val="nil"/>
              <w:bottom w:val="single" w:sz="4" w:space="0" w:color="auto"/>
              <w:right w:val="single" w:sz="4" w:space="0" w:color="auto"/>
            </w:tcBorders>
            <w:shd w:val="clear" w:color="auto" w:fill="auto"/>
            <w:noWrap/>
            <w:vAlign w:val="center"/>
            <w:hideMark/>
          </w:tcPr>
          <w:p w14:paraId="1E74E704"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948" w:type="dxa"/>
            <w:tcBorders>
              <w:top w:val="nil"/>
              <w:left w:val="nil"/>
              <w:bottom w:val="single" w:sz="4" w:space="0" w:color="auto"/>
              <w:right w:val="nil"/>
            </w:tcBorders>
            <w:shd w:val="clear" w:color="auto" w:fill="auto"/>
            <w:noWrap/>
            <w:vAlign w:val="bottom"/>
            <w:hideMark/>
          </w:tcPr>
          <w:p w14:paraId="05CF4352"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236</w:t>
            </w:r>
          </w:p>
        </w:tc>
        <w:tc>
          <w:tcPr>
            <w:tcW w:w="994" w:type="dxa"/>
            <w:tcBorders>
              <w:top w:val="nil"/>
              <w:left w:val="nil"/>
              <w:bottom w:val="single" w:sz="4" w:space="0" w:color="auto"/>
              <w:right w:val="single" w:sz="4" w:space="0" w:color="auto"/>
            </w:tcBorders>
            <w:shd w:val="clear" w:color="auto" w:fill="auto"/>
            <w:noWrap/>
            <w:vAlign w:val="center"/>
            <w:hideMark/>
          </w:tcPr>
          <w:p w14:paraId="7B566379"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1391" w:type="dxa"/>
            <w:tcBorders>
              <w:top w:val="nil"/>
              <w:left w:val="nil"/>
              <w:bottom w:val="single" w:sz="4" w:space="0" w:color="auto"/>
              <w:right w:val="nil"/>
            </w:tcBorders>
            <w:shd w:val="clear" w:color="auto" w:fill="auto"/>
            <w:noWrap/>
            <w:vAlign w:val="bottom"/>
            <w:hideMark/>
          </w:tcPr>
          <w:p w14:paraId="3C330C1F" w14:textId="0C45B86A"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114</w:t>
            </w:r>
            <w:r w:rsidR="00FB1680" w:rsidRPr="00730B1E">
              <w:rPr>
                <w:rFonts w:eastAsia="Times New Roman"/>
                <w:szCs w:val="24"/>
                <w:lang w:eastAsia="cs-CZ"/>
              </w:rPr>
              <w:t>,</w:t>
            </w:r>
            <w:r w:rsidRPr="00730B1E">
              <w:rPr>
                <w:rFonts w:eastAsia="Times New Roman"/>
                <w:szCs w:val="24"/>
                <w:lang w:eastAsia="cs-CZ"/>
              </w:rPr>
              <w:t>67</w:t>
            </w:r>
          </w:p>
        </w:tc>
      </w:tr>
      <w:tr w:rsidR="00B64E96" w:rsidRPr="00730B1E" w14:paraId="4B28E56B"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724479F5" w14:textId="77777777" w:rsidR="00FE5EC8" w:rsidRPr="00730B1E" w:rsidRDefault="00FE5EC8" w:rsidP="00FE5EC8">
            <w:pPr>
              <w:spacing w:line="240" w:lineRule="auto"/>
              <w:jc w:val="left"/>
              <w:rPr>
                <w:rFonts w:eastAsia="Times New Roman"/>
                <w:szCs w:val="24"/>
                <w:lang w:eastAsia="cs-CZ"/>
              </w:rPr>
            </w:pPr>
            <w:r w:rsidRPr="00730B1E">
              <w:rPr>
                <w:rFonts w:eastAsia="Times New Roman"/>
                <w:szCs w:val="24"/>
                <w:lang w:eastAsia="cs-CZ"/>
              </w:rPr>
              <w:t>KS Č. Budějovice</w:t>
            </w:r>
          </w:p>
        </w:tc>
        <w:tc>
          <w:tcPr>
            <w:tcW w:w="948" w:type="dxa"/>
            <w:tcBorders>
              <w:top w:val="nil"/>
              <w:left w:val="nil"/>
              <w:bottom w:val="single" w:sz="4" w:space="0" w:color="auto"/>
              <w:right w:val="nil"/>
            </w:tcBorders>
            <w:shd w:val="clear" w:color="auto" w:fill="auto"/>
            <w:noWrap/>
            <w:vAlign w:val="bottom"/>
            <w:hideMark/>
          </w:tcPr>
          <w:p w14:paraId="4807A803"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127</w:t>
            </w:r>
          </w:p>
        </w:tc>
        <w:tc>
          <w:tcPr>
            <w:tcW w:w="994" w:type="dxa"/>
            <w:tcBorders>
              <w:top w:val="nil"/>
              <w:left w:val="nil"/>
              <w:bottom w:val="single" w:sz="4" w:space="0" w:color="auto"/>
              <w:right w:val="nil"/>
            </w:tcBorders>
            <w:shd w:val="clear" w:color="auto" w:fill="auto"/>
            <w:noWrap/>
            <w:vAlign w:val="center"/>
            <w:hideMark/>
          </w:tcPr>
          <w:p w14:paraId="68C5463E"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948" w:type="dxa"/>
            <w:tcBorders>
              <w:top w:val="nil"/>
              <w:left w:val="single" w:sz="4" w:space="0" w:color="auto"/>
              <w:bottom w:val="single" w:sz="4" w:space="0" w:color="auto"/>
              <w:right w:val="nil"/>
            </w:tcBorders>
            <w:shd w:val="clear" w:color="auto" w:fill="auto"/>
            <w:noWrap/>
            <w:vAlign w:val="bottom"/>
            <w:hideMark/>
          </w:tcPr>
          <w:p w14:paraId="7324997A"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128</w:t>
            </w:r>
          </w:p>
        </w:tc>
        <w:tc>
          <w:tcPr>
            <w:tcW w:w="869" w:type="dxa"/>
            <w:tcBorders>
              <w:top w:val="nil"/>
              <w:left w:val="nil"/>
              <w:bottom w:val="single" w:sz="4" w:space="0" w:color="auto"/>
              <w:right w:val="single" w:sz="4" w:space="0" w:color="auto"/>
            </w:tcBorders>
            <w:shd w:val="clear" w:color="auto" w:fill="auto"/>
            <w:noWrap/>
            <w:vAlign w:val="center"/>
            <w:hideMark/>
          </w:tcPr>
          <w:p w14:paraId="5E20DF2B"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c>
          <w:tcPr>
            <w:tcW w:w="948" w:type="dxa"/>
            <w:tcBorders>
              <w:top w:val="nil"/>
              <w:left w:val="nil"/>
              <w:bottom w:val="single" w:sz="4" w:space="0" w:color="auto"/>
              <w:right w:val="nil"/>
            </w:tcBorders>
            <w:shd w:val="clear" w:color="auto" w:fill="auto"/>
            <w:noWrap/>
            <w:vAlign w:val="bottom"/>
            <w:hideMark/>
          </w:tcPr>
          <w:p w14:paraId="2E1E6C95"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79</w:t>
            </w:r>
          </w:p>
        </w:tc>
        <w:tc>
          <w:tcPr>
            <w:tcW w:w="994" w:type="dxa"/>
            <w:tcBorders>
              <w:top w:val="nil"/>
              <w:left w:val="nil"/>
              <w:bottom w:val="single" w:sz="4" w:space="0" w:color="auto"/>
              <w:right w:val="single" w:sz="4" w:space="0" w:color="auto"/>
            </w:tcBorders>
            <w:shd w:val="clear" w:color="auto" w:fill="auto"/>
            <w:noWrap/>
            <w:vAlign w:val="center"/>
            <w:hideMark/>
          </w:tcPr>
          <w:p w14:paraId="6038628C"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1391" w:type="dxa"/>
            <w:tcBorders>
              <w:top w:val="nil"/>
              <w:left w:val="nil"/>
              <w:bottom w:val="single" w:sz="4" w:space="0" w:color="auto"/>
              <w:right w:val="nil"/>
            </w:tcBorders>
            <w:shd w:val="clear" w:color="auto" w:fill="auto"/>
            <w:noWrap/>
            <w:vAlign w:val="bottom"/>
            <w:hideMark/>
          </w:tcPr>
          <w:p w14:paraId="6E298D91" w14:textId="186495E8"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100</w:t>
            </w:r>
            <w:r w:rsidR="00FB1680" w:rsidRPr="00730B1E">
              <w:rPr>
                <w:rFonts w:eastAsia="Times New Roman"/>
                <w:szCs w:val="24"/>
                <w:lang w:eastAsia="cs-CZ"/>
              </w:rPr>
              <w:t>,</w:t>
            </w:r>
            <w:r w:rsidRPr="00730B1E">
              <w:rPr>
                <w:rFonts w:eastAsia="Times New Roman"/>
                <w:szCs w:val="24"/>
                <w:lang w:eastAsia="cs-CZ"/>
              </w:rPr>
              <w:t>79</w:t>
            </w:r>
          </w:p>
        </w:tc>
      </w:tr>
      <w:tr w:rsidR="00B64E96" w:rsidRPr="00730B1E" w14:paraId="0AF52220"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7AF60984" w14:textId="77777777" w:rsidR="00FE5EC8" w:rsidRPr="00730B1E" w:rsidRDefault="00FE5EC8" w:rsidP="00FE5EC8">
            <w:pPr>
              <w:spacing w:line="240" w:lineRule="auto"/>
              <w:jc w:val="left"/>
              <w:rPr>
                <w:rFonts w:eastAsia="Times New Roman"/>
                <w:szCs w:val="24"/>
                <w:lang w:eastAsia="cs-CZ"/>
              </w:rPr>
            </w:pPr>
            <w:r w:rsidRPr="00730B1E">
              <w:rPr>
                <w:rFonts w:eastAsia="Times New Roman"/>
                <w:szCs w:val="24"/>
                <w:lang w:eastAsia="cs-CZ"/>
              </w:rPr>
              <w:t>KS Plzeň</w:t>
            </w:r>
          </w:p>
        </w:tc>
        <w:tc>
          <w:tcPr>
            <w:tcW w:w="948" w:type="dxa"/>
            <w:tcBorders>
              <w:top w:val="nil"/>
              <w:left w:val="nil"/>
              <w:bottom w:val="single" w:sz="4" w:space="0" w:color="auto"/>
              <w:right w:val="nil"/>
            </w:tcBorders>
            <w:shd w:val="clear" w:color="auto" w:fill="auto"/>
            <w:noWrap/>
            <w:vAlign w:val="bottom"/>
            <w:hideMark/>
          </w:tcPr>
          <w:p w14:paraId="4BD81061"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171</w:t>
            </w:r>
          </w:p>
        </w:tc>
        <w:tc>
          <w:tcPr>
            <w:tcW w:w="994" w:type="dxa"/>
            <w:tcBorders>
              <w:top w:val="nil"/>
              <w:left w:val="nil"/>
              <w:bottom w:val="single" w:sz="4" w:space="0" w:color="auto"/>
              <w:right w:val="nil"/>
            </w:tcBorders>
            <w:shd w:val="clear" w:color="auto" w:fill="auto"/>
            <w:noWrap/>
            <w:vAlign w:val="center"/>
            <w:hideMark/>
          </w:tcPr>
          <w:p w14:paraId="3AF923CB"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948" w:type="dxa"/>
            <w:tcBorders>
              <w:top w:val="nil"/>
              <w:left w:val="single" w:sz="4" w:space="0" w:color="auto"/>
              <w:bottom w:val="single" w:sz="4" w:space="0" w:color="auto"/>
              <w:right w:val="nil"/>
            </w:tcBorders>
            <w:shd w:val="clear" w:color="auto" w:fill="auto"/>
            <w:noWrap/>
            <w:vAlign w:val="bottom"/>
            <w:hideMark/>
          </w:tcPr>
          <w:p w14:paraId="02DEF253"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171</w:t>
            </w:r>
          </w:p>
        </w:tc>
        <w:tc>
          <w:tcPr>
            <w:tcW w:w="869" w:type="dxa"/>
            <w:tcBorders>
              <w:top w:val="nil"/>
              <w:left w:val="nil"/>
              <w:bottom w:val="single" w:sz="4" w:space="0" w:color="auto"/>
              <w:right w:val="single" w:sz="4" w:space="0" w:color="auto"/>
            </w:tcBorders>
            <w:shd w:val="clear" w:color="auto" w:fill="auto"/>
            <w:noWrap/>
            <w:vAlign w:val="center"/>
            <w:hideMark/>
          </w:tcPr>
          <w:p w14:paraId="3E0309E2"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-31 %  </w:t>
            </w:r>
          </w:p>
        </w:tc>
        <w:tc>
          <w:tcPr>
            <w:tcW w:w="948" w:type="dxa"/>
            <w:tcBorders>
              <w:top w:val="nil"/>
              <w:left w:val="nil"/>
              <w:bottom w:val="single" w:sz="4" w:space="0" w:color="auto"/>
              <w:right w:val="nil"/>
            </w:tcBorders>
            <w:shd w:val="clear" w:color="auto" w:fill="auto"/>
            <w:noWrap/>
            <w:vAlign w:val="bottom"/>
            <w:hideMark/>
          </w:tcPr>
          <w:p w14:paraId="159EF1A2"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166</w:t>
            </w:r>
          </w:p>
        </w:tc>
        <w:tc>
          <w:tcPr>
            <w:tcW w:w="994" w:type="dxa"/>
            <w:tcBorders>
              <w:top w:val="nil"/>
              <w:left w:val="nil"/>
              <w:bottom w:val="single" w:sz="4" w:space="0" w:color="auto"/>
              <w:right w:val="single" w:sz="4" w:space="0" w:color="auto"/>
            </w:tcBorders>
            <w:shd w:val="clear" w:color="auto" w:fill="auto"/>
            <w:noWrap/>
            <w:vAlign w:val="center"/>
            <w:hideMark/>
          </w:tcPr>
          <w:p w14:paraId="0DA885C2"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+0 %  </w:t>
            </w:r>
          </w:p>
        </w:tc>
        <w:tc>
          <w:tcPr>
            <w:tcW w:w="1391" w:type="dxa"/>
            <w:tcBorders>
              <w:top w:val="nil"/>
              <w:left w:val="nil"/>
              <w:bottom w:val="single" w:sz="4" w:space="0" w:color="auto"/>
              <w:right w:val="nil"/>
            </w:tcBorders>
            <w:shd w:val="clear" w:color="auto" w:fill="auto"/>
            <w:noWrap/>
            <w:vAlign w:val="bottom"/>
            <w:hideMark/>
          </w:tcPr>
          <w:p w14:paraId="152015E8" w14:textId="1F9B27A5"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100</w:t>
            </w:r>
            <w:r w:rsidR="00FB1680" w:rsidRPr="00730B1E">
              <w:rPr>
                <w:rFonts w:eastAsia="Times New Roman"/>
                <w:szCs w:val="24"/>
                <w:lang w:eastAsia="cs-CZ"/>
              </w:rPr>
              <w:t>,</w:t>
            </w:r>
            <w:r w:rsidRPr="00730B1E">
              <w:rPr>
                <w:rFonts w:eastAsia="Times New Roman"/>
                <w:szCs w:val="24"/>
                <w:lang w:eastAsia="cs-CZ"/>
              </w:rPr>
              <w:t>00</w:t>
            </w:r>
          </w:p>
        </w:tc>
      </w:tr>
      <w:tr w:rsidR="00B64E96" w:rsidRPr="00730B1E" w14:paraId="2337360C"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792AEBFB" w14:textId="77777777" w:rsidR="00FE5EC8" w:rsidRPr="00730B1E" w:rsidRDefault="00FE5EC8" w:rsidP="00FE5EC8">
            <w:pPr>
              <w:spacing w:line="240" w:lineRule="auto"/>
              <w:jc w:val="left"/>
              <w:rPr>
                <w:rFonts w:eastAsia="Times New Roman"/>
                <w:szCs w:val="24"/>
                <w:lang w:eastAsia="cs-CZ"/>
              </w:rPr>
            </w:pPr>
            <w:r w:rsidRPr="00730B1E">
              <w:rPr>
                <w:rFonts w:eastAsia="Times New Roman"/>
                <w:szCs w:val="24"/>
                <w:lang w:eastAsia="cs-CZ"/>
              </w:rPr>
              <w:t>KS Ústí n. Labem</w:t>
            </w:r>
          </w:p>
        </w:tc>
        <w:tc>
          <w:tcPr>
            <w:tcW w:w="948" w:type="dxa"/>
            <w:tcBorders>
              <w:top w:val="nil"/>
              <w:left w:val="nil"/>
              <w:bottom w:val="single" w:sz="4" w:space="0" w:color="auto"/>
              <w:right w:val="nil"/>
            </w:tcBorders>
            <w:shd w:val="clear" w:color="auto" w:fill="auto"/>
            <w:noWrap/>
            <w:vAlign w:val="bottom"/>
            <w:hideMark/>
          </w:tcPr>
          <w:p w14:paraId="7EABEB86"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655</w:t>
            </w:r>
          </w:p>
        </w:tc>
        <w:tc>
          <w:tcPr>
            <w:tcW w:w="994" w:type="dxa"/>
            <w:tcBorders>
              <w:top w:val="nil"/>
              <w:left w:val="nil"/>
              <w:bottom w:val="single" w:sz="4" w:space="0" w:color="auto"/>
              <w:right w:val="nil"/>
            </w:tcBorders>
            <w:shd w:val="clear" w:color="auto" w:fill="auto"/>
            <w:noWrap/>
            <w:vAlign w:val="center"/>
            <w:hideMark/>
          </w:tcPr>
          <w:p w14:paraId="247770E3"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+97 %  </w:t>
            </w:r>
          </w:p>
        </w:tc>
        <w:tc>
          <w:tcPr>
            <w:tcW w:w="948" w:type="dxa"/>
            <w:tcBorders>
              <w:top w:val="nil"/>
              <w:left w:val="single" w:sz="4" w:space="0" w:color="auto"/>
              <w:bottom w:val="single" w:sz="4" w:space="0" w:color="auto"/>
              <w:right w:val="nil"/>
            </w:tcBorders>
            <w:shd w:val="clear" w:color="auto" w:fill="auto"/>
            <w:noWrap/>
            <w:vAlign w:val="bottom"/>
            <w:hideMark/>
          </w:tcPr>
          <w:p w14:paraId="15327C06"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349</w:t>
            </w:r>
          </w:p>
        </w:tc>
        <w:tc>
          <w:tcPr>
            <w:tcW w:w="869" w:type="dxa"/>
            <w:tcBorders>
              <w:top w:val="nil"/>
              <w:left w:val="nil"/>
              <w:bottom w:val="single" w:sz="4" w:space="0" w:color="auto"/>
              <w:right w:val="single" w:sz="4" w:space="0" w:color="auto"/>
            </w:tcBorders>
            <w:shd w:val="clear" w:color="auto" w:fill="auto"/>
            <w:noWrap/>
            <w:vAlign w:val="center"/>
            <w:hideMark/>
          </w:tcPr>
          <w:p w14:paraId="4CCCB790"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948" w:type="dxa"/>
            <w:tcBorders>
              <w:top w:val="nil"/>
              <w:left w:val="nil"/>
              <w:bottom w:val="single" w:sz="4" w:space="0" w:color="auto"/>
              <w:right w:val="nil"/>
            </w:tcBorders>
            <w:shd w:val="clear" w:color="auto" w:fill="auto"/>
            <w:noWrap/>
            <w:vAlign w:val="bottom"/>
            <w:hideMark/>
          </w:tcPr>
          <w:p w14:paraId="64AAF0CB"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672</w:t>
            </w:r>
          </w:p>
        </w:tc>
        <w:tc>
          <w:tcPr>
            <w:tcW w:w="994" w:type="dxa"/>
            <w:tcBorders>
              <w:top w:val="nil"/>
              <w:left w:val="nil"/>
              <w:bottom w:val="single" w:sz="4" w:space="0" w:color="auto"/>
              <w:right w:val="single" w:sz="4" w:space="0" w:color="auto"/>
            </w:tcBorders>
            <w:shd w:val="clear" w:color="auto" w:fill="auto"/>
            <w:noWrap/>
            <w:vAlign w:val="center"/>
            <w:hideMark/>
          </w:tcPr>
          <w:p w14:paraId="0CE481A7"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+85 %  </w:t>
            </w:r>
          </w:p>
        </w:tc>
        <w:tc>
          <w:tcPr>
            <w:tcW w:w="1391" w:type="dxa"/>
            <w:tcBorders>
              <w:top w:val="nil"/>
              <w:left w:val="nil"/>
              <w:bottom w:val="single" w:sz="4" w:space="0" w:color="auto"/>
              <w:right w:val="nil"/>
            </w:tcBorders>
            <w:shd w:val="clear" w:color="auto" w:fill="auto"/>
            <w:noWrap/>
            <w:vAlign w:val="bottom"/>
            <w:hideMark/>
          </w:tcPr>
          <w:p w14:paraId="354E9858" w14:textId="7DA7F9B5"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53</w:t>
            </w:r>
            <w:r w:rsidR="00FB1680" w:rsidRPr="00730B1E">
              <w:rPr>
                <w:rFonts w:eastAsia="Times New Roman"/>
                <w:szCs w:val="24"/>
                <w:lang w:eastAsia="cs-CZ"/>
              </w:rPr>
              <w:t>,</w:t>
            </w:r>
            <w:r w:rsidRPr="00730B1E">
              <w:rPr>
                <w:rFonts w:eastAsia="Times New Roman"/>
                <w:szCs w:val="24"/>
                <w:lang w:eastAsia="cs-CZ"/>
              </w:rPr>
              <w:t>28</w:t>
            </w:r>
          </w:p>
        </w:tc>
      </w:tr>
      <w:tr w:rsidR="00B64E96" w:rsidRPr="00730B1E" w14:paraId="7784F81C"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1821282E" w14:textId="77777777" w:rsidR="00FE5EC8" w:rsidRPr="00730B1E" w:rsidRDefault="00FE5EC8" w:rsidP="00FE5EC8">
            <w:pPr>
              <w:spacing w:line="240" w:lineRule="auto"/>
              <w:jc w:val="left"/>
              <w:rPr>
                <w:rFonts w:eastAsia="Times New Roman"/>
                <w:szCs w:val="24"/>
                <w:lang w:eastAsia="cs-CZ"/>
              </w:rPr>
            </w:pPr>
            <w:r w:rsidRPr="00730B1E">
              <w:rPr>
                <w:rFonts w:eastAsia="Times New Roman"/>
                <w:szCs w:val="24"/>
                <w:lang w:eastAsia="cs-CZ"/>
              </w:rPr>
              <w:t>KS Hr. Králové</w:t>
            </w:r>
          </w:p>
        </w:tc>
        <w:tc>
          <w:tcPr>
            <w:tcW w:w="948" w:type="dxa"/>
            <w:tcBorders>
              <w:top w:val="nil"/>
              <w:left w:val="nil"/>
              <w:bottom w:val="single" w:sz="4" w:space="0" w:color="auto"/>
              <w:right w:val="nil"/>
            </w:tcBorders>
            <w:shd w:val="clear" w:color="auto" w:fill="auto"/>
            <w:noWrap/>
            <w:vAlign w:val="bottom"/>
            <w:hideMark/>
          </w:tcPr>
          <w:p w14:paraId="4B0F1A91"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294</w:t>
            </w:r>
          </w:p>
        </w:tc>
        <w:tc>
          <w:tcPr>
            <w:tcW w:w="994" w:type="dxa"/>
            <w:tcBorders>
              <w:top w:val="nil"/>
              <w:left w:val="nil"/>
              <w:bottom w:val="single" w:sz="4" w:space="0" w:color="auto"/>
              <w:right w:val="nil"/>
            </w:tcBorders>
            <w:shd w:val="clear" w:color="auto" w:fill="auto"/>
            <w:noWrap/>
            <w:vAlign w:val="center"/>
            <w:hideMark/>
          </w:tcPr>
          <w:p w14:paraId="1D7B0CD0"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948" w:type="dxa"/>
            <w:tcBorders>
              <w:top w:val="nil"/>
              <w:left w:val="single" w:sz="4" w:space="0" w:color="auto"/>
              <w:bottom w:val="single" w:sz="4" w:space="0" w:color="auto"/>
              <w:right w:val="nil"/>
            </w:tcBorders>
            <w:shd w:val="clear" w:color="auto" w:fill="auto"/>
            <w:noWrap/>
            <w:vAlign w:val="bottom"/>
            <w:hideMark/>
          </w:tcPr>
          <w:p w14:paraId="14A73CC4"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300</w:t>
            </w:r>
          </w:p>
        </w:tc>
        <w:tc>
          <w:tcPr>
            <w:tcW w:w="869" w:type="dxa"/>
            <w:tcBorders>
              <w:top w:val="nil"/>
              <w:left w:val="nil"/>
              <w:bottom w:val="single" w:sz="4" w:space="0" w:color="auto"/>
              <w:right w:val="single" w:sz="4" w:space="0" w:color="auto"/>
            </w:tcBorders>
            <w:shd w:val="clear" w:color="auto" w:fill="auto"/>
            <w:noWrap/>
            <w:vAlign w:val="center"/>
            <w:hideMark/>
          </w:tcPr>
          <w:p w14:paraId="6ED2DD54"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c>
          <w:tcPr>
            <w:tcW w:w="948" w:type="dxa"/>
            <w:tcBorders>
              <w:top w:val="nil"/>
              <w:left w:val="nil"/>
              <w:bottom w:val="single" w:sz="4" w:space="0" w:color="auto"/>
              <w:right w:val="nil"/>
            </w:tcBorders>
            <w:shd w:val="clear" w:color="auto" w:fill="auto"/>
            <w:noWrap/>
            <w:vAlign w:val="bottom"/>
            <w:hideMark/>
          </w:tcPr>
          <w:p w14:paraId="2A81CD36"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228</w:t>
            </w:r>
          </w:p>
        </w:tc>
        <w:tc>
          <w:tcPr>
            <w:tcW w:w="994" w:type="dxa"/>
            <w:tcBorders>
              <w:top w:val="nil"/>
              <w:left w:val="nil"/>
              <w:bottom w:val="single" w:sz="4" w:space="0" w:color="auto"/>
              <w:right w:val="single" w:sz="4" w:space="0" w:color="auto"/>
            </w:tcBorders>
            <w:shd w:val="clear" w:color="auto" w:fill="auto"/>
            <w:noWrap/>
            <w:vAlign w:val="center"/>
            <w:hideMark/>
          </w:tcPr>
          <w:p w14:paraId="50AA6775"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-3 %  </w:t>
            </w:r>
          </w:p>
        </w:tc>
        <w:tc>
          <w:tcPr>
            <w:tcW w:w="1391" w:type="dxa"/>
            <w:tcBorders>
              <w:top w:val="nil"/>
              <w:left w:val="nil"/>
              <w:bottom w:val="single" w:sz="4" w:space="0" w:color="auto"/>
              <w:right w:val="nil"/>
            </w:tcBorders>
            <w:shd w:val="clear" w:color="auto" w:fill="auto"/>
            <w:noWrap/>
            <w:vAlign w:val="bottom"/>
            <w:hideMark/>
          </w:tcPr>
          <w:p w14:paraId="344FE15A" w14:textId="622CF4B2"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102</w:t>
            </w:r>
            <w:r w:rsidR="00FB1680" w:rsidRPr="00730B1E">
              <w:rPr>
                <w:rFonts w:eastAsia="Times New Roman"/>
                <w:szCs w:val="24"/>
                <w:lang w:eastAsia="cs-CZ"/>
              </w:rPr>
              <w:t>,</w:t>
            </w:r>
            <w:r w:rsidRPr="00730B1E">
              <w:rPr>
                <w:rFonts w:eastAsia="Times New Roman"/>
                <w:szCs w:val="24"/>
                <w:lang w:eastAsia="cs-CZ"/>
              </w:rPr>
              <w:t>04</w:t>
            </w:r>
          </w:p>
        </w:tc>
      </w:tr>
      <w:tr w:rsidR="00B64E96" w:rsidRPr="00730B1E" w14:paraId="4EB7B7F0" w14:textId="77777777" w:rsidTr="009714A7">
        <w:trPr>
          <w:trHeight w:val="315"/>
        </w:trPr>
        <w:tc>
          <w:tcPr>
            <w:tcW w:w="1980" w:type="dxa"/>
            <w:tcBorders>
              <w:top w:val="nil"/>
              <w:left w:val="nil"/>
              <w:bottom w:val="single" w:sz="4" w:space="0" w:color="auto"/>
              <w:right w:val="nil"/>
            </w:tcBorders>
            <w:shd w:val="clear" w:color="auto" w:fill="auto"/>
            <w:noWrap/>
            <w:vAlign w:val="bottom"/>
            <w:hideMark/>
          </w:tcPr>
          <w:p w14:paraId="432F2FC6" w14:textId="77777777" w:rsidR="00FE5EC8" w:rsidRPr="00730B1E" w:rsidRDefault="00FE5EC8" w:rsidP="00FE5EC8">
            <w:pPr>
              <w:spacing w:line="240" w:lineRule="auto"/>
              <w:jc w:val="left"/>
              <w:rPr>
                <w:rFonts w:eastAsia="Times New Roman"/>
                <w:szCs w:val="24"/>
                <w:lang w:eastAsia="cs-CZ"/>
              </w:rPr>
            </w:pPr>
            <w:r w:rsidRPr="00730B1E">
              <w:rPr>
                <w:rFonts w:eastAsia="Times New Roman"/>
                <w:szCs w:val="24"/>
                <w:lang w:eastAsia="cs-CZ"/>
              </w:rPr>
              <w:t>KS Brno</w:t>
            </w:r>
          </w:p>
        </w:tc>
        <w:tc>
          <w:tcPr>
            <w:tcW w:w="948" w:type="dxa"/>
            <w:tcBorders>
              <w:top w:val="nil"/>
              <w:left w:val="nil"/>
              <w:bottom w:val="single" w:sz="4" w:space="0" w:color="auto"/>
              <w:right w:val="nil"/>
            </w:tcBorders>
            <w:shd w:val="clear" w:color="auto" w:fill="auto"/>
            <w:noWrap/>
            <w:vAlign w:val="bottom"/>
            <w:hideMark/>
          </w:tcPr>
          <w:p w14:paraId="0448A476"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498</w:t>
            </w:r>
          </w:p>
        </w:tc>
        <w:tc>
          <w:tcPr>
            <w:tcW w:w="994" w:type="dxa"/>
            <w:tcBorders>
              <w:top w:val="nil"/>
              <w:left w:val="nil"/>
              <w:bottom w:val="single" w:sz="4" w:space="0" w:color="auto"/>
              <w:right w:val="nil"/>
            </w:tcBorders>
            <w:shd w:val="clear" w:color="auto" w:fill="auto"/>
            <w:noWrap/>
            <w:vAlign w:val="center"/>
            <w:hideMark/>
          </w:tcPr>
          <w:p w14:paraId="71D9FB10"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-20 %  </w:t>
            </w:r>
          </w:p>
        </w:tc>
        <w:tc>
          <w:tcPr>
            <w:tcW w:w="948" w:type="dxa"/>
            <w:tcBorders>
              <w:top w:val="nil"/>
              <w:left w:val="single" w:sz="4" w:space="0" w:color="auto"/>
              <w:bottom w:val="single" w:sz="4" w:space="0" w:color="auto"/>
              <w:right w:val="nil"/>
            </w:tcBorders>
            <w:shd w:val="clear" w:color="auto" w:fill="auto"/>
            <w:noWrap/>
            <w:vAlign w:val="bottom"/>
            <w:hideMark/>
          </w:tcPr>
          <w:p w14:paraId="5281777E"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615</w:t>
            </w:r>
          </w:p>
        </w:tc>
        <w:tc>
          <w:tcPr>
            <w:tcW w:w="869" w:type="dxa"/>
            <w:tcBorders>
              <w:top w:val="nil"/>
              <w:left w:val="nil"/>
              <w:bottom w:val="single" w:sz="4" w:space="0" w:color="auto"/>
              <w:right w:val="single" w:sz="4" w:space="0" w:color="auto"/>
            </w:tcBorders>
            <w:shd w:val="clear" w:color="auto" w:fill="auto"/>
            <w:noWrap/>
            <w:vAlign w:val="center"/>
            <w:hideMark/>
          </w:tcPr>
          <w:p w14:paraId="4BD1FF27"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948" w:type="dxa"/>
            <w:tcBorders>
              <w:top w:val="nil"/>
              <w:left w:val="nil"/>
              <w:bottom w:val="single" w:sz="4" w:space="0" w:color="auto"/>
              <w:right w:val="nil"/>
            </w:tcBorders>
            <w:shd w:val="clear" w:color="auto" w:fill="auto"/>
            <w:noWrap/>
            <w:vAlign w:val="bottom"/>
            <w:hideMark/>
          </w:tcPr>
          <w:p w14:paraId="523667F7"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711</w:t>
            </w:r>
          </w:p>
        </w:tc>
        <w:tc>
          <w:tcPr>
            <w:tcW w:w="994" w:type="dxa"/>
            <w:tcBorders>
              <w:top w:val="nil"/>
              <w:left w:val="nil"/>
              <w:bottom w:val="single" w:sz="4" w:space="0" w:color="auto"/>
              <w:right w:val="single" w:sz="4" w:space="0" w:color="auto"/>
            </w:tcBorders>
            <w:shd w:val="clear" w:color="auto" w:fill="auto"/>
            <w:noWrap/>
            <w:vAlign w:val="center"/>
            <w:hideMark/>
          </w:tcPr>
          <w:p w14:paraId="0C3F3EAF"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1391" w:type="dxa"/>
            <w:tcBorders>
              <w:top w:val="nil"/>
              <w:left w:val="nil"/>
              <w:bottom w:val="single" w:sz="4" w:space="0" w:color="auto"/>
              <w:right w:val="nil"/>
            </w:tcBorders>
            <w:shd w:val="clear" w:color="auto" w:fill="auto"/>
            <w:noWrap/>
            <w:vAlign w:val="bottom"/>
            <w:hideMark/>
          </w:tcPr>
          <w:p w14:paraId="71546BC7" w14:textId="28E63BFE"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123</w:t>
            </w:r>
            <w:r w:rsidR="00FB1680" w:rsidRPr="00730B1E">
              <w:rPr>
                <w:rFonts w:eastAsia="Times New Roman"/>
                <w:szCs w:val="24"/>
                <w:lang w:eastAsia="cs-CZ"/>
              </w:rPr>
              <w:t>,</w:t>
            </w:r>
            <w:r w:rsidRPr="00730B1E">
              <w:rPr>
                <w:rFonts w:eastAsia="Times New Roman"/>
                <w:szCs w:val="24"/>
                <w:lang w:eastAsia="cs-CZ"/>
              </w:rPr>
              <w:t>49</w:t>
            </w:r>
          </w:p>
        </w:tc>
      </w:tr>
      <w:tr w:rsidR="00B64E96" w:rsidRPr="00730B1E" w14:paraId="5A1BFE5F" w14:textId="77777777" w:rsidTr="009714A7">
        <w:trPr>
          <w:trHeight w:val="330"/>
        </w:trPr>
        <w:tc>
          <w:tcPr>
            <w:tcW w:w="1980" w:type="dxa"/>
            <w:tcBorders>
              <w:top w:val="nil"/>
              <w:left w:val="nil"/>
              <w:bottom w:val="double" w:sz="6" w:space="0" w:color="auto"/>
              <w:right w:val="nil"/>
            </w:tcBorders>
            <w:shd w:val="clear" w:color="auto" w:fill="auto"/>
            <w:noWrap/>
            <w:vAlign w:val="bottom"/>
            <w:hideMark/>
          </w:tcPr>
          <w:p w14:paraId="79185BC2" w14:textId="77777777" w:rsidR="00FE5EC8" w:rsidRPr="00730B1E" w:rsidRDefault="00FE5EC8" w:rsidP="00FE5EC8">
            <w:pPr>
              <w:spacing w:line="240" w:lineRule="auto"/>
              <w:jc w:val="left"/>
              <w:rPr>
                <w:rFonts w:eastAsia="Times New Roman"/>
                <w:szCs w:val="24"/>
                <w:lang w:eastAsia="cs-CZ"/>
              </w:rPr>
            </w:pPr>
            <w:r w:rsidRPr="00730B1E">
              <w:rPr>
                <w:rFonts w:eastAsia="Times New Roman"/>
                <w:szCs w:val="24"/>
                <w:lang w:eastAsia="cs-CZ"/>
              </w:rPr>
              <w:t>KS Ostrava</w:t>
            </w:r>
          </w:p>
        </w:tc>
        <w:tc>
          <w:tcPr>
            <w:tcW w:w="948" w:type="dxa"/>
            <w:tcBorders>
              <w:top w:val="nil"/>
              <w:left w:val="nil"/>
              <w:bottom w:val="double" w:sz="6" w:space="0" w:color="auto"/>
              <w:right w:val="nil"/>
            </w:tcBorders>
            <w:shd w:val="clear" w:color="auto" w:fill="auto"/>
            <w:noWrap/>
            <w:vAlign w:val="bottom"/>
            <w:hideMark/>
          </w:tcPr>
          <w:p w14:paraId="36851F0F"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936</w:t>
            </w:r>
          </w:p>
        </w:tc>
        <w:tc>
          <w:tcPr>
            <w:tcW w:w="994" w:type="dxa"/>
            <w:tcBorders>
              <w:top w:val="nil"/>
              <w:left w:val="nil"/>
              <w:bottom w:val="double" w:sz="6" w:space="0" w:color="auto"/>
              <w:right w:val="nil"/>
            </w:tcBorders>
            <w:shd w:val="clear" w:color="auto" w:fill="auto"/>
            <w:noWrap/>
            <w:vAlign w:val="center"/>
            <w:hideMark/>
          </w:tcPr>
          <w:p w14:paraId="2C054669"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+67 %  </w:t>
            </w:r>
          </w:p>
        </w:tc>
        <w:tc>
          <w:tcPr>
            <w:tcW w:w="948" w:type="dxa"/>
            <w:tcBorders>
              <w:top w:val="nil"/>
              <w:left w:val="single" w:sz="4" w:space="0" w:color="auto"/>
              <w:bottom w:val="double" w:sz="6" w:space="0" w:color="auto"/>
              <w:right w:val="nil"/>
            </w:tcBorders>
            <w:shd w:val="clear" w:color="auto" w:fill="auto"/>
            <w:noWrap/>
            <w:vAlign w:val="bottom"/>
            <w:hideMark/>
          </w:tcPr>
          <w:p w14:paraId="616AFA51"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697</w:t>
            </w:r>
          </w:p>
        </w:tc>
        <w:tc>
          <w:tcPr>
            <w:tcW w:w="869" w:type="dxa"/>
            <w:tcBorders>
              <w:top w:val="nil"/>
              <w:left w:val="nil"/>
              <w:bottom w:val="double" w:sz="6" w:space="0" w:color="auto"/>
              <w:right w:val="single" w:sz="4" w:space="0" w:color="auto"/>
            </w:tcBorders>
            <w:shd w:val="clear" w:color="auto" w:fill="auto"/>
            <w:noWrap/>
            <w:vAlign w:val="center"/>
            <w:hideMark/>
          </w:tcPr>
          <w:p w14:paraId="6011DCE6"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48" w:type="dxa"/>
            <w:tcBorders>
              <w:top w:val="nil"/>
              <w:left w:val="nil"/>
              <w:bottom w:val="double" w:sz="6" w:space="0" w:color="auto"/>
              <w:right w:val="nil"/>
            </w:tcBorders>
            <w:shd w:val="clear" w:color="auto" w:fill="auto"/>
            <w:noWrap/>
            <w:vAlign w:val="bottom"/>
            <w:hideMark/>
          </w:tcPr>
          <w:p w14:paraId="28545DD7" w14:textId="77777777"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791</w:t>
            </w:r>
          </w:p>
        </w:tc>
        <w:tc>
          <w:tcPr>
            <w:tcW w:w="994" w:type="dxa"/>
            <w:tcBorders>
              <w:top w:val="nil"/>
              <w:left w:val="nil"/>
              <w:bottom w:val="double" w:sz="6" w:space="0" w:color="auto"/>
              <w:right w:val="single" w:sz="4" w:space="0" w:color="auto"/>
            </w:tcBorders>
            <w:shd w:val="clear" w:color="auto" w:fill="auto"/>
            <w:noWrap/>
            <w:vAlign w:val="center"/>
            <w:hideMark/>
          </w:tcPr>
          <w:p w14:paraId="47A0C55D" w14:textId="77777777" w:rsidR="00FE5EC8" w:rsidRPr="00730B1E" w:rsidRDefault="00FE5EC8" w:rsidP="00FE5EC8">
            <w:pPr>
              <w:spacing w:line="240" w:lineRule="auto"/>
              <w:jc w:val="center"/>
              <w:rPr>
                <w:rFonts w:eastAsia="Times New Roman"/>
                <w:sz w:val="20"/>
                <w:szCs w:val="20"/>
                <w:lang w:eastAsia="cs-CZ"/>
              </w:rPr>
            </w:pPr>
            <w:r w:rsidRPr="00730B1E">
              <w:rPr>
                <w:rFonts w:eastAsia="Times New Roman"/>
                <w:sz w:val="20"/>
                <w:szCs w:val="20"/>
                <w:lang w:eastAsia="cs-CZ"/>
              </w:rPr>
              <w:t xml:space="preserve">+43 %  </w:t>
            </w:r>
          </w:p>
        </w:tc>
        <w:tc>
          <w:tcPr>
            <w:tcW w:w="1391" w:type="dxa"/>
            <w:tcBorders>
              <w:top w:val="nil"/>
              <w:left w:val="nil"/>
              <w:bottom w:val="double" w:sz="6" w:space="0" w:color="auto"/>
              <w:right w:val="nil"/>
            </w:tcBorders>
            <w:shd w:val="clear" w:color="auto" w:fill="auto"/>
            <w:noWrap/>
            <w:vAlign w:val="bottom"/>
            <w:hideMark/>
          </w:tcPr>
          <w:p w14:paraId="7DC06CD4" w14:textId="24271BA9" w:rsidR="00FE5EC8" w:rsidRPr="00730B1E" w:rsidRDefault="00FE5EC8" w:rsidP="00FE5EC8">
            <w:pPr>
              <w:spacing w:line="240" w:lineRule="auto"/>
              <w:jc w:val="center"/>
              <w:rPr>
                <w:rFonts w:eastAsia="Times New Roman"/>
                <w:szCs w:val="24"/>
                <w:lang w:eastAsia="cs-CZ"/>
              </w:rPr>
            </w:pPr>
            <w:r w:rsidRPr="00730B1E">
              <w:rPr>
                <w:rFonts w:eastAsia="Times New Roman"/>
                <w:szCs w:val="24"/>
                <w:lang w:eastAsia="cs-CZ"/>
              </w:rPr>
              <w:t>74</w:t>
            </w:r>
            <w:r w:rsidR="00FB1680" w:rsidRPr="00730B1E">
              <w:rPr>
                <w:rFonts w:eastAsia="Times New Roman"/>
                <w:szCs w:val="24"/>
                <w:lang w:eastAsia="cs-CZ"/>
              </w:rPr>
              <w:t>,</w:t>
            </w:r>
            <w:r w:rsidRPr="00730B1E">
              <w:rPr>
                <w:rFonts w:eastAsia="Times New Roman"/>
                <w:szCs w:val="24"/>
                <w:lang w:eastAsia="cs-CZ"/>
              </w:rPr>
              <w:t>47</w:t>
            </w:r>
          </w:p>
        </w:tc>
      </w:tr>
      <w:tr w:rsidR="00B64E96" w:rsidRPr="00730B1E" w14:paraId="387B03A1" w14:textId="77777777" w:rsidTr="009714A7">
        <w:trPr>
          <w:trHeight w:val="345"/>
        </w:trPr>
        <w:tc>
          <w:tcPr>
            <w:tcW w:w="1980" w:type="dxa"/>
            <w:tcBorders>
              <w:top w:val="nil"/>
              <w:left w:val="nil"/>
              <w:bottom w:val="double" w:sz="6" w:space="0" w:color="auto"/>
              <w:right w:val="nil"/>
            </w:tcBorders>
            <w:shd w:val="clear" w:color="auto" w:fill="auto"/>
            <w:noWrap/>
            <w:vAlign w:val="bottom"/>
            <w:hideMark/>
          </w:tcPr>
          <w:p w14:paraId="7EFA5800" w14:textId="77777777" w:rsidR="00FE5EC8" w:rsidRPr="00730B1E" w:rsidRDefault="00FE5EC8" w:rsidP="00FE5EC8">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948" w:type="dxa"/>
            <w:tcBorders>
              <w:top w:val="nil"/>
              <w:left w:val="nil"/>
              <w:bottom w:val="double" w:sz="6" w:space="0" w:color="auto"/>
              <w:right w:val="nil"/>
            </w:tcBorders>
            <w:shd w:val="clear" w:color="auto" w:fill="auto"/>
            <w:noWrap/>
            <w:vAlign w:val="bottom"/>
            <w:hideMark/>
          </w:tcPr>
          <w:p w14:paraId="650F01DE" w14:textId="343686BF"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4</w:t>
            </w:r>
            <w:r w:rsidR="00165007" w:rsidRPr="00730B1E">
              <w:rPr>
                <w:rFonts w:eastAsia="Times New Roman"/>
                <w:b/>
                <w:bCs/>
                <w:szCs w:val="24"/>
                <w:lang w:eastAsia="cs-CZ"/>
              </w:rPr>
              <w:t xml:space="preserve"> </w:t>
            </w:r>
            <w:r w:rsidRPr="00730B1E">
              <w:rPr>
                <w:rFonts w:eastAsia="Times New Roman"/>
                <w:b/>
                <w:bCs/>
                <w:szCs w:val="24"/>
                <w:lang w:eastAsia="cs-CZ"/>
              </w:rPr>
              <w:t>250</w:t>
            </w:r>
          </w:p>
        </w:tc>
        <w:tc>
          <w:tcPr>
            <w:tcW w:w="994" w:type="dxa"/>
            <w:tcBorders>
              <w:top w:val="nil"/>
              <w:left w:val="nil"/>
              <w:bottom w:val="double" w:sz="6" w:space="0" w:color="auto"/>
              <w:right w:val="nil"/>
            </w:tcBorders>
            <w:shd w:val="clear" w:color="auto" w:fill="auto"/>
            <w:noWrap/>
            <w:vAlign w:val="center"/>
            <w:hideMark/>
          </w:tcPr>
          <w:p w14:paraId="0BC783E2" w14:textId="77777777" w:rsidR="00FE5EC8" w:rsidRPr="00730B1E" w:rsidRDefault="00FE5EC8" w:rsidP="00FE5EC8">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+15 %  </w:t>
            </w:r>
          </w:p>
        </w:tc>
        <w:tc>
          <w:tcPr>
            <w:tcW w:w="948" w:type="dxa"/>
            <w:tcBorders>
              <w:top w:val="nil"/>
              <w:left w:val="single" w:sz="4" w:space="0" w:color="auto"/>
              <w:bottom w:val="double" w:sz="6" w:space="0" w:color="auto"/>
              <w:right w:val="nil"/>
            </w:tcBorders>
            <w:shd w:val="clear" w:color="auto" w:fill="auto"/>
            <w:noWrap/>
            <w:vAlign w:val="bottom"/>
            <w:hideMark/>
          </w:tcPr>
          <w:p w14:paraId="001B2D9A" w14:textId="752CA083"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3</w:t>
            </w:r>
            <w:r w:rsidR="00165007" w:rsidRPr="00730B1E">
              <w:rPr>
                <w:rFonts w:eastAsia="Times New Roman"/>
                <w:b/>
                <w:bCs/>
                <w:szCs w:val="24"/>
                <w:lang w:eastAsia="cs-CZ"/>
              </w:rPr>
              <w:t xml:space="preserve"> </w:t>
            </w:r>
            <w:r w:rsidRPr="00730B1E">
              <w:rPr>
                <w:rFonts w:eastAsia="Times New Roman"/>
                <w:b/>
                <w:bCs/>
                <w:szCs w:val="24"/>
                <w:lang w:eastAsia="cs-CZ"/>
              </w:rPr>
              <w:t>710</w:t>
            </w:r>
          </w:p>
        </w:tc>
        <w:tc>
          <w:tcPr>
            <w:tcW w:w="869" w:type="dxa"/>
            <w:tcBorders>
              <w:top w:val="nil"/>
              <w:left w:val="nil"/>
              <w:bottom w:val="double" w:sz="6" w:space="0" w:color="auto"/>
              <w:right w:val="single" w:sz="4" w:space="0" w:color="auto"/>
            </w:tcBorders>
            <w:shd w:val="clear" w:color="auto" w:fill="auto"/>
            <w:noWrap/>
            <w:vAlign w:val="center"/>
            <w:hideMark/>
          </w:tcPr>
          <w:p w14:paraId="2DB11EC6" w14:textId="77777777" w:rsidR="00FE5EC8" w:rsidRPr="00730B1E" w:rsidRDefault="00FE5EC8" w:rsidP="00FE5EC8">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-10 %  </w:t>
            </w:r>
          </w:p>
        </w:tc>
        <w:tc>
          <w:tcPr>
            <w:tcW w:w="948" w:type="dxa"/>
            <w:tcBorders>
              <w:top w:val="nil"/>
              <w:left w:val="nil"/>
              <w:bottom w:val="double" w:sz="6" w:space="0" w:color="auto"/>
              <w:right w:val="nil"/>
            </w:tcBorders>
            <w:shd w:val="clear" w:color="auto" w:fill="auto"/>
            <w:noWrap/>
            <w:vAlign w:val="bottom"/>
            <w:hideMark/>
          </w:tcPr>
          <w:p w14:paraId="7EF663C0" w14:textId="3146390A"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4</w:t>
            </w:r>
            <w:r w:rsidR="00165007" w:rsidRPr="00730B1E">
              <w:rPr>
                <w:rFonts w:eastAsia="Times New Roman"/>
                <w:b/>
                <w:bCs/>
                <w:szCs w:val="24"/>
                <w:lang w:eastAsia="cs-CZ"/>
              </w:rPr>
              <w:t xml:space="preserve"> </w:t>
            </w:r>
            <w:r w:rsidRPr="00730B1E">
              <w:rPr>
                <w:rFonts w:eastAsia="Times New Roman"/>
                <w:b/>
                <w:bCs/>
                <w:szCs w:val="24"/>
                <w:lang w:eastAsia="cs-CZ"/>
              </w:rPr>
              <w:t>471</w:t>
            </w:r>
          </w:p>
        </w:tc>
        <w:tc>
          <w:tcPr>
            <w:tcW w:w="994" w:type="dxa"/>
            <w:tcBorders>
              <w:top w:val="nil"/>
              <w:left w:val="nil"/>
              <w:bottom w:val="double" w:sz="6" w:space="0" w:color="auto"/>
              <w:right w:val="single" w:sz="4" w:space="0" w:color="auto"/>
            </w:tcBorders>
            <w:shd w:val="clear" w:color="auto" w:fill="auto"/>
            <w:noWrap/>
            <w:vAlign w:val="center"/>
            <w:hideMark/>
          </w:tcPr>
          <w:p w14:paraId="4D5DB276" w14:textId="77777777" w:rsidR="00FE5EC8" w:rsidRPr="00730B1E" w:rsidRDefault="00FE5EC8" w:rsidP="00FE5EC8">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+14 %  </w:t>
            </w:r>
          </w:p>
        </w:tc>
        <w:tc>
          <w:tcPr>
            <w:tcW w:w="1391" w:type="dxa"/>
            <w:tcBorders>
              <w:top w:val="nil"/>
              <w:left w:val="nil"/>
              <w:bottom w:val="double" w:sz="6" w:space="0" w:color="auto"/>
              <w:right w:val="nil"/>
            </w:tcBorders>
            <w:shd w:val="clear" w:color="auto" w:fill="auto"/>
            <w:noWrap/>
            <w:vAlign w:val="bottom"/>
            <w:hideMark/>
          </w:tcPr>
          <w:p w14:paraId="1E94407F" w14:textId="0717B490" w:rsidR="00FE5EC8" w:rsidRPr="00730B1E" w:rsidRDefault="00FE5EC8" w:rsidP="00FE5EC8">
            <w:pPr>
              <w:spacing w:line="240" w:lineRule="auto"/>
              <w:jc w:val="center"/>
              <w:rPr>
                <w:rFonts w:eastAsia="Times New Roman"/>
                <w:b/>
                <w:bCs/>
                <w:szCs w:val="24"/>
                <w:lang w:eastAsia="cs-CZ"/>
              </w:rPr>
            </w:pPr>
            <w:r w:rsidRPr="00730B1E">
              <w:rPr>
                <w:rFonts w:eastAsia="Times New Roman"/>
                <w:b/>
                <w:bCs/>
                <w:szCs w:val="24"/>
                <w:lang w:eastAsia="cs-CZ"/>
              </w:rPr>
              <w:t>87</w:t>
            </w:r>
            <w:r w:rsidR="00FB1680" w:rsidRPr="00730B1E">
              <w:rPr>
                <w:rFonts w:eastAsia="Times New Roman"/>
                <w:b/>
                <w:bCs/>
                <w:szCs w:val="24"/>
                <w:lang w:eastAsia="cs-CZ"/>
              </w:rPr>
              <w:t>,</w:t>
            </w:r>
            <w:r w:rsidRPr="00730B1E">
              <w:rPr>
                <w:rFonts w:eastAsia="Times New Roman"/>
                <w:b/>
                <w:bCs/>
                <w:szCs w:val="24"/>
                <w:lang w:eastAsia="cs-CZ"/>
              </w:rPr>
              <w:t>29</w:t>
            </w:r>
          </w:p>
        </w:tc>
      </w:tr>
      <w:tr w:rsidR="00B64E96" w:rsidRPr="00730B1E" w14:paraId="423A2F68" w14:textId="77777777" w:rsidTr="00606356">
        <w:trPr>
          <w:trHeight w:val="330"/>
        </w:trPr>
        <w:tc>
          <w:tcPr>
            <w:tcW w:w="1980" w:type="dxa"/>
            <w:tcBorders>
              <w:top w:val="nil"/>
              <w:left w:val="nil"/>
              <w:bottom w:val="nil"/>
              <w:right w:val="nil"/>
            </w:tcBorders>
            <w:shd w:val="clear" w:color="auto" w:fill="auto"/>
            <w:noWrap/>
            <w:vAlign w:val="bottom"/>
            <w:hideMark/>
          </w:tcPr>
          <w:p w14:paraId="624719DE" w14:textId="77777777" w:rsidR="00FE5EC8" w:rsidRPr="00730B1E" w:rsidRDefault="00FE5EC8" w:rsidP="00FE5EC8">
            <w:pPr>
              <w:spacing w:line="240" w:lineRule="auto"/>
              <w:jc w:val="center"/>
              <w:rPr>
                <w:rFonts w:eastAsia="Times New Roman"/>
                <w:b/>
                <w:bCs/>
                <w:szCs w:val="24"/>
                <w:lang w:eastAsia="cs-CZ"/>
              </w:rPr>
            </w:pPr>
          </w:p>
        </w:tc>
        <w:tc>
          <w:tcPr>
            <w:tcW w:w="948" w:type="dxa"/>
            <w:tcBorders>
              <w:top w:val="nil"/>
              <w:left w:val="nil"/>
              <w:bottom w:val="nil"/>
              <w:right w:val="nil"/>
            </w:tcBorders>
            <w:shd w:val="clear" w:color="auto" w:fill="auto"/>
            <w:noWrap/>
            <w:vAlign w:val="bottom"/>
            <w:hideMark/>
          </w:tcPr>
          <w:p w14:paraId="5CB84671" w14:textId="77777777" w:rsidR="00FE5EC8" w:rsidRPr="00DF07F3" w:rsidRDefault="00FE5EC8" w:rsidP="00FE5EC8">
            <w:pPr>
              <w:spacing w:line="240" w:lineRule="auto"/>
              <w:jc w:val="left"/>
              <w:rPr>
                <w:sz w:val="20"/>
              </w:rPr>
            </w:pPr>
          </w:p>
        </w:tc>
        <w:tc>
          <w:tcPr>
            <w:tcW w:w="994" w:type="dxa"/>
            <w:tcBorders>
              <w:top w:val="nil"/>
              <w:left w:val="nil"/>
              <w:bottom w:val="nil"/>
              <w:right w:val="nil"/>
            </w:tcBorders>
            <w:shd w:val="clear" w:color="auto" w:fill="auto"/>
            <w:noWrap/>
            <w:vAlign w:val="bottom"/>
            <w:hideMark/>
          </w:tcPr>
          <w:p w14:paraId="2473535D" w14:textId="77777777" w:rsidR="00FE5EC8" w:rsidRPr="00DF07F3" w:rsidRDefault="00FE5EC8" w:rsidP="00FE5EC8">
            <w:pPr>
              <w:spacing w:line="240" w:lineRule="auto"/>
              <w:jc w:val="left"/>
              <w:rPr>
                <w:sz w:val="20"/>
              </w:rPr>
            </w:pPr>
          </w:p>
        </w:tc>
        <w:tc>
          <w:tcPr>
            <w:tcW w:w="948" w:type="dxa"/>
            <w:tcBorders>
              <w:top w:val="nil"/>
              <w:left w:val="nil"/>
              <w:bottom w:val="nil"/>
              <w:right w:val="nil"/>
            </w:tcBorders>
            <w:shd w:val="clear" w:color="auto" w:fill="auto"/>
            <w:noWrap/>
            <w:vAlign w:val="bottom"/>
            <w:hideMark/>
          </w:tcPr>
          <w:p w14:paraId="7751E95A" w14:textId="77777777" w:rsidR="00FE5EC8" w:rsidRPr="00DF07F3" w:rsidRDefault="00FE5EC8" w:rsidP="00FE5EC8">
            <w:pPr>
              <w:spacing w:line="240" w:lineRule="auto"/>
              <w:jc w:val="left"/>
              <w:rPr>
                <w:sz w:val="20"/>
              </w:rPr>
            </w:pPr>
          </w:p>
        </w:tc>
        <w:tc>
          <w:tcPr>
            <w:tcW w:w="869" w:type="dxa"/>
            <w:tcBorders>
              <w:top w:val="nil"/>
              <w:left w:val="nil"/>
              <w:bottom w:val="nil"/>
              <w:right w:val="nil"/>
            </w:tcBorders>
            <w:shd w:val="clear" w:color="auto" w:fill="auto"/>
            <w:noWrap/>
            <w:vAlign w:val="bottom"/>
            <w:hideMark/>
          </w:tcPr>
          <w:p w14:paraId="1C722858" w14:textId="77777777" w:rsidR="00FE5EC8" w:rsidRPr="00DF07F3" w:rsidRDefault="00FE5EC8" w:rsidP="00FE5EC8">
            <w:pPr>
              <w:spacing w:line="240" w:lineRule="auto"/>
              <w:jc w:val="left"/>
              <w:rPr>
                <w:sz w:val="20"/>
              </w:rPr>
            </w:pPr>
          </w:p>
        </w:tc>
        <w:tc>
          <w:tcPr>
            <w:tcW w:w="948" w:type="dxa"/>
            <w:tcBorders>
              <w:top w:val="nil"/>
              <w:left w:val="nil"/>
              <w:bottom w:val="nil"/>
              <w:right w:val="nil"/>
            </w:tcBorders>
            <w:shd w:val="clear" w:color="auto" w:fill="auto"/>
            <w:noWrap/>
            <w:vAlign w:val="bottom"/>
            <w:hideMark/>
          </w:tcPr>
          <w:p w14:paraId="62827B2D" w14:textId="77777777" w:rsidR="00FE5EC8" w:rsidRPr="00DF07F3" w:rsidRDefault="00FE5EC8" w:rsidP="00FE5EC8">
            <w:pPr>
              <w:spacing w:line="240" w:lineRule="auto"/>
              <w:jc w:val="left"/>
              <w:rPr>
                <w:sz w:val="20"/>
              </w:rPr>
            </w:pPr>
          </w:p>
        </w:tc>
        <w:tc>
          <w:tcPr>
            <w:tcW w:w="994" w:type="dxa"/>
            <w:tcBorders>
              <w:top w:val="nil"/>
              <w:left w:val="nil"/>
              <w:bottom w:val="nil"/>
              <w:right w:val="nil"/>
            </w:tcBorders>
            <w:shd w:val="clear" w:color="auto" w:fill="auto"/>
            <w:noWrap/>
            <w:vAlign w:val="bottom"/>
            <w:hideMark/>
          </w:tcPr>
          <w:p w14:paraId="42BC6AED" w14:textId="77777777" w:rsidR="00FE5EC8" w:rsidRPr="00DF07F3" w:rsidRDefault="00FE5EC8" w:rsidP="00FE5EC8">
            <w:pPr>
              <w:spacing w:line="240" w:lineRule="auto"/>
              <w:jc w:val="left"/>
              <w:rPr>
                <w:sz w:val="20"/>
              </w:rPr>
            </w:pPr>
          </w:p>
        </w:tc>
        <w:tc>
          <w:tcPr>
            <w:tcW w:w="1391" w:type="dxa"/>
            <w:tcBorders>
              <w:top w:val="nil"/>
              <w:left w:val="nil"/>
              <w:bottom w:val="nil"/>
              <w:right w:val="nil"/>
            </w:tcBorders>
            <w:shd w:val="clear" w:color="auto" w:fill="auto"/>
            <w:noWrap/>
            <w:vAlign w:val="bottom"/>
            <w:hideMark/>
          </w:tcPr>
          <w:p w14:paraId="515EF06C" w14:textId="77777777" w:rsidR="00FE5EC8" w:rsidRPr="00DF07F3" w:rsidRDefault="00FE5EC8" w:rsidP="00FE5EC8">
            <w:pPr>
              <w:spacing w:line="240" w:lineRule="auto"/>
              <w:jc w:val="left"/>
              <w:rPr>
                <w:sz w:val="20"/>
              </w:rPr>
            </w:pPr>
          </w:p>
        </w:tc>
      </w:tr>
    </w:tbl>
    <w:p w14:paraId="46E24BB7" w14:textId="67EE1E28" w:rsidR="003A2BCE" w:rsidRPr="00730B1E" w:rsidRDefault="00FB1680" w:rsidP="00FE5EC8">
      <w:r w:rsidRPr="00730B1E">
        <w:t xml:space="preserve">Vidíme, že počet nevyřízených věcí je </w:t>
      </w:r>
      <w:r w:rsidR="00BC20EC" w:rsidRPr="00730B1E">
        <w:t xml:space="preserve">výrazně ovlivněn </w:t>
      </w:r>
      <w:r w:rsidRPr="00730B1E">
        <w:t xml:space="preserve">nárůstem u tří soudů – MS Praha, KS Ústí nad Labem a KS Ostrava. MS Praha má stejně jako v minulém roce poměrně vysoký počet příchozích věcí </w:t>
      </w:r>
      <w:r w:rsidR="00165007" w:rsidRPr="00730B1E">
        <w:t>a </w:t>
      </w:r>
      <w:r w:rsidRPr="00730B1E">
        <w:t>nezvládl ho vyřídit. U KS Ústí nad Labem a u KS Ostrava došlo k </w:t>
      </w:r>
      <w:r w:rsidR="00BC20EC" w:rsidRPr="00730B1E">
        <w:t xml:space="preserve">extrémnímu </w:t>
      </w:r>
      <w:r w:rsidRPr="00730B1E">
        <w:t>nárůstu v nápadu. Soudy na to zjevně nestačily reagovat, což je vidět na míře vyřizování</w:t>
      </w:r>
      <w:r w:rsidR="00BC20EC" w:rsidRPr="00730B1E">
        <w:t xml:space="preserve"> zejména</w:t>
      </w:r>
      <w:r w:rsidRPr="00730B1E">
        <w:t xml:space="preserve"> </w:t>
      </w:r>
      <w:r w:rsidR="00BC20EC" w:rsidRPr="00730B1E">
        <w:t>u </w:t>
      </w:r>
      <w:r w:rsidRPr="00730B1E">
        <w:t>KS v Ústí nad Labem, kd</w:t>
      </w:r>
      <w:r w:rsidR="00BC20EC" w:rsidRPr="00730B1E">
        <w:t>e</w:t>
      </w:r>
      <w:r w:rsidRPr="00730B1E">
        <w:t xml:space="preserve"> </w:t>
      </w:r>
      <w:r w:rsidR="00BC20EC" w:rsidRPr="00730B1E">
        <w:t xml:space="preserve">činila </w:t>
      </w:r>
      <w:r w:rsidRPr="00730B1E">
        <w:t xml:space="preserve">jen lehce nad 50 %. </w:t>
      </w:r>
    </w:p>
    <w:p w14:paraId="45B70E19" w14:textId="7489FC8E" w:rsidR="00FE5EC8" w:rsidRPr="00730B1E" w:rsidRDefault="00BC20EC" w:rsidP="00FE5EC8">
      <w:r w:rsidRPr="00730B1E">
        <w:t>Náhlé nárůsty</w:t>
      </w:r>
      <w:r w:rsidR="003A2BCE" w:rsidRPr="00730B1E">
        <w:t xml:space="preserve"> nápadu v řádu vysokých desítek procent</w:t>
      </w:r>
      <w:r w:rsidRPr="00730B1E">
        <w:t xml:space="preserve">, jaké v roce 2023 zaznamenaly posledně zmíněné </w:t>
      </w:r>
      <w:r w:rsidR="00FB1680" w:rsidRPr="00730B1E">
        <w:t>soud</w:t>
      </w:r>
      <w:r w:rsidRPr="00730B1E">
        <w:t>y,</w:t>
      </w:r>
      <w:r w:rsidR="00FB1680" w:rsidRPr="00730B1E">
        <w:t xml:space="preserve"> jsou pro </w:t>
      </w:r>
      <w:r w:rsidRPr="00730B1E">
        <w:t xml:space="preserve">incidenční </w:t>
      </w:r>
      <w:r w:rsidR="00FB1680" w:rsidRPr="00730B1E">
        <w:t>agendu typické</w:t>
      </w:r>
      <w:r w:rsidR="003A2BCE" w:rsidRPr="00730B1E">
        <w:t xml:space="preserve"> a potýkají se s ním střídavě prakticky všechny krajské soudy</w:t>
      </w:r>
      <w:r w:rsidR="008C7A0A" w:rsidRPr="00730B1E">
        <w:t xml:space="preserve">. </w:t>
      </w:r>
      <w:r w:rsidR="003A2BCE" w:rsidRPr="00730B1E">
        <w:t>Typicky k nim dochází, když je</w:t>
      </w:r>
      <w:r w:rsidR="008C7A0A" w:rsidRPr="00730B1E">
        <w:t>. v </w:t>
      </w:r>
      <w:r w:rsidR="003A2BCE" w:rsidRPr="00730B1E">
        <w:t xml:space="preserve">obvodu </w:t>
      </w:r>
      <w:r w:rsidR="008C7A0A" w:rsidRPr="00730B1E">
        <w:t xml:space="preserve">působnosti krajského soudu </w:t>
      </w:r>
      <w:r w:rsidR="003A2BCE" w:rsidRPr="00730B1E">
        <w:t xml:space="preserve">prohlášen rozsáhlý </w:t>
      </w:r>
      <w:r w:rsidR="008C7A0A" w:rsidRPr="00730B1E">
        <w:t>konkur</w:t>
      </w:r>
      <w:r w:rsidR="003A2BCE" w:rsidRPr="00730B1E">
        <w:t>s na právnickou osobu, z nějž vyplyne velké</w:t>
      </w:r>
      <w:r w:rsidR="008C7A0A" w:rsidRPr="00730B1E">
        <w:t xml:space="preserve"> množství incidenčních sporů. </w:t>
      </w:r>
      <w:r w:rsidR="003A2BCE" w:rsidRPr="00730B1E">
        <w:t>Tyto zásadní fluktuace nápadu bohužel nelze předvídat a vedení soudů se na ně nemůže připravit například zvýšením počtu soudců, což činí incidenční agendu mimořádně náročnou z hlediska řízení výkonnosti a plynulosti vyřizování věcí.</w:t>
      </w:r>
    </w:p>
    <w:p w14:paraId="3EA428E7" w14:textId="5D260E96" w:rsidR="001A527D" w:rsidRPr="00730B1E" w:rsidRDefault="001A527D" w:rsidP="001A527D">
      <w:pPr>
        <w:pStyle w:val="Nadpis3"/>
        <w:numPr>
          <w:ilvl w:val="2"/>
          <w:numId w:val="1"/>
        </w:numPr>
        <w:rPr>
          <w:color w:val="auto"/>
        </w:rPr>
      </w:pPr>
      <w:bookmarkStart w:id="1287" w:name="_Toc106092787"/>
      <w:bookmarkStart w:id="1288" w:name="_Toc169250863"/>
      <w:bookmarkStart w:id="1289" w:name="_Toc174080899"/>
      <w:r w:rsidRPr="00730B1E">
        <w:rPr>
          <w:color w:val="auto"/>
        </w:rPr>
        <w:t>Vyřizování věcí v přepočtu na soudce</w:t>
      </w:r>
      <w:bookmarkEnd w:id="1287"/>
      <w:bookmarkEnd w:id="1288"/>
      <w:bookmarkEnd w:id="1289"/>
    </w:p>
    <w:p w14:paraId="0FF8D036" w14:textId="1446D30B" w:rsidR="00730B1E" w:rsidRPr="00730B1E" w:rsidRDefault="008C7A0A" w:rsidP="008C7A0A">
      <w:pPr>
        <w:pStyle w:val="OdstavecASR"/>
      </w:pPr>
      <w:r w:rsidRPr="00730B1E">
        <w:t>Přepočet na skutečný úvazek soudce je uveden níže.</w:t>
      </w:r>
    </w:p>
    <w:p w14:paraId="57586907" w14:textId="017C6052" w:rsidR="008C7A0A" w:rsidRPr="00730B1E" w:rsidRDefault="008C7A0A" w:rsidP="008C7A0A">
      <w:pPr>
        <w:pStyle w:val="Podnadpis"/>
        <w:numPr>
          <w:ilvl w:val="0"/>
          <w:numId w:val="0"/>
        </w:numPr>
        <w:rPr>
          <w:color w:val="auto"/>
        </w:rPr>
      </w:pPr>
      <w:bookmarkStart w:id="1290" w:name="_Toc75952382"/>
      <w:bookmarkStart w:id="1291" w:name="_Toc106106835"/>
      <w:bookmarkStart w:id="1292" w:name="_Toc109802158"/>
      <w:bookmarkStart w:id="1293" w:name="_Toc144104317"/>
      <w:bookmarkStart w:id="1294" w:name="_Toc169251131"/>
      <w:bookmarkStart w:id="1295" w:name="_Toc174080817"/>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74</w:t>
      </w:r>
      <w:r w:rsidRPr="00730B1E">
        <w:rPr>
          <w:noProof/>
          <w:color w:val="auto"/>
        </w:rPr>
        <w:fldChar w:fldCharType="end"/>
      </w:r>
      <w:r w:rsidRPr="00730B1E">
        <w:rPr>
          <w:color w:val="auto"/>
        </w:rPr>
        <w:t>: KS – vyřizování incidenčních sporů na skutečný úvazek dle soudů</w:t>
      </w:r>
      <w:bookmarkEnd w:id="1290"/>
      <w:bookmarkEnd w:id="1291"/>
      <w:bookmarkEnd w:id="1292"/>
      <w:bookmarkEnd w:id="1293"/>
      <w:bookmarkEnd w:id="1294"/>
      <w:bookmarkEnd w:id="1295"/>
    </w:p>
    <w:tbl>
      <w:tblPr>
        <w:tblW w:w="9000" w:type="dxa"/>
        <w:tblCellMar>
          <w:left w:w="70" w:type="dxa"/>
          <w:right w:w="70" w:type="dxa"/>
        </w:tblCellMar>
        <w:tblLook w:val="04A0" w:firstRow="1" w:lastRow="0" w:firstColumn="1" w:lastColumn="0" w:noHBand="0" w:noVBand="1"/>
      </w:tblPr>
      <w:tblGrid>
        <w:gridCol w:w="2020"/>
        <w:gridCol w:w="1180"/>
        <w:gridCol w:w="979"/>
        <w:gridCol w:w="1002"/>
        <w:gridCol w:w="979"/>
        <w:gridCol w:w="859"/>
        <w:gridCol w:w="979"/>
        <w:gridCol w:w="1002"/>
      </w:tblGrid>
      <w:tr w:rsidR="00B64E96" w:rsidRPr="00730B1E" w14:paraId="62970092" w14:textId="77777777" w:rsidTr="008C7A0A">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BC76612" w14:textId="42251914" w:rsidR="008C7A0A" w:rsidRPr="00730B1E" w:rsidRDefault="00165007" w:rsidP="008C7A0A">
            <w:pPr>
              <w:spacing w:line="240" w:lineRule="auto"/>
              <w:jc w:val="center"/>
              <w:rPr>
                <w:rFonts w:eastAsia="Times New Roman"/>
                <w:b/>
                <w:bCs/>
                <w:szCs w:val="24"/>
                <w:lang w:eastAsia="cs-CZ"/>
              </w:rPr>
            </w:pPr>
            <w:r w:rsidRPr="00730B1E">
              <w:rPr>
                <w:rFonts w:eastAsia="Times New Roman"/>
                <w:b/>
                <w:bCs/>
                <w:szCs w:val="24"/>
                <w:lang w:eastAsia="cs-CZ"/>
              </w:rPr>
              <w:t>S</w:t>
            </w:r>
            <w:r w:rsidR="008C7A0A" w:rsidRPr="00730B1E">
              <w:rPr>
                <w:rFonts w:eastAsia="Times New Roman"/>
                <w:b/>
                <w:bCs/>
                <w:szCs w:val="24"/>
                <w:lang w:eastAsia="cs-CZ"/>
              </w:rPr>
              <w:t>oud</w:t>
            </w:r>
          </w:p>
        </w:tc>
        <w:tc>
          <w:tcPr>
            <w:tcW w:w="1180" w:type="dxa"/>
            <w:vMerge w:val="restart"/>
            <w:tcBorders>
              <w:top w:val="double" w:sz="6" w:space="0" w:color="auto"/>
              <w:left w:val="nil"/>
              <w:bottom w:val="double" w:sz="6" w:space="0" w:color="000000"/>
              <w:right w:val="nil"/>
            </w:tcBorders>
            <w:shd w:val="clear" w:color="auto" w:fill="auto"/>
            <w:vAlign w:val="center"/>
            <w:hideMark/>
          </w:tcPr>
          <w:p w14:paraId="6BA3A7B7" w14:textId="77777777"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Počet úvazků</w:t>
            </w:r>
          </w:p>
        </w:tc>
        <w:tc>
          <w:tcPr>
            <w:tcW w:w="5800" w:type="dxa"/>
            <w:gridSpan w:val="6"/>
            <w:tcBorders>
              <w:top w:val="double" w:sz="6" w:space="0" w:color="auto"/>
              <w:left w:val="nil"/>
              <w:bottom w:val="nil"/>
              <w:right w:val="nil"/>
            </w:tcBorders>
            <w:shd w:val="clear" w:color="auto" w:fill="auto"/>
            <w:noWrap/>
            <w:vAlign w:val="center"/>
            <w:hideMark/>
          </w:tcPr>
          <w:p w14:paraId="0065F5E5" w14:textId="77777777"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Počet věcí</w:t>
            </w:r>
          </w:p>
        </w:tc>
      </w:tr>
      <w:tr w:rsidR="00B64E96" w:rsidRPr="00730B1E" w14:paraId="7E230249" w14:textId="77777777" w:rsidTr="008C7A0A">
        <w:trPr>
          <w:trHeight w:val="330"/>
        </w:trPr>
        <w:tc>
          <w:tcPr>
            <w:tcW w:w="2020" w:type="dxa"/>
            <w:vMerge/>
            <w:tcBorders>
              <w:top w:val="double" w:sz="6" w:space="0" w:color="auto"/>
              <w:left w:val="nil"/>
              <w:bottom w:val="double" w:sz="6" w:space="0" w:color="000000"/>
              <w:right w:val="nil"/>
            </w:tcBorders>
            <w:vAlign w:val="center"/>
            <w:hideMark/>
          </w:tcPr>
          <w:p w14:paraId="55FDCB96" w14:textId="77777777" w:rsidR="008C7A0A" w:rsidRPr="00730B1E" w:rsidRDefault="008C7A0A" w:rsidP="008C7A0A">
            <w:pPr>
              <w:spacing w:line="240" w:lineRule="auto"/>
              <w:jc w:val="left"/>
              <w:rPr>
                <w:rFonts w:eastAsia="Times New Roman"/>
                <w:b/>
                <w:bCs/>
                <w:szCs w:val="24"/>
                <w:lang w:eastAsia="cs-CZ"/>
              </w:rPr>
            </w:pPr>
          </w:p>
        </w:tc>
        <w:tc>
          <w:tcPr>
            <w:tcW w:w="1180" w:type="dxa"/>
            <w:vMerge/>
            <w:tcBorders>
              <w:top w:val="double" w:sz="6" w:space="0" w:color="auto"/>
              <w:left w:val="nil"/>
              <w:bottom w:val="double" w:sz="6" w:space="0" w:color="000000"/>
              <w:right w:val="nil"/>
            </w:tcBorders>
            <w:vAlign w:val="center"/>
            <w:hideMark/>
          </w:tcPr>
          <w:p w14:paraId="04782CF6" w14:textId="77777777" w:rsidR="008C7A0A" w:rsidRPr="00730B1E" w:rsidRDefault="008C7A0A" w:rsidP="008C7A0A">
            <w:pPr>
              <w:spacing w:line="240" w:lineRule="auto"/>
              <w:jc w:val="left"/>
              <w:rPr>
                <w:rFonts w:eastAsia="Times New Roman"/>
                <w:b/>
                <w:bCs/>
                <w:szCs w:val="24"/>
                <w:lang w:eastAsia="cs-CZ"/>
              </w:rPr>
            </w:pPr>
          </w:p>
        </w:tc>
        <w:tc>
          <w:tcPr>
            <w:tcW w:w="1981" w:type="dxa"/>
            <w:gridSpan w:val="2"/>
            <w:tcBorders>
              <w:top w:val="nil"/>
              <w:left w:val="nil"/>
              <w:bottom w:val="double" w:sz="6" w:space="0" w:color="auto"/>
              <w:right w:val="nil"/>
            </w:tcBorders>
            <w:shd w:val="clear" w:color="auto" w:fill="auto"/>
            <w:noWrap/>
            <w:vAlign w:val="center"/>
            <w:hideMark/>
          </w:tcPr>
          <w:p w14:paraId="11618953" w14:textId="052744B4"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83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5DDF238" w14:textId="77777777"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981" w:type="dxa"/>
            <w:gridSpan w:val="2"/>
            <w:tcBorders>
              <w:top w:val="nil"/>
              <w:left w:val="nil"/>
              <w:bottom w:val="double" w:sz="6" w:space="0" w:color="auto"/>
              <w:right w:val="nil"/>
            </w:tcBorders>
            <w:shd w:val="clear" w:color="auto" w:fill="auto"/>
            <w:noWrap/>
            <w:vAlign w:val="center"/>
            <w:hideMark/>
          </w:tcPr>
          <w:p w14:paraId="0EA2299C" w14:textId="77777777"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2701FE4F" w14:textId="77777777" w:rsidTr="008C7A0A">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01BA8B3" w14:textId="77777777" w:rsidR="008C7A0A" w:rsidRPr="00730B1E" w:rsidRDefault="008C7A0A" w:rsidP="008C7A0A">
            <w:pPr>
              <w:spacing w:line="240" w:lineRule="auto"/>
              <w:jc w:val="left"/>
              <w:rPr>
                <w:rFonts w:eastAsia="Times New Roman"/>
                <w:szCs w:val="24"/>
                <w:lang w:eastAsia="cs-CZ"/>
              </w:rPr>
            </w:pPr>
            <w:r w:rsidRPr="00730B1E">
              <w:rPr>
                <w:rFonts w:eastAsia="Times New Roman"/>
                <w:szCs w:val="24"/>
                <w:lang w:eastAsia="cs-CZ"/>
              </w:rPr>
              <w:t>MS Praha</w:t>
            </w:r>
          </w:p>
        </w:tc>
        <w:tc>
          <w:tcPr>
            <w:tcW w:w="1180" w:type="dxa"/>
            <w:tcBorders>
              <w:top w:val="single" w:sz="4" w:space="0" w:color="auto"/>
              <w:left w:val="nil"/>
              <w:bottom w:val="single" w:sz="4" w:space="0" w:color="auto"/>
              <w:right w:val="nil"/>
            </w:tcBorders>
            <w:shd w:val="clear" w:color="auto" w:fill="auto"/>
            <w:noWrap/>
            <w:vAlign w:val="bottom"/>
            <w:hideMark/>
          </w:tcPr>
          <w:p w14:paraId="6023B05E" w14:textId="77777777"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7</w:t>
            </w:r>
          </w:p>
        </w:tc>
        <w:tc>
          <w:tcPr>
            <w:tcW w:w="979" w:type="dxa"/>
            <w:tcBorders>
              <w:top w:val="single" w:sz="4" w:space="0" w:color="auto"/>
              <w:left w:val="nil"/>
              <w:bottom w:val="single" w:sz="4" w:space="0" w:color="auto"/>
              <w:right w:val="nil"/>
            </w:tcBorders>
            <w:shd w:val="clear" w:color="auto" w:fill="auto"/>
            <w:noWrap/>
            <w:vAlign w:val="bottom"/>
            <w:hideMark/>
          </w:tcPr>
          <w:p w14:paraId="54320214" w14:textId="1D2E6346"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171,57</w:t>
            </w:r>
          </w:p>
        </w:tc>
        <w:tc>
          <w:tcPr>
            <w:tcW w:w="1002" w:type="dxa"/>
            <w:tcBorders>
              <w:top w:val="single" w:sz="4" w:space="0" w:color="auto"/>
              <w:left w:val="nil"/>
              <w:bottom w:val="single" w:sz="4" w:space="0" w:color="auto"/>
              <w:right w:val="nil"/>
            </w:tcBorders>
            <w:shd w:val="clear" w:color="auto" w:fill="auto"/>
            <w:noWrap/>
            <w:vAlign w:val="center"/>
            <w:hideMark/>
          </w:tcPr>
          <w:p w14:paraId="1D86A3BE"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-57 %  </w:t>
            </w:r>
          </w:p>
        </w:tc>
        <w:tc>
          <w:tcPr>
            <w:tcW w:w="979" w:type="dxa"/>
            <w:tcBorders>
              <w:top w:val="single" w:sz="4" w:space="0" w:color="auto"/>
              <w:left w:val="single" w:sz="4" w:space="0" w:color="auto"/>
              <w:bottom w:val="single" w:sz="4" w:space="0" w:color="auto"/>
              <w:right w:val="nil"/>
            </w:tcBorders>
            <w:shd w:val="clear" w:color="auto" w:fill="auto"/>
            <w:noWrap/>
            <w:vAlign w:val="bottom"/>
            <w:hideMark/>
          </w:tcPr>
          <w:p w14:paraId="514467C5" w14:textId="6D85EFAD"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146,86</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484DCFCD"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-59 %  </w:t>
            </w:r>
          </w:p>
        </w:tc>
        <w:tc>
          <w:tcPr>
            <w:tcW w:w="979" w:type="dxa"/>
            <w:tcBorders>
              <w:top w:val="single" w:sz="4" w:space="0" w:color="auto"/>
              <w:left w:val="nil"/>
              <w:bottom w:val="single" w:sz="4" w:space="0" w:color="auto"/>
              <w:right w:val="nil"/>
            </w:tcBorders>
            <w:shd w:val="clear" w:color="auto" w:fill="auto"/>
            <w:noWrap/>
            <w:vAlign w:val="bottom"/>
            <w:hideMark/>
          </w:tcPr>
          <w:p w14:paraId="6C29C024" w14:textId="7055A088"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226,86</w:t>
            </w:r>
          </w:p>
        </w:tc>
        <w:tc>
          <w:tcPr>
            <w:tcW w:w="1002" w:type="dxa"/>
            <w:tcBorders>
              <w:top w:val="single" w:sz="4" w:space="0" w:color="auto"/>
              <w:left w:val="nil"/>
              <w:bottom w:val="single" w:sz="4" w:space="0" w:color="auto"/>
              <w:right w:val="nil"/>
            </w:tcBorders>
            <w:shd w:val="clear" w:color="auto" w:fill="auto"/>
            <w:noWrap/>
            <w:vAlign w:val="center"/>
            <w:hideMark/>
          </w:tcPr>
          <w:p w14:paraId="18BD08A9"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-52 %  </w:t>
            </w:r>
          </w:p>
        </w:tc>
      </w:tr>
      <w:tr w:rsidR="00B64E96" w:rsidRPr="00730B1E" w14:paraId="4C97E97F" w14:textId="77777777" w:rsidTr="008C7A0A">
        <w:trPr>
          <w:trHeight w:val="315"/>
        </w:trPr>
        <w:tc>
          <w:tcPr>
            <w:tcW w:w="2020" w:type="dxa"/>
            <w:tcBorders>
              <w:top w:val="nil"/>
              <w:left w:val="nil"/>
              <w:bottom w:val="single" w:sz="4" w:space="0" w:color="auto"/>
              <w:right w:val="nil"/>
            </w:tcBorders>
            <w:shd w:val="clear" w:color="auto" w:fill="auto"/>
            <w:noWrap/>
            <w:vAlign w:val="bottom"/>
            <w:hideMark/>
          </w:tcPr>
          <w:p w14:paraId="1285D80C" w14:textId="77777777" w:rsidR="008C7A0A" w:rsidRPr="00730B1E" w:rsidRDefault="008C7A0A" w:rsidP="008C7A0A">
            <w:pPr>
              <w:spacing w:line="240" w:lineRule="auto"/>
              <w:jc w:val="left"/>
              <w:rPr>
                <w:rFonts w:eastAsia="Times New Roman"/>
                <w:szCs w:val="24"/>
                <w:lang w:eastAsia="cs-CZ"/>
              </w:rPr>
            </w:pPr>
            <w:r w:rsidRPr="00730B1E">
              <w:rPr>
                <w:rFonts w:eastAsia="Times New Roman"/>
                <w:szCs w:val="24"/>
                <w:lang w:eastAsia="cs-CZ"/>
              </w:rPr>
              <w:t>KS Praha</w:t>
            </w:r>
          </w:p>
        </w:tc>
        <w:tc>
          <w:tcPr>
            <w:tcW w:w="1180" w:type="dxa"/>
            <w:tcBorders>
              <w:top w:val="nil"/>
              <w:left w:val="nil"/>
              <w:bottom w:val="single" w:sz="4" w:space="0" w:color="auto"/>
              <w:right w:val="nil"/>
            </w:tcBorders>
            <w:shd w:val="clear" w:color="auto" w:fill="auto"/>
            <w:noWrap/>
            <w:vAlign w:val="bottom"/>
            <w:hideMark/>
          </w:tcPr>
          <w:p w14:paraId="33BDF271" w14:textId="3524AE12"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2,6</w:t>
            </w:r>
          </w:p>
        </w:tc>
        <w:tc>
          <w:tcPr>
            <w:tcW w:w="979" w:type="dxa"/>
            <w:tcBorders>
              <w:top w:val="nil"/>
              <w:left w:val="nil"/>
              <w:bottom w:val="single" w:sz="4" w:space="0" w:color="auto"/>
              <w:right w:val="nil"/>
            </w:tcBorders>
            <w:shd w:val="clear" w:color="auto" w:fill="auto"/>
            <w:noWrap/>
            <w:vAlign w:val="bottom"/>
            <w:hideMark/>
          </w:tcPr>
          <w:p w14:paraId="190AA7BA" w14:textId="5FC5E9A8"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141,54</w:t>
            </w:r>
          </w:p>
        </w:tc>
        <w:tc>
          <w:tcPr>
            <w:tcW w:w="1002" w:type="dxa"/>
            <w:tcBorders>
              <w:top w:val="nil"/>
              <w:left w:val="nil"/>
              <w:bottom w:val="single" w:sz="4" w:space="0" w:color="auto"/>
              <w:right w:val="nil"/>
            </w:tcBorders>
            <w:shd w:val="clear" w:color="auto" w:fill="auto"/>
            <w:noWrap/>
            <w:vAlign w:val="center"/>
            <w:hideMark/>
          </w:tcPr>
          <w:p w14:paraId="48D159C5"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-6 %  </w:t>
            </w:r>
          </w:p>
        </w:tc>
        <w:tc>
          <w:tcPr>
            <w:tcW w:w="979" w:type="dxa"/>
            <w:tcBorders>
              <w:top w:val="nil"/>
              <w:left w:val="single" w:sz="4" w:space="0" w:color="auto"/>
              <w:bottom w:val="single" w:sz="4" w:space="0" w:color="auto"/>
              <w:right w:val="nil"/>
            </w:tcBorders>
            <w:shd w:val="clear" w:color="auto" w:fill="auto"/>
            <w:noWrap/>
            <w:vAlign w:val="bottom"/>
            <w:hideMark/>
          </w:tcPr>
          <w:p w14:paraId="226DB42F" w14:textId="46FD1123"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162,31</w:t>
            </w:r>
          </w:p>
        </w:tc>
        <w:tc>
          <w:tcPr>
            <w:tcW w:w="859" w:type="dxa"/>
            <w:tcBorders>
              <w:top w:val="nil"/>
              <w:left w:val="nil"/>
              <w:bottom w:val="single" w:sz="4" w:space="0" w:color="auto"/>
              <w:right w:val="single" w:sz="4" w:space="0" w:color="auto"/>
            </w:tcBorders>
            <w:shd w:val="clear" w:color="auto" w:fill="auto"/>
            <w:noWrap/>
            <w:vAlign w:val="center"/>
            <w:hideMark/>
          </w:tcPr>
          <w:p w14:paraId="65A62BD7"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c>
          <w:tcPr>
            <w:tcW w:w="979" w:type="dxa"/>
            <w:tcBorders>
              <w:top w:val="nil"/>
              <w:left w:val="nil"/>
              <w:bottom w:val="single" w:sz="4" w:space="0" w:color="auto"/>
              <w:right w:val="nil"/>
            </w:tcBorders>
            <w:shd w:val="clear" w:color="auto" w:fill="auto"/>
            <w:noWrap/>
            <w:vAlign w:val="bottom"/>
            <w:hideMark/>
          </w:tcPr>
          <w:p w14:paraId="32ECBCDC" w14:textId="5F7BE1AA"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90,77</w:t>
            </w:r>
          </w:p>
        </w:tc>
        <w:tc>
          <w:tcPr>
            <w:tcW w:w="1002" w:type="dxa"/>
            <w:tcBorders>
              <w:top w:val="nil"/>
              <w:left w:val="nil"/>
              <w:bottom w:val="single" w:sz="4" w:space="0" w:color="auto"/>
              <w:right w:val="nil"/>
            </w:tcBorders>
            <w:shd w:val="clear" w:color="auto" w:fill="auto"/>
            <w:noWrap/>
            <w:vAlign w:val="center"/>
            <w:hideMark/>
          </w:tcPr>
          <w:p w14:paraId="3F161106"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r>
      <w:tr w:rsidR="00B64E96" w:rsidRPr="00730B1E" w14:paraId="2E522C55" w14:textId="77777777" w:rsidTr="008C7A0A">
        <w:trPr>
          <w:trHeight w:val="315"/>
        </w:trPr>
        <w:tc>
          <w:tcPr>
            <w:tcW w:w="2020" w:type="dxa"/>
            <w:tcBorders>
              <w:top w:val="nil"/>
              <w:left w:val="nil"/>
              <w:bottom w:val="single" w:sz="4" w:space="0" w:color="auto"/>
              <w:right w:val="nil"/>
            </w:tcBorders>
            <w:shd w:val="clear" w:color="auto" w:fill="auto"/>
            <w:noWrap/>
            <w:vAlign w:val="bottom"/>
            <w:hideMark/>
          </w:tcPr>
          <w:p w14:paraId="7AE59090" w14:textId="77777777" w:rsidR="008C7A0A" w:rsidRPr="00730B1E" w:rsidRDefault="008C7A0A" w:rsidP="008C7A0A">
            <w:pPr>
              <w:spacing w:line="240" w:lineRule="auto"/>
              <w:jc w:val="left"/>
              <w:rPr>
                <w:rFonts w:eastAsia="Times New Roman"/>
                <w:szCs w:val="24"/>
                <w:lang w:eastAsia="cs-CZ"/>
              </w:rPr>
            </w:pPr>
            <w:r w:rsidRPr="00730B1E">
              <w:rPr>
                <w:rFonts w:eastAsia="Times New Roman"/>
                <w:szCs w:val="24"/>
                <w:lang w:eastAsia="cs-CZ"/>
              </w:rPr>
              <w:t>KS Č. Budějovice</w:t>
            </w:r>
          </w:p>
        </w:tc>
        <w:tc>
          <w:tcPr>
            <w:tcW w:w="1180" w:type="dxa"/>
            <w:tcBorders>
              <w:top w:val="nil"/>
              <w:left w:val="nil"/>
              <w:bottom w:val="single" w:sz="4" w:space="0" w:color="auto"/>
              <w:right w:val="nil"/>
            </w:tcBorders>
            <w:shd w:val="clear" w:color="auto" w:fill="auto"/>
            <w:noWrap/>
            <w:vAlign w:val="bottom"/>
            <w:hideMark/>
          </w:tcPr>
          <w:p w14:paraId="53E7E5F0" w14:textId="7740B28A"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2,5</w:t>
            </w:r>
          </w:p>
        </w:tc>
        <w:tc>
          <w:tcPr>
            <w:tcW w:w="979" w:type="dxa"/>
            <w:tcBorders>
              <w:top w:val="nil"/>
              <w:left w:val="nil"/>
              <w:bottom w:val="single" w:sz="4" w:space="0" w:color="auto"/>
              <w:right w:val="nil"/>
            </w:tcBorders>
            <w:shd w:val="clear" w:color="auto" w:fill="auto"/>
            <w:noWrap/>
            <w:vAlign w:val="bottom"/>
            <w:hideMark/>
          </w:tcPr>
          <w:p w14:paraId="026D0B52" w14:textId="2A2EA3AE"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50,80</w:t>
            </w:r>
          </w:p>
        </w:tc>
        <w:tc>
          <w:tcPr>
            <w:tcW w:w="1002" w:type="dxa"/>
            <w:tcBorders>
              <w:top w:val="nil"/>
              <w:left w:val="nil"/>
              <w:bottom w:val="single" w:sz="4" w:space="0" w:color="auto"/>
              <w:right w:val="nil"/>
            </w:tcBorders>
            <w:shd w:val="clear" w:color="auto" w:fill="auto"/>
            <w:noWrap/>
            <w:vAlign w:val="center"/>
            <w:hideMark/>
          </w:tcPr>
          <w:p w14:paraId="2C58082E"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979" w:type="dxa"/>
            <w:tcBorders>
              <w:top w:val="nil"/>
              <w:left w:val="single" w:sz="4" w:space="0" w:color="auto"/>
              <w:bottom w:val="single" w:sz="4" w:space="0" w:color="auto"/>
              <w:right w:val="nil"/>
            </w:tcBorders>
            <w:shd w:val="clear" w:color="auto" w:fill="auto"/>
            <w:noWrap/>
            <w:vAlign w:val="bottom"/>
            <w:hideMark/>
          </w:tcPr>
          <w:p w14:paraId="483E99D0" w14:textId="66171DC5"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51,20</w:t>
            </w:r>
          </w:p>
        </w:tc>
        <w:tc>
          <w:tcPr>
            <w:tcW w:w="859" w:type="dxa"/>
            <w:tcBorders>
              <w:top w:val="nil"/>
              <w:left w:val="nil"/>
              <w:bottom w:val="single" w:sz="4" w:space="0" w:color="auto"/>
              <w:right w:val="single" w:sz="4" w:space="0" w:color="auto"/>
            </w:tcBorders>
            <w:shd w:val="clear" w:color="auto" w:fill="auto"/>
            <w:noWrap/>
            <w:vAlign w:val="center"/>
            <w:hideMark/>
          </w:tcPr>
          <w:p w14:paraId="249FADE3"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-23 %  </w:t>
            </w:r>
          </w:p>
        </w:tc>
        <w:tc>
          <w:tcPr>
            <w:tcW w:w="979" w:type="dxa"/>
            <w:tcBorders>
              <w:top w:val="nil"/>
              <w:left w:val="nil"/>
              <w:bottom w:val="single" w:sz="4" w:space="0" w:color="auto"/>
              <w:right w:val="nil"/>
            </w:tcBorders>
            <w:shd w:val="clear" w:color="auto" w:fill="auto"/>
            <w:noWrap/>
            <w:vAlign w:val="bottom"/>
            <w:hideMark/>
          </w:tcPr>
          <w:p w14:paraId="1CDE9178" w14:textId="1F5A8D42"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31,60</w:t>
            </w:r>
          </w:p>
        </w:tc>
        <w:tc>
          <w:tcPr>
            <w:tcW w:w="1002" w:type="dxa"/>
            <w:tcBorders>
              <w:top w:val="nil"/>
              <w:left w:val="nil"/>
              <w:bottom w:val="single" w:sz="4" w:space="0" w:color="auto"/>
              <w:right w:val="nil"/>
            </w:tcBorders>
            <w:shd w:val="clear" w:color="auto" w:fill="auto"/>
            <w:noWrap/>
            <w:vAlign w:val="center"/>
            <w:hideMark/>
          </w:tcPr>
          <w:p w14:paraId="217F5E52"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r>
      <w:tr w:rsidR="00B64E96" w:rsidRPr="00730B1E" w14:paraId="1EF99268" w14:textId="77777777" w:rsidTr="008C7A0A">
        <w:trPr>
          <w:trHeight w:val="315"/>
        </w:trPr>
        <w:tc>
          <w:tcPr>
            <w:tcW w:w="2020" w:type="dxa"/>
            <w:tcBorders>
              <w:top w:val="nil"/>
              <w:left w:val="nil"/>
              <w:bottom w:val="single" w:sz="4" w:space="0" w:color="auto"/>
              <w:right w:val="nil"/>
            </w:tcBorders>
            <w:shd w:val="clear" w:color="auto" w:fill="auto"/>
            <w:noWrap/>
            <w:vAlign w:val="bottom"/>
            <w:hideMark/>
          </w:tcPr>
          <w:p w14:paraId="217B89BB" w14:textId="77777777" w:rsidR="008C7A0A" w:rsidRPr="00730B1E" w:rsidRDefault="008C7A0A" w:rsidP="008C7A0A">
            <w:pPr>
              <w:spacing w:line="240" w:lineRule="auto"/>
              <w:jc w:val="left"/>
              <w:rPr>
                <w:rFonts w:eastAsia="Times New Roman"/>
                <w:szCs w:val="24"/>
                <w:lang w:eastAsia="cs-CZ"/>
              </w:rPr>
            </w:pPr>
            <w:r w:rsidRPr="00730B1E">
              <w:rPr>
                <w:rFonts w:eastAsia="Times New Roman"/>
                <w:szCs w:val="24"/>
                <w:lang w:eastAsia="cs-CZ"/>
              </w:rPr>
              <w:t>KS Plzeň</w:t>
            </w:r>
          </w:p>
        </w:tc>
        <w:tc>
          <w:tcPr>
            <w:tcW w:w="1180" w:type="dxa"/>
            <w:tcBorders>
              <w:top w:val="nil"/>
              <w:left w:val="nil"/>
              <w:bottom w:val="single" w:sz="4" w:space="0" w:color="auto"/>
              <w:right w:val="nil"/>
            </w:tcBorders>
            <w:shd w:val="clear" w:color="auto" w:fill="auto"/>
            <w:noWrap/>
            <w:vAlign w:val="bottom"/>
            <w:hideMark/>
          </w:tcPr>
          <w:p w14:paraId="1B5F7E0A" w14:textId="78DD5913"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2,1</w:t>
            </w:r>
          </w:p>
        </w:tc>
        <w:tc>
          <w:tcPr>
            <w:tcW w:w="979" w:type="dxa"/>
            <w:tcBorders>
              <w:top w:val="nil"/>
              <w:left w:val="nil"/>
              <w:bottom w:val="single" w:sz="4" w:space="0" w:color="auto"/>
              <w:right w:val="nil"/>
            </w:tcBorders>
            <w:shd w:val="clear" w:color="auto" w:fill="auto"/>
            <w:noWrap/>
            <w:vAlign w:val="bottom"/>
            <w:hideMark/>
          </w:tcPr>
          <w:p w14:paraId="3972F477" w14:textId="01F5CEA5"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81,43</w:t>
            </w:r>
          </w:p>
        </w:tc>
        <w:tc>
          <w:tcPr>
            <w:tcW w:w="1002" w:type="dxa"/>
            <w:tcBorders>
              <w:top w:val="nil"/>
              <w:left w:val="nil"/>
              <w:bottom w:val="single" w:sz="4" w:space="0" w:color="auto"/>
              <w:right w:val="nil"/>
            </w:tcBorders>
            <w:shd w:val="clear" w:color="auto" w:fill="auto"/>
            <w:noWrap/>
            <w:vAlign w:val="center"/>
            <w:hideMark/>
          </w:tcPr>
          <w:p w14:paraId="0A1940DE"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+128 %  </w:t>
            </w:r>
          </w:p>
        </w:tc>
        <w:tc>
          <w:tcPr>
            <w:tcW w:w="979" w:type="dxa"/>
            <w:tcBorders>
              <w:top w:val="nil"/>
              <w:left w:val="single" w:sz="4" w:space="0" w:color="auto"/>
              <w:bottom w:val="single" w:sz="4" w:space="0" w:color="auto"/>
              <w:right w:val="nil"/>
            </w:tcBorders>
            <w:shd w:val="clear" w:color="auto" w:fill="auto"/>
            <w:noWrap/>
            <w:vAlign w:val="bottom"/>
            <w:hideMark/>
          </w:tcPr>
          <w:p w14:paraId="05DA2AA4" w14:textId="3B798BBA"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81,43</w:t>
            </w:r>
          </w:p>
        </w:tc>
        <w:tc>
          <w:tcPr>
            <w:tcW w:w="859" w:type="dxa"/>
            <w:tcBorders>
              <w:top w:val="nil"/>
              <w:left w:val="nil"/>
              <w:bottom w:val="single" w:sz="4" w:space="0" w:color="auto"/>
              <w:right w:val="single" w:sz="4" w:space="0" w:color="auto"/>
            </w:tcBorders>
            <w:shd w:val="clear" w:color="auto" w:fill="auto"/>
            <w:noWrap/>
            <w:vAlign w:val="center"/>
            <w:hideMark/>
          </w:tcPr>
          <w:p w14:paraId="1DA28C94"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+76 %  </w:t>
            </w:r>
          </w:p>
        </w:tc>
        <w:tc>
          <w:tcPr>
            <w:tcW w:w="979" w:type="dxa"/>
            <w:tcBorders>
              <w:top w:val="nil"/>
              <w:left w:val="nil"/>
              <w:bottom w:val="single" w:sz="4" w:space="0" w:color="auto"/>
              <w:right w:val="nil"/>
            </w:tcBorders>
            <w:shd w:val="clear" w:color="auto" w:fill="auto"/>
            <w:noWrap/>
            <w:vAlign w:val="bottom"/>
            <w:hideMark/>
          </w:tcPr>
          <w:p w14:paraId="7FF7C9AD" w14:textId="2600B61D"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79,05</w:t>
            </w:r>
          </w:p>
        </w:tc>
        <w:tc>
          <w:tcPr>
            <w:tcW w:w="1002" w:type="dxa"/>
            <w:tcBorders>
              <w:top w:val="nil"/>
              <w:left w:val="nil"/>
              <w:bottom w:val="single" w:sz="4" w:space="0" w:color="auto"/>
              <w:right w:val="nil"/>
            </w:tcBorders>
            <w:shd w:val="clear" w:color="auto" w:fill="auto"/>
            <w:noWrap/>
            <w:vAlign w:val="center"/>
            <w:hideMark/>
          </w:tcPr>
          <w:p w14:paraId="6000EFBA"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+155 %  </w:t>
            </w:r>
          </w:p>
        </w:tc>
      </w:tr>
      <w:tr w:rsidR="00B64E96" w:rsidRPr="00730B1E" w14:paraId="6CE1C262" w14:textId="77777777" w:rsidTr="008C7A0A">
        <w:trPr>
          <w:trHeight w:val="315"/>
        </w:trPr>
        <w:tc>
          <w:tcPr>
            <w:tcW w:w="2020" w:type="dxa"/>
            <w:tcBorders>
              <w:top w:val="nil"/>
              <w:left w:val="nil"/>
              <w:bottom w:val="single" w:sz="4" w:space="0" w:color="auto"/>
              <w:right w:val="nil"/>
            </w:tcBorders>
            <w:shd w:val="clear" w:color="auto" w:fill="auto"/>
            <w:noWrap/>
            <w:vAlign w:val="bottom"/>
            <w:hideMark/>
          </w:tcPr>
          <w:p w14:paraId="67725F78" w14:textId="77777777" w:rsidR="008C7A0A" w:rsidRPr="00730B1E" w:rsidRDefault="008C7A0A" w:rsidP="008C7A0A">
            <w:pPr>
              <w:spacing w:line="240" w:lineRule="auto"/>
              <w:jc w:val="left"/>
              <w:rPr>
                <w:rFonts w:eastAsia="Times New Roman"/>
                <w:szCs w:val="24"/>
                <w:lang w:eastAsia="cs-CZ"/>
              </w:rPr>
            </w:pPr>
            <w:r w:rsidRPr="00730B1E">
              <w:rPr>
                <w:rFonts w:eastAsia="Times New Roman"/>
                <w:szCs w:val="24"/>
                <w:lang w:eastAsia="cs-CZ"/>
              </w:rPr>
              <w:t>KS Ústí n. Labem</w:t>
            </w:r>
          </w:p>
        </w:tc>
        <w:tc>
          <w:tcPr>
            <w:tcW w:w="1180" w:type="dxa"/>
            <w:tcBorders>
              <w:top w:val="nil"/>
              <w:left w:val="nil"/>
              <w:bottom w:val="single" w:sz="4" w:space="0" w:color="auto"/>
              <w:right w:val="nil"/>
            </w:tcBorders>
            <w:shd w:val="clear" w:color="auto" w:fill="auto"/>
            <w:noWrap/>
            <w:vAlign w:val="bottom"/>
            <w:hideMark/>
          </w:tcPr>
          <w:p w14:paraId="29C56792" w14:textId="21F5E41B"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3,5</w:t>
            </w:r>
          </w:p>
        </w:tc>
        <w:tc>
          <w:tcPr>
            <w:tcW w:w="979" w:type="dxa"/>
            <w:tcBorders>
              <w:top w:val="nil"/>
              <w:left w:val="nil"/>
              <w:bottom w:val="single" w:sz="4" w:space="0" w:color="auto"/>
              <w:right w:val="nil"/>
            </w:tcBorders>
            <w:shd w:val="clear" w:color="auto" w:fill="auto"/>
            <w:noWrap/>
            <w:vAlign w:val="bottom"/>
            <w:hideMark/>
          </w:tcPr>
          <w:p w14:paraId="152311E0" w14:textId="3D105C00"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187,14</w:t>
            </w:r>
          </w:p>
        </w:tc>
        <w:tc>
          <w:tcPr>
            <w:tcW w:w="1002" w:type="dxa"/>
            <w:tcBorders>
              <w:top w:val="nil"/>
              <w:left w:val="nil"/>
              <w:bottom w:val="single" w:sz="4" w:space="0" w:color="auto"/>
              <w:right w:val="nil"/>
            </w:tcBorders>
            <w:shd w:val="clear" w:color="auto" w:fill="auto"/>
            <w:noWrap/>
            <w:vAlign w:val="center"/>
            <w:hideMark/>
          </w:tcPr>
          <w:p w14:paraId="7D717CF0"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+125 %  </w:t>
            </w:r>
          </w:p>
        </w:tc>
        <w:tc>
          <w:tcPr>
            <w:tcW w:w="979" w:type="dxa"/>
            <w:tcBorders>
              <w:top w:val="nil"/>
              <w:left w:val="single" w:sz="4" w:space="0" w:color="auto"/>
              <w:bottom w:val="single" w:sz="4" w:space="0" w:color="auto"/>
              <w:right w:val="nil"/>
            </w:tcBorders>
            <w:shd w:val="clear" w:color="auto" w:fill="auto"/>
            <w:noWrap/>
            <w:vAlign w:val="bottom"/>
            <w:hideMark/>
          </w:tcPr>
          <w:p w14:paraId="05D2F6BB" w14:textId="010018B6"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99,71</w:t>
            </w:r>
          </w:p>
        </w:tc>
        <w:tc>
          <w:tcPr>
            <w:tcW w:w="859" w:type="dxa"/>
            <w:tcBorders>
              <w:top w:val="nil"/>
              <w:left w:val="nil"/>
              <w:bottom w:val="single" w:sz="4" w:space="0" w:color="auto"/>
              <w:right w:val="single" w:sz="4" w:space="0" w:color="auto"/>
            </w:tcBorders>
            <w:shd w:val="clear" w:color="auto" w:fill="auto"/>
            <w:noWrap/>
            <w:vAlign w:val="center"/>
            <w:hideMark/>
          </w:tcPr>
          <w:p w14:paraId="09501B02"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979" w:type="dxa"/>
            <w:tcBorders>
              <w:top w:val="nil"/>
              <w:left w:val="nil"/>
              <w:bottom w:val="single" w:sz="4" w:space="0" w:color="auto"/>
              <w:right w:val="nil"/>
            </w:tcBorders>
            <w:shd w:val="clear" w:color="auto" w:fill="auto"/>
            <w:noWrap/>
            <w:vAlign w:val="bottom"/>
            <w:hideMark/>
          </w:tcPr>
          <w:p w14:paraId="6128E29B" w14:textId="2BF6940C"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192,00</w:t>
            </w:r>
          </w:p>
        </w:tc>
        <w:tc>
          <w:tcPr>
            <w:tcW w:w="1002" w:type="dxa"/>
            <w:tcBorders>
              <w:top w:val="nil"/>
              <w:left w:val="nil"/>
              <w:bottom w:val="single" w:sz="4" w:space="0" w:color="auto"/>
              <w:right w:val="nil"/>
            </w:tcBorders>
            <w:shd w:val="clear" w:color="auto" w:fill="auto"/>
            <w:noWrap/>
            <w:vAlign w:val="center"/>
            <w:hideMark/>
          </w:tcPr>
          <w:p w14:paraId="788A4E10"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+111 %  </w:t>
            </w:r>
          </w:p>
        </w:tc>
      </w:tr>
      <w:tr w:rsidR="00B64E96" w:rsidRPr="00730B1E" w14:paraId="1EFC99C7" w14:textId="77777777" w:rsidTr="008C7A0A">
        <w:trPr>
          <w:trHeight w:val="315"/>
        </w:trPr>
        <w:tc>
          <w:tcPr>
            <w:tcW w:w="2020" w:type="dxa"/>
            <w:tcBorders>
              <w:top w:val="nil"/>
              <w:left w:val="nil"/>
              <w:bottom w:val="single" w:sz="4" w:space="0" w:color="auto"/>
              <w:right w:val="nil"/>
            </w:tcBorders>
            <w:shd w:val="clear" w:color="auto" w:fill="auto"/>
            <w:noWrap/>
            <w:vAlign w:val="bottom"/>
            <w:hideMark/>
          </w:tcPr>
          <w:p w14:paraId="2BEB0C22" w14:textId="77777777" w:rsidR="008C7A0A" w:rsidRPr="00730B1E" w:rsidRDefault="008C7A0A" w:rsidP="008C7A0A">
            <w:pPr>
              <w:spacing w:line="240" w:lineRule="auto"/>
              <w:jc w:val="left"/>
              <w:rPr>
                <w:rFonts w:eastAsia="Times New Roman"/>
                <w:szCs w:val="24"/>
                <w:lang w:eastAsia="cs-CZ"/>
              </w:rPr>
            </w:pPr>
            <w:r w:rsidRPr="00730B1E">
              <w:rPr>
                <w:rFonts w:eastAsia="Times New Roman"/>
                <w:szCs w:val="24"/>
                <w:lang w:eastAsia="cs-CZ"/>
              </w:rPr>
              <w:t>KS Hr. Králové</w:t>
            </w:r>
          </w:p>
        </w:tc>
        <w:tc>
          <w:tcPr>
            <w:tcW w:w="1180" w:type="dxa"/>
            <w:tcBorders>
              <w:top w:val="nil"/>
              <w:left w:val="nil"/>
              <w:bottom w:val="single" w:sz="4" w:space="0" w:color="auto"/>
              <w:right w:val="nil"/>
            </w:tcBorders>
            <w:shd w:val="clear" w:color="auto" w:fill="auto"/>
            <w:noWrap/>
            <w:vAlign w:val="bottom"/>
            <w:hideMark/>
          </w:tcPr>
          <w:p w14:paraId="733D48CB" w14:textId="14D55BA3"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2,9</w:t>
            </w:r>
          </w:p>
        </w:tc>
        <w:tc>
          <w:tcPr>
            <w:tcW w:w="979" w:type="dxa"/>
            <w:tcBorders>
              <w:top w:val="nil"/>
              <w:left w:val="nil"/>
              <w:bottom w:val="single" w:sz="4" w:space="0" w:color="auto"/>
              <w:right w:val="nil"/>
            </w:tcBorders>
            <w:shd w:val="clear" w:color="auto" w:fill="auto"/>
            <w:noWrap/>
            <w:vAlign w:val="bottom"/>
            <w:hideMark/>
          </w:tcPr>
          <w:p w14:paraId="111E88CA" w14:textId="41844F0A"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101,38</w:t>
            </w:r>
          </w:p>
        </w:tc>
        <w:tc>
          <w:tcPr>
            <w:tcW w:w="1002" w:type="dxa"/>
            <w:tcBorders>
              <w:top w:val="nil"/>
              <w:left w:val="nil"/>
              <w:bottom w:val="single" w:sz="4" w:space="0" w:color="auto"/>
              <w:right w:val="nil"/>
            </w:tcBorders>
            <w:shd w:val="clear" w:color="auto" w:fill="auto"/>
            <w:noWrap/>
            <w:vAlign w:val="center"/>
            <w:hideMark/>
          </w:tcPr>
          <w:p w14:paraId="5B72565E"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+31 %  </w:t>
            </w:r>
          </w:p>
        </w:tc>
        <w:tc>
          <w:tcPr>
            <w:tcW w:w="979" w:type="dxa"/>
            <w:tcBorders>
              <w:top w:val="nil"/>
              <w:left w:val="single" w:sz="4" w:space="0" w:color="auto"/>
              <w:bottom w:val="single" w:sz="4" w:space="0" w:color="auto"/>
              <w:right w:val="nil"/>
            </w:tcBorders>
            <w:shd w:val="clear" w:color="auto" w:fill="auto"/>
            <w:noWrap/>
            <w:vAlign w:val="bottom"/>
            <w:hideMark/>
          </w:tcPr>
          <w:p w14:paraId="4C683BB3" w14:textId="1F841DDB"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103,45</w:t>
            </w:r>
          </w:p>
        </w:tc>
        <w:tc>
          <w:tcPr>
            <w:tcW w:w="859" w:type="dxa"/>
            <w:tcBorders>
              <w:top w:val="nil"/>
              <w:left w:val="nil"/>
              <w:bottom w:val="single" w:sz="4" w:space="0" w:color="auto"/>
              <w:right w:val="single" w:sz="4" w:space="0" w:color="auto"/>
            </w:tcBorders>
            <w:shd w:val="clear" w:color="auto" w:fill="auto"/>
            <w:noWrap/>
            <w:vAlign w:val="center"/>
            <w:hideMark/>
          </w:tcPr>
          <w:p w14:paraId="55C71CEA"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+2 %  </w:t>
            </w:r>
          </w:p>
        </w:tc>
        <w:tc>
          <w:tcPr>
            <w:tcW w:w="979" w:type="dxa"/>
            <w:tcBorders>
              <w:top w:val="nil"/>
              <w:left w:val="nil"/>
              <w:bottom w:val="single" w:sz="4" w:space="0" w:color="auto"/>
              <w:right w:val="nil"/>
            </w:tcBorders>
            <w:shd w:val="clear" w:color="auto" w:fill="auto"/>
            <w:noWrap/>
            <w:vAlign w:val="bottom"/>
            <w:hideMark/>
          </w:tcPr>
          <w:p w14:paraId="52AD2382" w14:textId="2C198BA9"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78,62</w:t>
            </w:r>
          </w:p>
        </w:tc>
        <w:tc>
          <w:tcPr>
            <w:tcW w:w="1002" w:type="dxa"/>
            <w:tcBorders>
              <w:top w:val="nil"/>
              <w:left w:val="nil"/>
              <w:bottom w:val="single" w:sz="4" w:space="0" w:color="auto"/>
              <w:right w:val="nil"/>
            </w:tcBorders>
            <w:shd w:val="clear" w:color="auto" w:fill="auto"/>
            <w:noWrap/>
            <w:vAlign w:val="center"/>
            <w:hideMark/>
          </w:tcPr>
          <w:p w14:paraId="57381EA6"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+11 %  </w:t>
            </w:r>
          </w:p>
        </w:tc>
      </w:tr>
      <w:tr w:rsidR="00B64E96" w:rsidRPr="00730B1E" w14:paraId="31789946" w14:textId="77777777" w:rsidTr="008C7A0A">
        <w:trPr>
          <w:trHeight w:val="315"/>
        </w:trPr>
        <w:tc>
          <w:tcPr>
            <w:tcW w:w="2020" w:type="dxa"/>
            <w:tcBorders>
              <w:top w:val="nil"/>
              <w:left w:val="nil"/>
              <w:bottom w:val="single" w:sz="4" w:space="0" w:color="auto"/>
              <w:right w:val="nil"/>
            </w:tcBorders>
            <w:shd w:val="clear" w:color="auto" w:fill="auto"/>
            <w:noWrap/>
            <w:vAlign w:val="bottom"/>
            <w:hideMark/>
          </w:tcPr>
          <w:p w14:paraId="5BA4281B" w14:textId="77777777" w:rsidR="008C7A0A" w:rsidRPr="00730B1E" w:rsidRDefault="008C7A0A" w:rsidP="008C7A0A">
            <w:pPr>
              <w:spacing w:line="240" w:lineRule="auto"/>
              <w:jc w:val="left"/>
              <w:rPr>
                <w:rFonts w:eastAsia="Times New Roman"/>
                <w:szCs w:val="24"/>
                <w:lang w:eastAsia="cs-CZ"/>
              </w:rPr>
            </w:pPr>
            <w:r w:rsidRPr="00730B1E">
              <w:rPr>
                <w:rFonts w:eastAsia="Times New Roman"/>
                <w:szCs w:val="24"/>
                <w:lang w:eastAsia="cs-CZ"/>
              </w:rPr>
              <w:t>KS Brno</w:t>
            </w:r>
          </w:p>
        </w:tc>
        <w:tc>
          <w:tcPr>
            <w:tcW w:w="1180" w:type="dxa"/>
            <w:tcBorders>
              <w:top w:val="nil"/>
              <w:left w:val="nil"/>
              <w:bottom w:val="single" w:sz="4" w:space="0" w:color="auto"/>
              <w:right w:val="nil"/>
            </w:tcBorders>
            <w:shd w:val="clear" w:color="auto" w:fill="auto"/>
            <w:noWrap/>
            <w:vAlign w:val="bottom"/>
            <w:hideMark/>
          </w:tcPr>
          <w:p w14:paraId="43A37238" w14:textId="77777777"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6</w:t>
            </w:r>
          </w:p>
        </w:tc>
        <w:tc>
          <w:tcPr>
            <w:tcW w:w="979" w:type="dxa"/>
            <w:tcBorders>
              <w:top w:val="nil"/>
              <w:left w:val="nil"/>
              <w:bottom w:val="single" w:sz="4" w:space="0" w:color="auto"/>
              <w:right w:val="nil"/>
            </w:tcBorders>
            <w:shd w:val="clear" w:color="auto" w:fill="auto"/>
            <w:noWrap/>
            <w:vAlign w:val="bottom"/>
            <w:hideMark/>
          </w:tcPr>
          <w:p w14:paraId="7061A316" w14:textId="51C29D51"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83,00</w:t>
            </w:r>
          </w:p>
        </w:tc>
        <w:tc>
          <w:tcPr>
            <w:tcW w:w="1002" w:type="dxa"/>
            <w:tcBorders>
              <w:top w:val="nil"/>
              <w:left w:val="nil"/>
              <w:bottom w:val="single" w:sz="4" w:space="0" w:color="auto"/>
              <w:right w:val="nil"/>
            </w:tcBorders>
            <w:shd w:val="clear" w:color="auto" w:fill="auto"/>
            <w:noWrap/>
            <w:vAlign w:val="center"/>
            <w:hideMark/>
          </w:tcPr>
          <w:p w14:paraId="6CBA6D8A"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-20 %  </w:t>
            </w:r>
          </w:p>
        </w:tc>
        <w:tc>
          <w:tcPr>
            <w:tcW w:w="979" w:type="dxa"/>
            <w:tcBorders>
              <w:top w:val="nil"/>
              <w:left w:val="single" w:sz="4" w:space="0" w:color="auto"/>
              <w:bottom w:val="single" w:sz="4" w:space="0" w:color="auto"/>
              <w:right w:val="nil"/>
            </w:tcBorders>
            <w:shd w:val="clear" w:color="auto" w:fill="auto"/>
            <w:noWrap/>
            <w:vAlign w:val="bottom"/>
            <w:hideMark/>
          </w:tcPr>
          <w:p w14:paraId="47092C5C" w14:textId="2A5B3CCB"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102,50</w:t>
            </w:r>
          </w:p>
        </w:tc>
        <w:tc>
          <w:tcPr>
            <w:tcW w:w="859" w:type="dxa"/>
            <w:tcBorders>
              <w:top w:val="nil"/>
              <w:left w:val="nil"/>
              <w:bottom w:val="single" w:sz="4" w:space="0" w:color="auto"/>
              <w:right w:val="single" w:sz="4" w:space="0" w:color="auto"/>
            </w:tcBorders>
            <w:shd w:val="clear" w:color="auto" w:fill="auto"/>
            <w:noWrap/>
            <w:vAlign w:val="center"/>
            <w:hideMark/>
          </w:tcPr>
          <w:p w14:paraId="45F7AE8C"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-19 %  </w:t>
            </w:r>
          </w:p>
        </w:tc>
        <w:tc>
          <w:tcPr>
            <w:tcW w:w="979" w:type="dxa"/>
            <w:tcBorders>
              <w:top w:val="nil"/>
              <w:left w:val="nil"/>
              <w:bottom w:val="single" w:sz="4" w:space="0" w:color="auto"/>
              <w:right w:val="nil"/>
            </w:tcBorders>
            <w:shd w:val="clear" w:color="auto" w:fill="auto"/>
            <w:noWrap/>
            <w:vAlign w:val="bottom"/>
            <w:hideMark/>
          </w:tcPr>
          <w:p w14:paraId="49F004A1" w14:textId="43026776"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118,50</w:t>
            </w:r>
          </w:p>
        </w:tc>
        <w:tc>
          <w:tcPr>
            <w:tcW w:w="1002" w:type="dxa"/>
            <w:tcBorders>
              <w:top w:val="nil"/>
              <w:left w:val="nil"/>
              <w:bottom w:val="single" w:sz="4" w:space="0" w:color="auto"/>
              <w:right w:val="nil"/>
            </w:tcBorders>
            <w:shd w:val="clear" w:color="auto" w:fill="auto"/>
            <w:noWrap/>
            <w:vAlign w:val="center"/>
            <w:hideMark/>
          </w:tcPr>
          <w:p w14:paraId="17EE712D"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-14 %  </w:t>
            </w:r>
          </w:p>
        </w:tc>
      </w:tr>
      <w:tr w:rsidR="00B64E96" w:rsidRPr="00730B1E" w14:paraId="1E3740BE" w14:textId="77777777" w:rsidTr="008C7A0A">
        <w:trPr>
          <w:trHeight w:val="330"/>
        </w:trPr>
        <w:tc>
          <w:tcPr>
            <w:tcW w:w="2020" w:type="dxa"/>
            <w:tcBorders>
              <w:top w:val="nil"/>
              <w:left w:val="nil"/>
              <w:bottom w:val="double" w:sz="6" w:space="0" w:color="auto"/>
              <w:right w:val="nil"/>
            </w:tcBorders>
            <w:shd w:val="clear" w:color="auto" w:fill="auto"/>
            <w:noWrap/>
            <w:vAlign w:val="bottom"/>
            <w:hideMark/>
          </w:tcPr>
          <w:p w14:paraId="7A9CE8AB" w14:textId="77777777" w:rsidR="008C7A0A" w:rsidRPr="00730B1E" w:rsidRDefault="008C7A0A" w:rsidP="008C7A0A">
            <w:pPr>
              <w:spacing w:line="240" w:lineRule="auto"/>
              <w:jc w:val="left"/>
              <w:rPr>
                <w:rFonts w:eastAsia="Times New Roman"/>
                <w:szCs w:val="24"/>
                <w:lang w:eastAsia="cs-CZ"/>
              </w:rPr>
            </w:pPr>
            <w:r w:rsidRPr="00730B1E">
              <w:rPr>
                <w:rFonts w:eastAsia="Times New Roman"/>
                <w:szCs w:val="24"/>
                <w:lang w:eastAsia="cs-CZ"/>
              </w:rPr>
              <w:t>KS Ostrava</w:t>
            </w:r>
          </w:p>
        </w:tc>
        <w:tc>
          <w:tcPr>
            <w:tcW w:w="1180" w:type="dxa"/>
            <w:tcBorders>
              <w:top w:val="nil"/>
              <w:left w:val="nil"/>
              <w:bottom w:val="double" w:sz="6" w:space="0" w:color="auto"/>
              <w:right w:val="nil"/>
            </w:tcBorders>
            <w:shd w:val="clear" w:color="auto" w:fill="auto"/>
            <w:noWrap/>
            <w:vAlign w:val="bottom"/>
            <w:hideMark/>
          </w:tcPr>
          <w:p w14:paraId="7096EAF1" w14:textId="3BEC9AF1"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10,5</w:t>
            </w:r>
          </w:p>
        </w:tc>
        <w:tc>
          <w:tcPr>
            <w:tcW w:w="979" w:type="dxa"/>
            <w:tcBorders>
              <w:top w:val="nil"/>
              <w:left w:val="nil"/>
              <w:bottom w:val="double" w:sz="6" w:space="0" w:color="auto"/>
              <w:right w:val="nil"/>
            </w:tcBorders>
            <w:shd w:val="clear" w:color="auto" w:fill="auto"/>
            <w:noWrap/>
            <w:vAlign w:val="bottom"/>
            <w:hideMark/>
          </w:tcPr>
          <w:p w14:paraId="68C02572" w14:textId="5E20D45D"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89,14</w:t>
            </w:r>
          </w:p>
        </w:tc>
        <w:tc>
          <w:tcPr>
            <w:tcW w:w="1002" w:type="dxa"/>
            <w:tcBorders>
              <w:top w:val="nil"/>
              <w:left w:val="nil"/>
              <w:bottom w:val="double" w:sz="6" w:space="0" w:color="auto"/>
              <w:right w:val="nil"/>
            </w:tcBorders>
            <w:shd w:val="clear" w:color="auto" w:fill="auto"/>
            <w:noWrap/>
            <w:vAlign w:val="center"/>
            <w:hideMark/>
          </w:tcPr>
          <w:p w14:paraId="2E697708"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+67 %  </w:t>
            </w:r>
          </w:p>
        </w:tc>
        <w:tc>
          <w:tcPr>
            <w:tcW w:w="979" w:type="dxa"/>
            <w:tcBorders>
              <w:top w:val="nil"/>
              <w:left w:val="single" w:sz="4" w:space="0" w:color="auto"/>
              <w:bottom w:val="double" w:sz="6" w:space="0" w:color="auto"/>
              <w:right w:val="nil"/>
            </w:tcBorders>
            <w:shd w:val="clear" w:color="auto" w:fill="auto"/>
            <w:noWrap/>
            <w:vAlign w:val="bottom"/>
            <w:hideMark/>
          </w:tcPr>
          <w:p w14:paraId="1F0847F9" w14:textId="420B163D"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66,38</w:t>
            </w:r>
          </w:p>
        </w:tc>
        <w:tc>
          <w:tcPr>
            <w:tcW w:w="859" w:type="dxa"/>
            <w:tcBorders>
              <w:top w:val="nil"/>
              <w:left w:val="nil"/>
              <w:bottom w:val="double" w:sz="6" w:space="0" w:color="auto"/>
              <w:right w:val="single" w:sz="4" w:space="0" w:color="auto"/>
            </w:tcBorders>
            <w:shd w:val="clear" w:color="auto" w:fill="auto"/>
            <w:noWrap/>
            <w:vAlign w:val="center"/>
            <w:hideMark/>
          </w:tcPr>
          <w:p w14:paraId="1BBDDBAC"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-1 %  </w:t>
            </w:r>
          </w:p>
        </w:tc>
        <w:tc>
          <w:tcPr>
            <w:tcW w:w="979" w:type="dxa"/>
            <w:tcBorders>
              <w:top w:val="nil"/>
              <w:left w:val="nil"/>
              <w:bottom w:val="double" w:sz="6" w:space="0" w:color="auto"/>
              <w:right w:val="nil"/>
            </w:tcBorders>
            <w:shd w:val="clear" w:color="auto" w:fill="auto"/>
            <w:noWrap/>
            <w:vAlign w:val="bottom"/>
            <w:hideMark/>
          </w:tcPr>
          <w:p w14:paraId="5DA12282" w14:textId="2B8208B9" w:rsidR="008C7A0A" w:rsidRPr="00730B1E" w:rsidRDefault="008C7A0A" w:rsidP="008C7A0A">
            <w:pPr>
              <w:spacing w:line="240" w:lineRule="auto"/>
              <w:jc w:val="center"/>
              <w:rPr>
                <w:rFonts w:eastAsia="Times New Roman"/>
                <w:szCs w:val="24"/>
                <w:lang w:eastAsia="cs-CZ"/>
              </w:rPr>
            </w:pPr>
            <w:r w:rsidRPr="00730B1E">
              <w:rPr>
                <w:rFonts w:eastAsia="Times New Roman"/>
                <w:szCs w:val="24"/>
                <w:lang w:eastAsia="cs-CZ"/>
              </w:rPr>
              <w:t>75,33</w:t>
            </w:r>
          </w:p>
        </w:tc>
        <w:tc>
          <w:tcPr>
            <w:tcW w:w="1002" w:type="dxa"/>
            <w:tcBorders>
              <w:top w:val="nil"/>
              <w:left w:val="nil"/>
              <w:bottom w:val="double" w:sz="6" w:space="0" w:color="auto"/>
              <w:right w:val="nil"/>
            </w:tcBorders>
            <w:shd w:val="clear" w:color="auto" w:fill="auto"/>
            <w:noWrap/>
            <w:vAlign w:val="center"/>
            <w:hideMark/>
          </w:tcPr>
          <w:p w14:paraId="09B5CAF1" w14:textId="77777777" w:rsidR="008C7A0A" w:rsidRPr="00730B1E" w:rsidRDefault="008C7A0A" w:rsidP="008C7A0A">
            <w:pPr>
              <w:spacing w:line="240" w:lineRule="auto"/>
              <w:jc w:val="center"/>
              <w:rPr>
                <w:rFonts w:eastAsia="Times New Roman"/>
                <w:sz w:val="20"/>
                <w:szCs w:val="20"/>
                <w:lang w:eastAsia="cs-CZ"/>
              </w:rPr>
            </w:pPr>
            <w:r w:rsidRPr="00730B1E">
              <w:rPr>
                <w:rFonts w:eastAsia="Times New Roman"/>
                <w:sz w:val="20"/>
                <w:szCs w:val="20"/>
                <w:lang w:eastAsia="cs-CZ"/>
              </w:rPr>
              <w:t xml:space="preserve">+43 %  </w:t>
            </w:r>
          </w:p>
        </w:tc>
      </w:tr>
      <w:tr w:rsidR="00B64E96" w:rsidRPr="00730B1E" w14:paraId="5D0A9218" w14:textId="77777777" w:rsidTr="008C7A0A">
        <w:trPr>
          <w:trHeight w:val="345"/>
        </w:trPr>
        <w:tc>
          <w:tcPr>
            <w:tcW w:w="2020" w:type="dxa"/>
            <w:tcBorders>
              <w:top w:val="nil"/>
              <w:left w:val="nil"/>
              <w:bottom w:val="double" w:sz="6" w:space="0" w:color="auto"/>
              <w:right w:val="nil"/>
            </w:tcBorders>
            <w:shd w:val="clear" w:color="auto" w:fill="auto"/>
            <w:noWrap/>
            <w:vAlign w:val="bottom"/>
            <w:hideMark/>
          </w:tcPr>
          <w:p w14:paraId="48BB6D8C" w14:textId="77777777" w:rsidR="008C7A0A" w:rsidRPr="00730B1E" w:rsidRDefault="008C7A0A" w:rsidP="008C7A0A">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180" w:type="dxa"/>
            <w:tcBorders>
              <w:top w:val="nil"/>
              <w:left w:val="nil"/>
              <w:bottom w:val="double" w:sz="6" w:space="0" w:color="auto"/>
              <w:right w:val="nil"/>
            </w:tcBorders>
            <w:shd w:val="clear" w:color="auto" w:fill="auto"/>
            <w:noWrap/>
            <w:vAlign w:val="bottom"/>
            <w:hideMark/>
          </w:tcPr>
          <w:p w14:paraId="59667A5C" w14:textId="1D3CE873"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37,1</w:t>
            </w:r>
          </w:p>
        </w:tc>
        <w:tc>
          <w:tcPr>
            <w:tcW w:w="979" w:type="dxa"/>
            <w:tcBorders>
              <w:top w:val="nil"/>
              <w:left w:val="nil"/>
              <w:bottom w:val="double" w:sz="6" w:space="0" w:color="auto"/>
              <w:right w:val="nil"/>
            </w:tcBorders>
            <w:shd w:val="clear" w:color="auto" w:fill="auto"/>
            <w:noWrap/>
            <w:vAlign w:val="bottom"/>
            <w:hideMark/>
          </w:tcPr>
          <w:p w14:paraId="4B7107D8" w14:textId="6EEB97D8"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114,56</w:t>
            </w:r>
          </w:p>
        </w:tc>
        <w:tc>
          <w:tcPr>
            <w:tcW w:w="1002" w:type="dxa"/>
            <w:tcBorders>
              <w:top w:val="nil"/>
              <w:left w:val="nil"/>
              <w:bottom w:val="double" w:sz="6" w:space="0" w:color="auto"/>
              <w:right w:val="nil"/>
            </w:tcBorders>
            <w:shd w:val="clear" w:color="auto" w:fill="auto"/>
            <w:noWrap/>
            <w:vAlign w:val="center"/>
            <w:hideMark/>
          </w:tcPr>
          <w:p w14:paraId="4A46BCF0" w14:textId="77777777" w:rsidR="008C7A0A" w:rsidRPr="00730B1E" w:rsidRDefault="008C7A0A" w:rsidP="008C7A0A">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+16 %  </w:t>
            </w:r>
          </w:p>
        </w:tc>
        <w:tc>
          <w:tcPr>
            <w:tcW w:w="979" w:type="dxa"/>
            <w:tcBorders>
              <w:top w:val="nil"/>
              <w:left w:val="single" w:sz="4" w:space="0" w:color="auto"/>
              <w:bottom w:val="double" w:sz="6" w:space="0" w:color="auto"/>
              <w:right w:val="nil"/>
            </w:tcBorders>
            <w:shd w:val="clear" w:color="auto" w:fill="auto"/>
            <w:noWrap/>
            <w:vAlign w:val="bottom"/>
            <w:hideMark/>
          </w:tcPr>
          <w:p w14:paraId="16CB2A5E" w14:textId="65944706"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100,00</w:t>
            </w:r>
          </w:p>
        </w:tc>
        <w:tc>
          <w:tcPr>
            <w:tcW w:w="859" w:type="dxa"/>
            <w:tcBorders>
              <w:top w:val="nil"/>
              <w:left w:val="nil"/>
              <w:bottom w:val="double" w:sz="6" w:space="0" w:color="auto"/>
              <w:right w:val="single" w:sz="4" w:space="0" w:color="auto"/>
            </w:tcBorders>
            <w:shd w:val="clear" w:color="auto" w:fill="auto"/>
            <w:noWrap/>
            <w:vAlign w:val="center"/>
            <w:hideMark/>
          </w:tcPr>
          <w:p w14:paraId="0B251033" w14:textId="77777777" w:rsidR="008C7A0A" w:rsidRPr="00730B1E" w:rsidRDefault="008C7A0A" w:rsidP="008C7A0A">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-10 %  </w:t>
            </w:r>
          </w:p>
        </w:tc>
        <w:tc>
          <w:tcPr>
            <w:tcW w:w="979" w:type="dxa"/>
            <w:tcBorders>
              <w:top w:val="nil"/>
              <w:left w:val="nil"/>
              <w:bottom w:val="double" w:sz="6" w:space="0" w:color="auto"/>
              <w:right w:val="nil"/>
            </w:tcBorders>
            <w:shd w:val="clear" w:color="auto" w:fill="auto"/>
            <w:noWrap/>
            <w:vAlign w:val="bottom"/>
            <w:hideMark/>
          </w:tcPr>
          <w:p w14:paraId="27EB22E9" w14:textId="2C772F96" w:rsidR="008C7A0A" w:rsidRPr="00730B1E" w:rsidRDefault="008C7A0A" w:rsidP="008C7A0A">
            <w:pPr>
              <w:spacing w:line="240" w:lineRule="auto"/>
              <w:jc w:val="center"/>
              <w:rPr>
                <w:rFonts w:eastAsia="Times New Roman"/>
                <w:b/>
                <w:bCs/>
                <w:szCs w:val="24"/>
                <w:lang w:eastAsia="cs-CZ"/>
              </w:rPr>
            </w:pPr>
            <w:r w:rsidRPr="00730B1E">
              <w:rPr>
                <w:rFonts w:eastAsia="Times New Roman"/>
                <w:b/>
                <w:bCs/>
                <w:szCs w:val="24"/>
                <w:lang w:eastAsia="cs-CZ"/>
              </w:rPr>
              <w:t>120,51</w:t>
            </w:r>
          </w:p>
        </w:tc>
        <w:tc>
          <w:tcPr>
            <w:tcW w:w="1002" w:type="dxa"/>
            <w:tcBorders>
              <w:top w:val="nil"/>
              <w:left w:val="nil"/>
              <w:bottom w:val="double" w:sz="6" w:space="0" w:color="auto"/>
              <w:right w:val="nil"/>
            </w:tcBorders>
            <w:shd w:val="clear" w:color="auto" w:fill="auto"/>
            <w:noWrap/>
            <w:vAlign w:val="center"/>
            <w:hideMark/>
          </w:tcPr>
          <w:p w14:paraId="02A708D5" w14:textId="77777777" w:rsidR="008C7A0A" w:rsidRPr="00730B1E" w:rsidRDefault="008C7A0A" w:rsidP="008C7A0A">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+14 %  </w:t>
            </w:r>
          </w:p>
        </w:tc>
      </w:tr>
      <w:tr w:rsidR="00B64E96" w:rsidRPr="00730B1E" w14:paraId="0BBFC47F" w14:textId="77777777" w:rsidTr="008C7A0A">
        <w:trPr>
          <w:trHeight w:val="330"/>
        </w:trPr>
        <w:tc>
          <w:tcPr>
            <w:tcW w:w="2020" w:type="dxa"/>
            <w:tcBorders>
              <w:top w:val="nil"/>
              <w:left w:val="nil"/>
              <w:bottom w:val="nil"/>
              <w:right w:val="nil"/>
            </w:tcBorders>
            <w:shd w:val="clear" w:color="auto" w:fill="auto"/>
            <w:noWrap/>
            <w:vAlign w:val="bottom"/>
            <w:hideMark/>
          </w:tcPr>
          <w:p w14:paraId="79937DD5" w14:textId="77777777" w:rsidR="008C7A0A" w:rsidRPr="00730B1E" w:rsidRDefault="008C7A0A" w:rsidP="008C7A0A">
            <w:pPr>
              <w:spacing w:line="240" w:lineRule="auto"/>
              <w:jc w:val="center"/>
              <w:rPr>
                <w:rFonts w:eastAsia="Times New Roman"/>
                <w:b/>
                <w:bCs/>
                <w:sz w:val="20"/>
                <w:szCs w:val="20"/>
                <w:lang w:eastAsia="cs-CZ"/>
              </w:rPr>
            </w:pPr>
          </w:p>
        </w:tc>
        <w:tc>
          <w:tcPr>
            <w:tcW w:w="1180" w:type="dxa"/>
            <w:tcBorders>
              <w:top w:val="nil"/>
              <w:left w:val="nil"/>
              <w:bottom w:val="nil"/>
              <w:right w:val="nil"/>
            </w:tcBorders>
            <w:shd w:val="clear" w:color="auto" w:fill="auto"/>
            <w:noWrap/>
            <w:vAlign w:val="bottom"/>
            <w:hideMark/>
          </w:tcPr>
          <w:p w14:paraId="2A4F406D" w14:textId="77777777" w:rsidR="008C7A0A" w:rsidRPr="00DF07F3" w:rsidRDefault="008C7A0A" w:rsidP="008C7A0A">
            <w:pPr>
              <w:spacing w:line="240" w:lineRule="auto"/>
              <w:jc w:val="left"/>
              <w:rPr>
                <w:sz w:val="20"/>
              </w:rPr>
            </w:pPr>
          </w:p>
        </w:tc>
        <w:tc>
          <w:tcPr>
            <w:tcW w:w="979" w:type="dxa"/>
            <w:tcBorders>
              <w:top w:val="nil"/>
              <w:left w:val="nil"/>
              <w:bottom w:val="nil"/>
              <w:right w:val="nil"/>
            </w:tcBorders>
            <w:shd w:val="clear" w:color="auto" w:fill="auto"/>
            <w:noWrap/>
            <w:vAlign w:val="bottom"/>
            <w:hideMark/>
          </w:tcPr>
          <w:p w14:paraId="3D676CBD" w14:textId="77777777" w:rsidR="008C7A0A" w:rsidRPr="00DF07F3" w:rsidRDefault="008C7A0A" w:rsidP="008C7A0A">
            <w:pPr>
              <w:spacing w:line="240" w:lineRule="auto"/>
              <w:jc w:val="left"/>
              <w:rPr>
                <w:sz w:val="20"/>
              </w:rPr>
            </w:pPr>
          </w:p>
        </w:tc>
        <w:tc>
          <w:tcPr>
            <w:tcW w:w="1002" w:type="dxa"/>
            <w:tcBorders>
              <w:top w:val="nil"/>
              <w:left w:val="nil"/>
              <w:bottom w:val="nil"/>
              <w:right w:val="nil"/>
            </w:tcBorders>
            <w:shd w:val="clear" w:color="auto" w:fill="auto"/>
            <w:noWrap/>
            <w:vAlign w:val="bottom"/>
            <w:hideMark/>
          </w:tcPr>
          <w:p w14:paraId="43C37204" w14:textId="77777777" w:rsidR="008C7A0A" w:rsidRPr="00DF07F3" w:rsidRDefault="008C7A0A" w:rsidP="008C7A0A">
            <w:pPr>
              <w:spacing w:line="240" w:lineRule="auto"/>
              <w:jc w:val="left"/>
              <w:rPr>
                <w:sz w:val="20"/>
              </w:rPr>
            </w:pPr>
          </w:p>
        </w:tc>
        <w:tc>
          <w:tcPr>
            <w:tcW w:w="979" w:type="dxa"/>
            <w:tcBorders>
              <w:top w:val="nil"/>
              <w:left w:val="nil"/>
              <w:bottom w:val="nil"/>
              <w:right w:val="nil"/>
            </w:tcBorders>
            <w:shd w:val="clear" w:color="auto" w:fill="auto"/>
            <w:noWrap/>
            <w:vAlign w:val="bottom"/>
            <w:hideMark/>
          </w:tcPr>
          <w:p w14:paraId="3BF9D7BF" w14:textId="77777777" w:rsidR="008C7A0A" w:rsidRPr="00DF07F3" w:rsidRDefault="008C7A0A" w:rsidP="008C7A0A">
            <w:pPr>
              <w:spacing w:line="240" w:lineRule="auto"/>
              <w:jc w:val="left"/>
              <w:rPr>
                <w:sz w:val="20"/>
              </w:rPr>
            </w:pPr>
          </w:p>
        </w:tc>
        <w:tc>
          <w:tcPr>
            <w:tcW w:w="859" w:type="dxa"/>
            <w:tcBorders>
              <w:top w:val="nil"/>
              <w:left w:val="nil"/>
              <w:bottom w:val="nil"/>
              <w:right w:val="nil"/>
            </w:tcBorders>
            <w:shd w:val="clear" w:color="auto" w:fill="auto"/>
            <w:noWrap/>
            <w:vAlign w:val="bottom"/>
            <w:hideMark/>
          </w:tcPr>
          <w:p w14:paraId="7AD6A17C" w14:textId="77777777" w:rsidR="008C7A0A" w:rsidRPr="00DF07F3" w:rsidRDefault="008C7A0A" w:rsidP="008C7A0A">
            <w:pPr>
              <w:spacing w:line="240" w:lineRule="auto"/>
              <w:jc w:val="left"/>
              <w:rPr>
                <w:sz w:val="20"/>
              </w:rPr>
            </w:pPr>
          </w:p>
        </w:tc>
        <w:tc>
          <w:tcPr>
            <w:tcW w:w="979" w:type="dxa"/>
            <w:tcBorders>
              <w:top w:val="nil"/>
              <w:left w:val="nil"/>
              <w:bottom w:val="nil"/>
              <w:right w:val="nil"/>
            </w:tcBorders>
            <w:shd w:val="clear" w:color="auto" w:fill="auto"/>
            <w:noWrap/>
            <w:vAlign w:val="bottom"/>
            <w:hideMark/>
          </w:tcPr>
          <w:p w14:paraId="16FE0FDB" w14:textId="77777777" w:rsidR="008C7A0A" w:rsidRPr="00DF07F3" w:rsidRDefault="008C7A0A" w:rsidP="008C7A0A">
            <w:pPr>
              <w:spacing w:line="240" w:lineRule="auto"/>
              <w:jc w:val="left"/>
              <w:rPr>
                <w:sz w:val="20"/>
              </w:rPr>
            </w:pPr>
          </w:p>
        </w:tc>
        <w:tc>
          <w:tcPr>
            <w:tcW w:w="1002" w:type="dxa"/>
            <w:tcBorders>
              <w:top w:val="nil"/>
              <w:left w:val="nil"/>
              <w:bottom w:val="nil"/>
              <w:right w:val="nil"/>
            </w:tcBorders>
            <w:shd w:val="clear" w:color="auto" w:fill="auto"/>
            <w:noWrap/>
            <w:vAlign w:val="bottom"/>
            <w:hideMark/>
          </w:tcPr>
          <w:p w14:paraId="2BB2F723" w14:textId="77777777" w:rsidR="008C7A0A" w:rsidRPr="00DF07F3" w:rsidRDefault="008C7A0A" w:rsidP="008C7A0A">
            <w:pPr>
              <w:spacing w:line="240" w:lineRule="auto"/>
              <w:jc w:val="left"/>
              <w:rPr>
                <w:sz w:val="20"/>
              </w:rPr>
            </w:pPr>
          </w:p>
        </w:tc>
      </w:tr>
    </w:tbl>
    <w:p w14:paraId="1DA8A9B0" w14:textId="2E12DEA9" w:rsidR="008C7A0A" w:rsidRPr="00730B1E" w:rsidRDefault="008C7A0A" w:rsidP="008C7A0A">
      <w:pPr>
        <w:pStyle w:val="OdstavecASR"/>
      </w:pPr>
      <w:r w:rsidRPr="00730B1E">
        <w:t xml:space="preserve">Tato tabulka dobře dokumentuje skutečnost, že na snižování počtu nevyřízených věcí má v současné době vliv spíše vývoj věcí příchozích než tempo vyřizování věcí. Zdaleka nejvíce nevyřízených věcí na soudce vykazuje MS Praha. Tento soud má také vysoké délky řízení a data naznačují, že může mít problémy s vyřizováním incidenčních sporů. </w:t>
      </w:r>
      <w:r w:rsidR="003A2BCE" w:rsidRPr="00730B1E">
        <w:t>Za pozornost stojí i </w:t>
      </w:r>
      <w:r w:rsidR="00F311C9" w:rsidRPr="00730B1E">
        <w:t xml:space="preserve">také </w:t>
      </w:r>
      <w:r w:rsidR="003A2BCE" w:rsidRPr="00730B1E">
        <w:t xml:space="preserve">mimořádné </w:t>
      </w:r>
      <w:r w:rsidR="006176E3" w:rsidRPr="00730B1E">
        <w:t>nárůst</w:t>
      </w:r>
      <w:r w:rsidR="00F311C9" w:rsidRPr="00730B1E">
        <w:t xml:space="preserve">y </w:t>
      </w:r>
      <w:r w:rsidR="003A2BCE" w:rsidRPr="00730B1E">
        <w:t>hodnot</w:t>
      </w:r>
      <w:r w:rsidR="0012346E" w:rsidRPr="00730B1E">
        <w:t xml:space="preserve"> </w:t>
      </w:r>
      <w:r w:rsidR="00F311C9" w:rsidRPr="00730B1E">
        <w:t xml:space="preserve">nevyřízených věcí na soudce </w:t>
      </w:r>
      <w:r w:rsidR="00165007" w:rsidRPr="00730B1E">
        <w:t>u </w:t>
      </w:r>
      <w:r w:rsidR="006176E3" w:rsidRPr="00730B1E">
        <w:t>KS Plz</w:t>
      </w:r>
      <w:r w:rsidR="0012346E" w:rsidRPr="00730B1E">
        <w:t>eň</w:t>
      </w:r>
      <w:r w:rsidR="006176E3" w:rsidRPr="00730B1E">
        <w:t xml:space="preserve"> a KS Ústí nad Labem. U KS v Ústí nad Labem je </w:t>
      </w:r>
      <w:r w:rsidR="003A2BCE" w:rsidRPr="00730B1E">
        <w:t xml:space="preserve">příčinou jak </w:t>
      </w:r>
      <w:r w:rsidR="006176E3" w:rsidRPr="00730B1E">
        <w:t>nárůst v počtu příchozích a nevyřízených věcí</w:t>
      </w:r>
      <w:r w:rsidR="003A2BCE" w:rsidRPr="00730B1E">
        <w:t>,</w:t>
      </w:r>
      <w:r w:rsidR="006176E3" w:rsidRPr="00730B1E">
        <w:t xml:space="preserve"> tak pokles</w:t>
      </w:r>
      <w:r w:rsidR="006E1F53" w:rsidRPr="00730B1E">
        <w:t>em</w:t>
      </w:r>
      <w:r w:rsidR="006176E3" w:rsidRPr="00730B1E">
        <w:t xml:space="preserve"> v počtu soudců. U KS v Plzni je </w:t>
      </w:r>
      <w:r w:rsidR="003A2BCE" w:rsidRPr="00730B1E">
        <w:t>příčinou</w:t>
      </w:r>
      <w:r w:rsidR="006176E3" w:rsidRPr="00730B1E">
        <w:t xml:space="preserve"> čistě změn</w:t>
      </w:r>
      <w:r w:rsidR="003A2BCE" w:rsidRPr="00730B1E">
        <w:t>a</w:t>
      </w:r>
      <w:r w:rsidR="006176E3" w:rsidRPr="00730B1E">
        <w:t> počtu soudců.</w:t>
      </w:r>
    </w:p>
    <w:p w14:paraId="2A358D79" w14:textId="29AF4990" w:rsidR="008C7A0A" w:rsidRPr="00730B1E" w:rsidRDefault="008C7A0A" w:rsidP="008C7A0A">
      <w:pPr>
        <w:pStyle w:val="OdstavecASR"/>
      </w:pPr>
      <w:r w:rsidRPr="00730B1E">
        <w:t>Malé počty vyřízených, příchozích a nevyřízených věcí vykazuje KS České Budějovice. Zde je ovšem třeba poznamenat, že počet soudců, kteří vyřizují incidenční spory, je relativně malý, a tedy i malé změny v počtu soudců ovlivní konečný přepočet.</w:t>
      </w:r>
    </w:p>
    <w:p w14:paraId="76E96CBE" w14:textId="77777777" w:rsidR="006176E3" w:rsidRPr="00730B1E" w:rsidRDefault="006176E3" w:rsidP="006176E3">
      <w:pPr>
        <w:pStyle w:val="OdstavecASR"/>
      </w:pPr>
      <w:r w:rsidRPr="00730B1E">
        <w:t>Nakonec je ještě třeba upozornit na srovnání s obchodní a civilní agendou. Počet příchozích a vyřízených věcí na soudce je u incidenčních sporů výrazně nižší, což opět ukazuje na složitost této agendy.</w:t>
      </w:r>
    </w:p>
    <w:p w14:paraId="6F25E058" w14:textId="6BB79B9E" w:rsidR="008430BD" w:rsidRPr="00730B1E" w:rsidRDefault="008430BD" w:rsidP="008430BD">
      <w:pPr>
        <w:pStyle w:val="Nadpis3"/>
        <w:numPr>
          <w:ilvl w:val="2"/>
          <w:numId w:val="1"/>
        </w:numPr>
        <w:rPr>
          <w:color w:val="auto"/>
        </w:rPr>
      </w:pPr>
      <w:bookmarkStart w:id="1296" w:name="_Toc106092788"/>
      <w:bookmarkStart w:id="1297" w:name="_Toc169250864"/>
      <w:bookmarkStart w:id="1298" w:name="_Toc174080900"/>
      <w:r w:rsidRPr="00730B1E">
        <w:rPr>
          <w:color w:val="auto"/>
        </w:rPr>
        <w:t>Disposition time (dispoziční čas)</w:t>
      </w:r>
      <w:bookmarkEnd w:id="1296"/>
      <w:bookmarkEnd w:id="1297"/>
      <w:bookmarkEnd w:id="1298"/>
    </w:p>
    <w:p w14:paraId="19390491" w14:textId="1248E1ED" w:rsidR="006176E3" w:rsidRPr="00730B1E" w:rsidRDefault="006176E3" w:rsidP="005E3541">
      <w:pPr>
        <w:pStyle w:val="OdstavecASR"/>
      </w:pPr>
      <w:r w:rsidRPr="00730B1E">
        <w:t xml:space="preserve">Disposition time a jeho výše vyplývá z údajů v podkapitole 3.8.2. Díky rostoucímu počtu vyřízených věcí a v posledních 2 letech také díky úbytku nevyřízených věcí DT postupně klesal, a to především mezi roky </w:t>
      </w:r>
      <w:r w:rsidR="00F311C9" w:rsidRPr="00730B1E">
        <w:t xml:space="preserve">2015 </w:t>
      </w:r>
      <w:r w:rsidRPr="00730B1E">
        <w:t>a</w:t>
      </w:r>
      <w:r w:rsidR="00F311C9" w:rsidRPr="00730B1E">
        <w:t>ž</w:t>
      </w:r>
      <w:r w:rsidRPr="00730B1E">
        <w:t xml:space="preserve"> 2018. V roce 2020 došlo poprvé od roku 2015 k nárůstu v DT, což plyne především z nárůstu počtu </w:t>
      </w:r>
      <w:r w:rsidR="0012346E" w:rsidRPr="00730B1E">
        <w:t>ne</w:t>
      </w:r>
      <w:r w:rsidRPr="00730B1E">
        <w:t>vyřízených věcí. V letech 2021 a 2022 opět došlo k poklesu, což plyne z poklesu v počtu nevyřízených věcí.</w:t>
      </w:r>
      <w:r w:rsidR="0012346E" w:rsidRPr="00730B1E">
        <w:t xml:space="preserve"> V roce 2023 DT narostl poměrně výrazně. To bylo dán</w:t>
      </w:r>
      <w:r w:rsidR="008A0B57" w:rsidRPr="00730B1E">
        <w:t>o</w:t>
      </w:r>
      <w:r w:rsidR="0012346E" w:rsidRPr="00730B1E">
        <w:t xml:space="preserve"> jak růstem v počtu nevyřízených věcí, tak i poklesem v počtu věcí vyřízených.</w:t>
      </w:r>
    </w:p>
    <w:p w14:paraId="4E859950" w14:textId="32B0BCB2" w:rsidR="006176E3" w:rsidRPr="00730B1E" w:rsidRDefault="006176E3" w:rsidP="006176E3">
      <w:pPr>
        <w:pStyle w:val="Podnadpis"/>
        <w:numPr>
          <w:ilvl w:val="0"/>
          <w:numId w:val="0"/>
        </w:numPr>
        <w:rPr>
          <w:color w:val="auto"/>
        </w:rPr>
      </w:pPr>
      <w:bookmarkStart w:id="1299" w:name="_Toc43841458"/>
      <w:bookmarkStart w:id="1300" w:name="_Toc75952261"/>
      <w:bookmarkStart w:id="1301" w:name="_Toc106106718"/>
      <w:bookmarkStart w:id="1302" w:name="_Toc109802042"/>
      <w:bookmarkStart w:id="1303" w:name="_Toc144104192"/>
      <w:bookmarkStart w:id="1304" w:name="_Toc169251005"/>
      <w:bookmarkStart w:id="1305" w:name="_Toc17408069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86</w:t>
      </w:r>
      <w:r w:rsidRPr="00730B1E">
        <w:rPr>
          <w:color w:val="auto"/>
        </w:rPr>
        <w:fldChar w:fldCharType="end"/>
      </w:r>
      <w:r w:rsidRPr="00730B1E">
        <w:rPr>
          <w:color w:val="auto"/>
        </w:rPr>
        <w:t>: KS – DT incidenčních sporů v letech 201</w:t>
      </w:r>
      <w:r w:rsidR="0012346E" w:rsidRPr="00730B1E">
        <w:rPr>
          <w:color w:val="auto"/>
        </w:rPr>
        <w:t>4</w:t>
      </w:r>
      <w:r w:rsidRPr="00730B1E">
        <w:rPr>
          <w:color w:val="auto"/>
        </w:rPr>
        <w:t>–20</w:t>
      </w:r>
      <w:bookmarkEnd w:id="1299"/>
      <w:r w:rsidRPr="00730B1E">
        <w:rPr>
          <w:color w:val="auto"/>
        </w:rPr>
        <w:t>2</w:t>
      </w:r>
      <w:bookmarkEnd w:id="1300"/>
      <w:bookmarkEnd w:id="1301"/>
      <w:bookmarkEnd w:id="1302"/>
      <w:bookmarkEnd w:id="1303"/>
      <w:r w:rsidRPr="00730B1E">
        <w:rPr>
          <w:color w:val="auto"/>
        </w:rPr>
        <w:t>3</w:t>
      </w:r>
      <w:bookmarkEnd w:id="1304"/>
      <w:bookmarkEnd w:id="1305"/>
    </w:p>
    <w:p w14:paraId="7032BE6F" w14:textId="33B18768" w:rsidR="0012346E" w:rsidRPr="00730B1E" w:rsidRDefault="006176E3" w:rsidP="006176E3">
      <w:r w:rsidRPr="00730B1E">
        <w:rPr>
          <w:noProof/>
          <w:lang w:eastAsia="cs-CZ"/>
        </w:rPr>
        <w:drawing>
          <wp:inline distT="0" distB="0" distL="0" distR="0" wp14:anchorId="6382F2D7" wp14:editId="32AF4198">
            <wp:extent cx="5029200" cy="3657600"/>
            <wp:effectExtent l="0" t="0" r="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CA4797F" w14:textId="77777777" w:rsidR="0012346E" w:rsidRPr="00730B1E" w:rsidRDefault="0012346E">
      <w:pPr>
        <w:spacing w:after="160" w:line="259" w:lineRule="auto"/>
        <w:jc w:val="left"/>
      </w:pPr>
      <w:r w:rsidRPr="00730B1E">
        <w:br w:type="page"/>
      </w:r>
    </w:p>
    <w:p w14:paraId="1F46F3F5" w14:textId="77777777" w:rsidR="0012346E" w:rsidRPr="00730B1E" w:rsidRDefault="0012346E" w:rsidP="0012346E">
      <w:pPr>
        <w:pStyle w:val="OdstavecASR"/>
      </w:pPr>
      <w:r w:rsidRPr="00730B1E">
        <w:lastRenderedPageBreak/>
        <w:t xml:space="preserve">Mezi jednotlivými soudy existují velké rozdíly, což opět plyne z počtu vyřízených a nevyřízených věcí. Absolutně nejvyšší DT má KS Ústí nad Labem, jehož DT se téměř zdvojnásobil. Nejnižší DT má naopak KS České Budějovice. </w:t>
      </w:r>
    </w:p>
    <w:p w14:paraId="6AC63168" w14:textId="4E478B08" w:rsidR="006176E3" w:rsidRPr="00730B1E" w:rsidRDefault="006176E3" w:rsidP="006176E3">
      <w:pPr>
        <w:pStyle w:val="Podnadpis"/>
        <w:rPr>
          <w:color w:val="auto"/>
        </w:rPr>
      </w:pPr>
      <w:bookmarkStart w:id="1306" w:name="_Toc75952383"/>
      <w:bookmarkStart w:id="1307" w:name="_Toc106106836"/>
      <w:bookmarkStart w:id="1308" w:name="_Toc109802159"/>
      <w:bookmarkStart w:id="1309" w:name="_Toc144104318"/>
      <w:bookmarkStart w:id="1310" w:name="_Toc169251132"/>
      <w:bookmarkStart w:id="1311" w:name="_Toc174080818"/>
      <w:r w:rsidRPr="00730B1E">
        <w:rPr>
          <w:color w:val="auto"/>
        </w:rPr>
        <w:t xml:space="preserve">Tabulka </w:t>
      </w:r>
      <w:r w:rsidRPr="00730B1E">
        <w:rPr>
          <w:color w:val="auto"/>
        </w:rPr>
        <w:fldChar w:fldCharType="begin"/>
      </w:r>
      <w:r w:rsidRPr="00730B1E">
        <w:rPr>
          <w:noProof/>
          <w:color w:val="auto"/>
        </w:rPr>
        <w:instrText xml:space="preserve"> SEQ Tabulka \* ARABIC </w:instrText>
      </w:r>
      <w:r w:rsidRPr="00730B1E">
        <w:rPr>
          <w:color w:val="auto"/>
        </w:rPr>
        <w:fldChar w:fldCharType="separate"/>
      </w:r>
      <w:r w:rsidR="00056825">
        <w:rPr>
          <w:noProof/>
          <w:color w:val="auto"/>
        </w:rPr>
        <w:t>75</w:t>
      </w:r>
      <w:r w:rsidRPr="00730B1E">
        <w:rPr>
          <w:color w:val="auto"/>
        </w:rPr>
        <w:fldChar w:fldCharType="end"/>
      </w:r>
      <w:r w:rsidRPr="00730B1E">
        <w:rPr>
          <w:color w:val="auto"/>
        </w:rPr>
        <w:t>: KS – DT incidenčních sporů dle soudů</w:t>
      </w:r>
      <w:bookmarkEnd w:id="1306"/>
      <w:bookmarkEnd w:id="1307"/>
      <w:bookmarkEnd w:id="1308"/>
      <w:bookmarkEnd w:id="1309"/>
      <w:bookmarkEnd w:id="1310"/>
      <w:bookmarkEnd w:id="1311"/>
    </w:p>
    <w:tbl>
      <w:tblPr>
        <w:tblW w:w="4720" w:type="dxa"/>
        <w:tblCellMar>
          <w:left w:w="70" w:type="dxa"/>
          <w:right w:w="70" w:type="dxa"/>
        </w:tblCellMar>
        <w:tblLook w:val="04A0" w:firstRow="1" w:lastRow="0" w:firstColumn="1" w:lastColumn="0" w:noHBand="0" w:noVBand="1"/>
      </w:tblPr>
      <w:tblGrid>
        <w:gridCol w:w="1820"/>
        <w:gridCol w:w="1140"/>
        <w:gridCol w:w="1760"/>
      </w:tblGrid>
      <w:tr w:rsidR="00B64E96" w:rsidRPr="00730B1E" w14:paraId="5ABBB0FF" w14:textId="77777777" w:rsidTr="006176E3">
        <w:trPr>
          <w:trHeight w:val="345"/>
        </w:trPr>
        <w:tc>
          <w:tcPr>
            <w:tcW w:w="1820" w:type="dxa"/>
            <w:tcBorders>
              <w:top w:val="double" w:sz="6" w:space="0" w:color="auto"/>
              <w:left w:val="nil"/>
              <w:bottom w:val="double" w:sz="6" w:space="0" w:color="auto"/>
              <w:right w:val="nil"/>
            </w:tcBorders>
            <w:shd w:val="clear" w:color="auto" w:fill="auto"/>
            <w:noWrap/>
            <w:vAlign w:val="center"/>
            <w:hideMark/>
          </w:tcPr>
          <w:p w14:paraId="27237A73" w14:textId="77777777" w:rsidR="006176E3" w:rsidRPr="00730B1E" w:rsidRDefault="006176E3" w:rsidP="006176E3">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2900" w:type="dxa"/>
            <w:gridSpan w:val="2"/>
            <w:tcBorders>
              <w:top w:val="double" w:sz="6" w:space="0" w:color="auto"/>
              <w:left w:val="nil"/>
              <w:bottom w:val="double" w:sz="6" w:space="0" w:color="auto"/>
              <w:right w:val="nil"/>
            </w:tcBorders>
            <w:shd w:val="clear" w:color="auto" w:fill="auto"/>
            <w:noWrap/>
            <w:vAlign w:val="center"/>
            <w:hideMark/>
          </w:tcPr>
          <w:p w14:paraId="171D5111" w14:textId="77777777" w:rsidR="006176E3" w:rsidRPr="00730B1E" w:rsidRDefault="006176E3" w:rsidP="006176E3">
            <w:pPr>
              <w:spacing w:line="240" w:lineRule="auto"/>
              <w:jc w:val="center"/>
              <w:rPr>
                <w:rFonts w:eastAsia="Times New Roman"/>
                <w:b/>
                <w:bCs/>
                <w:szCs w:val="24"/>
                <w:lang w:eastAsia="cs-CZ"/>
              </w:rPr>
            </w:pPr>
            <w:r w:rsidRPr="00730B1E">
              <w:rPr>
                <w:rFonts w:eastAsia="Times New Roman"/>
                <w:b/>
                <w:bCs/>
                <w:szCs w:val="24"/>
                <w:lang w:eastAsia="cs-CZ"/>
              </w:rPr>
              <w:t>Disposition time</w:t>
            </w:r>
          </w:p>
        </w:tc>
      </w:tr>
      <w:tr w:rsidR="00B64E96" w:rsidRPr="00730B1E" w14:paraId="46D71F4F" w14:textId="77777777" w:rsidTr="006176E3">
        <w:trPr>
          <w:trHeight w:val="330"/>
        </w:trPr>
        <w:tc>
          <w:tcPr>
            <w:tcW w:w="1820" w:type="dxa"/>
            <w:tcBorders>
              <w:top w:val="nil"/>
              <w:left w:val="nil"/>
              <w:bottom w:val="single" w:sz="4" w:space="0" w:color="auto"/>
              <w:right w:val="nil"/>
            </w:tcBorders>
            <w:shd w:val="clear" w:color="auto" w:fill="auto"/>
            <w:noWrap/>
            <w:vAlign w:val="bottom"/>
            <w:hideMark/>
          </w:tcPr>
          <w:p w14:paraId="6D820CD6" w14:textId="77777777" w:rsidR="006176E3" w:rsidRPr="00730B1E" w:rsidRDefault="006176E3" w:rsidP="006176E3">
            <w:pPr>
              <w:spacing w:line="240" w:lineRule="auto"/>
              <w:jc w:val="left"/>
              <w:rPr>
                <w:rFonts w:eastAsia="Times New Roman"/>
                <w:szCs w:val="24"/>
                <w:lang w:eastAsia="cs-CZ"/>
              </w:rPr>
            </w:pPr>
            <w:r w:rsidRPr="00730B1E">
              <w:rPr>
                <w:rFonts w:eastAsia="Times New Roman"/>
                <w:szCs w:val="24"/>
                <w:lang w:eastAsia="cs-CZ"/>
              </w:rPr>
              <w:t>MS Praha</w:t>
            </w:r>
          </w:p>
        </w:tc>
        <w:tc>
          <w:tcPr>
            <w:tcW w:w="1140" w:type="dxa"/>
            <w:tcBorders>
              <w:top w:val="nil"/>
              <w:left w:val="nil"/>
              <w:bottom w:val="single" w:sz="4" w:space="0" w:color="auto"/>
              <w:right w:val="nil"/>
            </w:tcBorders>
            <w:shd w:val="clear" w:color="auto" w:fill="auto"/>
            <w:noWrap/>
            <w:vAlign w:val="bottom"/>
            <w:hideMark/>
          </w:tcPr>
          <w:p w14:paraId="313364A8" w14:textId="77777777" w:rsidR="006176E3" w:rsidRPr="00730B1E" w:rsidRDefault="006176E3" w:rsidP="006176E3">
            <w:pPr>
              <w:spacing w:line="240" w:lineRule="auto"/>
              <w:jc w:val="center"/>
              <w:rPr>
                <w:rFonts w:eastAsia="Times New Roman"/>
                <w:szCs w:val="24"/>
                <w:lang w:eastAsia="cs-CZ"/>
              </w:rPr>
            </w:pPr>
            <w:r w:rsidRPr="00730B1E">
              <w:rPr>
                <w:rFonts w:eastAsia="Times New Roman"/>
                <w:szCs w:val="24"/>
                <w:lang w:eastAsia="cs-CZ"/>
              </w:rPr>
              <w:t>564</w:t>
            </w:r>
          </w:p>
        </w:tc>
        <w:tc>
          <w:tcPr>
            <w:tcW w:w="1760" w:type="dxa"/>
            <w:tcBorders>
              <w:top w:val="nil"/>
              <w:left w:val="nil"/>
              <w:bottom w:val="single" w:sz="4" w:space="0" w:color="auto"/>
              <w:right w:val="nil"/>
            </w:tcBorders>
            <w:shd w:val="clear" w:color="auto" w:fill="auto"/>
            <w:noWrap/>
            <w:vAlign w:val="center"/>
            <w:hideMark/>
          </w:tcPr>
          <w:p w14:paraId="1BA93EB3" w14:textId="77777777" w:rsidR="006176E3" w:rsidRPr="00730B1E" w:rsidRDefault="006176E3" w:rsidP="006176E3">
            <w:pPr>
              <w:spacing w:line="240" w:lineRule="auto"/>
              <w:jc w:val="center"/>
              <w:rPr>
                <w:rFonts w:eastAsia="Times New Roman"/>
                <w:sz w:val="20"/>
                <w:szCs w:val="20"/>
                <w:lang w:eastAsia="cs-CZ"/>
              </w:rPr>
            </w:pPr>
            <w:r w:rsidRPr="00730B1E">
              <w:rPr>
                <w:rFonts w:eastAsia="Times New Roman"/>
                <w:sz w:val="20"/>
                <w:szCs w:val="20"/>
                <w:lang w:eastAsia="cs-CZ"/>
              </w:rPr>
              <w:t xml:space="preserve">+16 %  </w:t>
            </w:r>
          </w:p>
        </w:tc>
      </w:tr>
      <w:tr w:rsidR="00B64E96" w:rsidRPr="00730B1E" w14:paraId="644094A1" w14:textId="77777777" w:rsidTr="006176E3">
        <w:trPr>
          <w:trHeight w:val="315"/>
        </w:trPr>
        <w:tc>
          <w:tcPr>
            <w:tcW w:w="1820" w:type="dxa"/>
            <w:tcBorders>
              <w:top w:val="nil"/>
              <w:left w:val="nil"/>
              <w:bottom w:val="single" w:sz="4" w:space="0" w:color="auto"/>
              <w:right w:val="nil"/>
            </w:tcBorders>
            <w:shd w:val="clear" w:color="auto" w:fill="auto"/>
            <w:noWrap/>
            <w:vAlign w:val="bottom"/>
            <w:hideMark/>
          </w:tcPr>
          <w:p w14:paraId="45D90213" w14:textId="77777777" w:rsidR="006176E3" w:rsidRPr="00730B1E" w:rsidRDefault="006176E3" w:rsidP="006176E3">
            <w:pPr>
              <w:spacing w:line="240" w:lineRule="auto"/>
              <w:jc w:val="left"/>
              <w:rPr>
                <w:rFonts w:eastAsia="Times New Roman"/>
                <w:szCs w:val="24"/>
                <w:lang w:eastAsia="cs-CZ"/>
              </w:rPr>
            </w:pPr>
            <w:r w:rsidRPr="00730B1E">
              <w:rPr>
                <w:rFonts w:eastAsia="Times New Roman"/>
                <w:szCs w:val="24"/>
                <w:lang w:eastAsia="cs-CZ"/>
              </w:rPr>
              <w:t>KS Praha</w:t>
            </w:r>
          </w:p>
        </w:tc>
        <w:tc>
          <w:tcPr>
            <w:tcW w:w="1140" w:type="dxa"/>
            <w:tcBorders>
              <w:top w:val="nil"/>
              <w:left w:val="nil"/>
              <w:bottom w:val="single" w:sz="4" w:space="0" w:color="auto"/>
              <w:right w:val="nil"/>
            </w:tcBorders>
            <w:shd w:val="clear" w:color="auto" w:fill="auto"/>
            <w:noWrap/>
            <w:vAlign w:val="bottom"/>
            <w:hideMark/>
          </w:tcPr>
          <w:p w14:paraId="31316DB7" w14:textId="77777777" w:rsidR="006176E3" w:rsidRPr="00730B1E" w:rsidRDefault="006176E3" w:rsidP="006176E3">
            <w:pPr>
              <w:spacing w:line="240" w:lineRule="auto"/>
              <w:jc w:val="center"/>
              <w:rPr>
                <w:rFonts w:eastAsia="Times New Roman"/>
                <w:szCs w:val="24"/>
                <w:lang w:eastAsia="cs-CZ"/>
              </w:rPr>
            </w:pPr>
            <w:r w:rsidRPr="00730B1E">
              <w:rPr>
                <w:rFonts w:eastAsia="Times New Roman"/>
                <w:szCs w:val="24"/>
                <w:lang w:eastAsia="cs-CZ"/>
              </w:rPr>
              <w:t>204</w:t>
            </w:r>
          </w:p>
        </w:tc>
        <w:tc>
          <w:tcPr>
            <w:tcW w:w="1760" w:type="dxa"/>
            <w:tcBorders>
              <w:top w:val="nil"/>
              <w:left w:val="nil"/>
              <w:bottom w:val="single" w:sz="4" w:space="0" w:color="auto"/>
              <w:right w:val="nil"/>
            </w:tcBorders>
            <w:shd w:val="clear" w:color="auto" w:fill="auto"/>
            <w:noWrap/>
            <w:vAlign w:val="center"/>
            <w:hideMark/>
          </w:tcPr>
          <w:p w14:paraId="504AE503" w14:textId="77777777" w:rsidR="006176E3" w:rsidRPr="00730B1E" w:rsidRDefault="006176E3" w:rsidP="006176E3">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r>
      <w:tr w:rsidR="00B64E96" w:rsidRPr="00730B1E" w14:paraId="48C4C8CF" w14:textId="77777777" w:rsidTr="006176E3">
        <w:trPr>
          <w:trHeight w:val="315"/>
        </w:trPr>
        <w:tc>
          <w:tcPr>
            <w:tcW w:w="1820" w:type="dxa"/>
            <w:tcBorders>
              <w:top w:val="nil"/>
              <w:left w:val="nil"/>
              <w:bottom w:val="single" w:sz="4" w:space="0" w:color="auto"/>
              <w:right w:val="nil"/>
            </w:tcBorders>
            <w:shd w:val="clear" w:color="auto" w:fill="auto"/>
            <w:noWrap/>
            <w:vAlign w:val="bottom"/>
            <w:hideMark/>
          </w:tcPr>
          <w:p w14:paraId="1C92DDF3" w14:textId="77777777" w:rsidR="006176E3" w:rsidRPr="00730B1E" w:rsidRDefault="006176E3" w:rsidP="006176E3">
            <w:pPr>
              <w:spacing w:line="240" w:lineRule="auto"/>
              <w:jc w:val="left"/>
              <w:rPr>
                <w:rFonts w:eastAsia="Times New Roman"/>
                <w:szCs w:val="24"/>
                <w:lang w:eastAsia="cs-CZ"/>
              </w:rPr>
            </w:pPr>
            <w:r w:rsidRPr="00730B1E">
              <w:rPr>
                <w:rFonts w:eastAsia="Times New Roman"/>
                <w:szCs w:val="24"/>
                <w:lang w:eastAsia="cs-CZ"/>
              </w:rPr>
              <w:t>KS Č. Budějovice</w:t>
            </w:r>
          </w:p>
        </w:tc>
        <w:tc>
          <w:tcPr>
            <w:tcW w:w="1140" w:type="dxa"/>
            <w:tcBorders>
              <w:top w:val="nil"/>
              <w:left w:val="nil"/>
              <w:bottom w:val="single" w:sz="4" w:space="0" w:color="auto"/>
              <w:right w:val="nil"/>
            </w:tcBorders>
            <w:shd w:val="clear" w:color="auto" w:fill="auto"/>
            <w:noWrap/>
            <w:vAlign w:val="bottom"/>
            <w:hideMark/>
          </w:tcPr>
          <w:p w14:paraId="4959779D" w14:textId="77777777" w:rsidR="006176E3" w:rsidRPr="00730B1E" w:rsidRDefault="006176E3" w:rsidP="006176E3">
            <w:pPr>
              <w:spacing w:line="240" w:lineRule="auto"/>
              <w:jc w:val="center"/>
              <w:rPr>
                <w:rFonts w:eastAsia="Times New Roman"/>
                <w:szCs w:val="24"/>
                <w:lang w:eastAsia="cs-CZ"/>
              </w:rPr>
            </w:pPr>
            <w:r w:rsidRPr="00730B1E">
              <w:rPr>
                <w:rFonts w:eastAsia="Times New Roman"/>
                <w:szCs w:val="24"/>
                <w:lang w:eastAsia="cs-CZ"/>
              </w:rPr>
              <w:t>225</w:t>
            </w:r>
          </w:p>
        </w:tc>
        <w:tc>
          <w:tcPr>
            <w:tcW w:w="1760" w:type="dxa"/>
            <w:tcBorders>
              <w:top w:val="nil"/>
              <w:left w:val="nil"/>
              <w:bottom w:val="single" w:sz="4" w:space="0" w:color="auto"/>
              <w:right w:val="nil"/>
            </w:tcBorders>
            <w:shd w:val="clear" w:color="auto" w:fill="auto"/>
            <w:noWrap/>
            <w:vAlign w:val="center"/>
            <w:hideMark/>
          </w:tcPr>
          <w:p w14:paraId="084E8EB1" w14:textId="77777777" w:rsidR="006176E3" w:rsidRPr="00730B1E" w:rsidRDefault="006176E3" w:rsidP="006176E3">
            <w:pPr>
              <w:spacing w:line="240" w:lineRule="auto"/>
              <w:jc w:val="center"/>
              <w:rPr>
                <w:rFonts w:eastAsia="Times New Roman"/>
                <w:sz w:val="20"/>
                <w:szCs w:val="20"/>
                <w:lang w:eastAsia="cs-CZ"/>
              </w:rPr>
            </w:pPr>
            <w:r w:rsidRPr="00730B1E">
              <w:rPr>
                <w:rFonts w:eastAsia="Times New Roman"/>
                <w:sz w:val="20"/>
                <w:szCs w:val="20"/>
                <w:lang w:eastAsia="cs-CZ"/>
              </w:rPr>
              <w:t xml:space="preserve">+29 %  </w:t>
            </w:r>
          </w:p>
        </w:tc>
      </w:tr>
      <w:tr w:rsidR="00B64E96" w:rsidRPr="00730B1E" w14:paraId="548CC3D8" w14:textId="77777777" w:rsidTr="006176E3">
        <w:trPr>
          <w:trHeight w:val="315"/>
        </w:trPr>
        <w:tc>
          <w:tcPr>
            <w:tcW w:w="1820" w:type="dxa"/>
            <w:tcBorders>
              <w:top w:val="nil"/>
              <w:left w:val="nil"/>
              <w:bottom w:val="single" w:sz="4" w:space="0" w:color="auto"/>
              <w:right w:val="nil"/>
            </w:tcBorders>
            <w:shd w:val="clear" w:color="auto" w:fill="auto"/>
            <w:noWrap/>
            <w:vAlign w:val="bottom"/>
            <w:hideMark/>
          </w:tcPr>
          <w:p w14:paraId="405882FE" w14:textId="77777777" w:rsidR="006176E3" w:rsidRPr="00730B1E" w:rsidRDefault="006176E3" w:rsidP="006176E3">
            <w:pPr>
              <w:spacing w:line="240" w:lineRule="auto"/>
              <w:jc w:val="left"/>
              <w:rPr>
                <w:rFonts w:eastAsia="Times New Roman"/>
                <w:szCs w:val="24"/>
                <w:lang w:eastAsia="cs-CZ"/>
              </w:rPr>
            </w:pPr>
            <w:r w:rsidRPr="00730B1E">
              <w:rPr>
                <w:rFonts w:eastAsia="Times New Roman"/>
                <w:szCs w:val="24"/>
                <w:lang w:eastAsia="cs-CZ"/>
              </w:rPr>
              <w:t>KS Plzeň</w:t>
            </w:r>
          </w:p>
        </w:tc>
        <w:tc>
          <w:tcPr>
            <w:tcW w:w="1140" w:type="dxa"/>
            <w:tcBorders>
              <w:top w:val="nil"/>
              <w:left w:val="nil"/>
              <w:bottom w:val="single" w:sz="4" w:space="0" w:color="auto"/>
              <w:right w:val="nil"/>
            </w:tcBorders>
            <w:shd w:val="clear" w:color="auto" w:fill="auto"/>
            <w:noWrap/>
            <w:vAlign w:val="bottom"/>
            <w:hideMark/>
          </w:tcPr>
          <w:p w14:paraId="1EA6234A" w14:textId="77777777" w:rsidR="006176E3" w:rsidRPr="00730B1E" w:rsidRDefault="006176E3" w:rsidP="006176E3">
            <w:pPr>
              <w:spacing w:line="240" w:lineRule="auto"/>
              <w:jc w:val="center"/>
              <w:rPr>
                <w:rFonts w:eastAsia="Times New Roman"/>
                <w:szCs w:val="24"/>
                <w:lang w:eastAsia="cs-CZ"/>
              </w:rPr>
            </w:pPr>
            <w:r w:rsidRPr="00730B1E">
              <w:rPr>
                <w:rFonts w:eastAsia="Times New Roman"/>
                <w:szCs w:val="24"/>
                <w:lang w:eastAsia="cs-CZ"/>
              </w:rPr>
              <w:t>354</w:t>
            </w:r>
          </w:p>
        </w:tc>
        <w:tc>
          <w:tcPr>
            <w:tcW w:w="1760" w:type="dxa"/>
            <w:tcBorders>
              <w:top w:val="nil"/>
              <w:left w:val="nil"/>
              <w:bottom w:val="single" w:sz="4" w:space="0" w:color="auto"/>
              <w:right w:val="nil"/>
            </w:tcBorders>
            <w:shd w:val="clear" w:color="auto" w:fill="auto"/>
            <w:noWrap/>
            <w:vAlign w:val="center"/>
            <w:hideMark/>
          </w:tcPr>
          <w:p w14:paraId="66A49FA1" w14:textId="77777777" w:rsidR="006176E3" w:rsidRPr="00730B1E" w:rsidRDefault="006176E3" w:rsidP="006176E3">
            <w:pPr>
              <w:spacing w:line="240" w:lineRule="auto"/>
              <w:jc w:val="center"/>
              <w:rPr>
                <w:rFonts w:eastAsia="Times New Roman"/>
                <w:sz w:val="20"/>
                <w:szCs w:val="20"/>
                <w:lang w:eastAsia="cs-CZ"/>
              </w:rPr>
            </w:pPr>
            <w:r w:rsidRPr="00730B1E">
              <w:rPr>
                <w:rFonts w:eastAsia="Times New Roman"/>
                <w:sz w:val="20"/>
                <w:szCs w:val="20"/>
                <w:lang w:eastAsia="cs-CZ"/>
              </w:rPr>
              <w:t xml:space="preserve">+45 %  </w:t>
            </w:r>
          </w:p>
        </w:tc>
      </w:tr>
      <w:tr w:rsidR="00B64E96" w:rsidRPr="00730B1E" w14:paraId="3C90DD74" w14:textId="77777777" w:rsidTr="006176E3">
        <w:trPr>
          <w:trHeight w:val="315"/>
        </w:trPr>
        <w:tc>
          <w:tcPr>
            <w:tcW w:w="1820" w:type="dxa"/>
            <w:tcBorders>
              <w:top w:val="nil"/>
              <w:left w:val="nil"/>
              <w:bottom w:val="single" w:sz="4" w:space="0" w:color="auto"/>
              <w:right w:val="nil"/>
            </w:tcBorders>
            <w:shd w:val="clear" w:color="auto" w:fill="auto"/>
            <w:noWrap/>
            <w:vAlign w:val="bottom"/>
            <w:hideMark/>
          </w:tcPr>
          <w:p w14:paraId="374225F0" w14:textId="77777777" w:rsidR="006176E3" w:rsidRPr="00730B1E" w:rsidRDefault="006176E3" w:rsidP="006176E3">
            <w:pPr>
              <w:spacing w:line="240" w:lineRule="auto"/>
              <w:jc w:val="left"/>
              <w:rPr>
                <w:rFonts w:eastAsia="Times New Roman"/>
                <w:szCs w:val="24"/>
                <w:lang w:eastAsia="cs-CZ"/>
              </w:rPr>
            </w:pPr>
            <w:r w:rsidRPr="00730B1E">
              <w:rPr>
                <w:rFonts w:eastAsia="Times New Roman"/>
                <w:szCs w:val="24"/>
                <w:lang w:eastAsia="cs-CZ"/>
              </w:rPr>
              <w:t>KS Ústí n. Labem</w:t>
            </w:r>
          </w:p>
        </w:tc>
        <w:tc>
          <w:tcPr>
            <w:tcW w:w="1140" w:type="dxa"/>
            <w:tcBorders>
              <w:top w:val="nil"/>
              <w:left w:val="nil"/>
              <w:bottom w:val="single" w:sz="4" w:space="0" w:color="auto"/>
              <w:right w:val="nil"/>
            </w:tcBorders>
            <w:shd w:val="clear" w:color="auto" w:fill="auto"/>
            <w:noWrap/>
            <w:vAlign w:val="bottom"/>
            <w:hideMark/>
          </w:tcPr>
          <w:p w14:paraId="7FB63450" w14:textId="77777777" w:rsidR="006176E3" w:rsidRPr="00730B1E" w:rsidRDefault="006176E3" w:rsidP="006176E3">
            <w:pPr>
              <w:spacing w:line="240" w:lineRule="auto"/>
              <w:jc w:val="center"/>
              <w:rPr>
                <w:rFonts w:eastAsia="Times New Roman"/>
                <w:szCs w:val="24"/>
                <w:lang w:eastAsia="cs-CZ"/>
              </w:rPr>
            </w:pPr>
            <w:r w:rsidRPr="00730B1E">
              <w:rPr>
                <w:rFonts w:eastAsia="Times New Roman"/>
                <w:szCs w:val="24"/>
                <w:lang w:eastAsia="cs-CZ"/>
              </w:rPr>
              <w:t>703</w:t>
            </w:r>
          </w:p>
        </w:tc>
        <w:tc>
          <w:tcPr>
            <w:tcW w:w="1760" w:type="dxa"/>
            <w:tcBorders>
              <w:top w:val="nil"/>
              <w:left w:val="nil"/>
              <w:bottom w:val="single" w:sz="4" w:space="0" w:color="auto"/>
              <w:right w:val="nil"/>
            </w:tcBorders>
            <w:shd w:val="clear" w:color="auto" w:fill="auto"/>
            <w:noWrap/>
            <w:vAlign w:val="center"/>
            <w:hideMark/>
          </w:tcPr>
          <w:p w14:paraId="0C01CFE3" w14:textId="77777777" w:rsidR="006176E3" w:rsidRPr="00730B1E" w:rsidRDefault="006176E3" w:rsidP="006176E3">
            <w:pPr>
              <w:spacing w:line="240" w:lineRule="auto"/>
              <w:jc w:val="center"/>
              <w:rPr>
                <w:rFonts w:eastAsia="Times New Roman"/>
                <w:sz w:val="20"/>
                <w:szCs w:val="20"/>
                <w:lang w:eastAsia="cs-CZ"/>
              </w:rPr>
            </w:pPr>
            <w:r w:rsidRPr="00730B1E">
              <w:rPr>
                <w:rFonts w:eastAsia="Times New Roman"/>
                <w:sz w:val="20"/>
                <w:szCs w:val="20"/>
                <w:lang w:eastAsia="cs-CZ"/>
              </w:rPr>
              <w:t xml:space="preserve">+94 %  </w:t>
            </w:r>
          </w:p>
        </w:tc>
      </w:tr>
      <w:tr w:rsidR="00B64E96" w:rsidRPr="00730B1E" w14:paraId="26B3A609" w14:textId="77777777" w:rsidTr="006176E3">
        <w:trPr>
          <w:trHeight w:val="315"/>
        </w:trPr>
        <w:tc>
          <w:tcPr>
            <w:tcW w:w="1820" w:type="dxa"/>
            <w:tcBorders>
              <w:top w:val="nil"/>
              <w:left w:val="nil"/>
              <w:bottom w:val="single" w:sz="4" w:space="0" w:color="auto"/>
              <w:right w:val="nil"/>
            </w:tcBorders>
            <w:shd w:val="clear" w:color="auto" w:fill="auto"/>
            <w:noWrap/>
            <w:vAlign w:val="bottom"/>
            <w:hideMark/>
          </w:tcPr>
          <w:p w14:paraId="1C8C8881" w14:textId="77777777" w:rsidR="006176E3" w:rsidRPr="00730B1E" w:rsidRDefault="006176E3" w:rsidP="006176E3">
            <w:pPr>
              <w:spacing w:line="240" w:lineRule="auto"/>
              <w:jc w:val="left"/>
              <w:rPr>
                <w:rFonts w:eastAsia="Times New Roman"/>
                <w:szCs w:val="24"/>
                <w:lang w:eastAsia="cs-CZ"/>
              </w:rPr>
            </w:pPr>
            <w:r w:rsidRPr="00730B1E">
              <w:rPr>
                <w:rFonts w:eastAsia="Times New Roman"/>
                <w:szCs w:val="24"/>
                <w:lang w:eastAsia="cs-CZ"/>
              </w:rPr>
              <w:t>KS Hr. Králové</w:t>
            </w:r>
          </w:p>
        </w:tc>
        <w:tc>
          <w:tcPr>
            <w:tcW w:w="1140" w:type="dxa"/>
            <w:tcBorders>
              <w:top w:val="nil"/>
              <w:left w:val="nil"/>
              <w:bottom w:val="single" w:sz="4" w:space="0" w:color="auto"/>
              <w:right w:val="nil"/>
            </w:tcBorders>
            <w:shd w:val="clear" w:color="auto" w:fill="auto"/>
            <w:noWrap/>
            <w:vAlign w:val="bottom"/>
            <w:hideMark/>
          </w:tcPr>
          <w:p w14:paraId="565D7CC7" w14:textId="77777777" w:rsidR="006176E3" w:rsidRPr="00730B1E" w:rsidRDefault="006176E3" w:rsidP="006176E3">
            <w:pPr>
              <w:spacing w:line="240" w:lineRule="auto"/>
              <w:jc w:val="center"/>
              <w:rPr>
                <w:rFonts w:eastAsia="Times New Roman"/>
                <w:szCs w:val="24"/>
                <w:lang w:eastAsia="cs-CZ"/>
              </w:rPr>
            </w:pPr>
            <w:r w:rsidRPr="00730B1E">
              <w:rPr>
                <w:rFonts w:eastAsia="Times New Roman"/>
                <w:szCs w:val="24"/>
                <w:lang w:eastAsia="cs-CZ"/>
              </w:rPr>
              <w:t>277</w:t>
            </w:r>
          </w:p>
        </w:tc>
        <w:tc>
          <w:tcPr>
            <w:tcW w:w="1760" w:type="dxa"/>
            <w:tcBorders>
              <w:top w:val="nil"/>
              <w:left w:val="nil"/>
              <w:bottom w:val="single" w:sz="4" w:space="0" w:color="auto"/>
              <w:right w:val="nil"/>
            </w:tcBorders>
            <w:shd w:val="clear" w:color="auto" w:fill="auto"/>
            <w:noWrap/>
            <w:vAlign w:val="center"/>
            <w:hideMark/>
          </w:tcPr>
          <w:p w14:paraId="5B88B5CF" w14:textId="77777777" w:rsidR="006176E3" w:rsidRPr="00730B1E" w:rsidRDefault="006176E3" w:rsidP="006176E3">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r>
      <w:tr w:rsidR="00B64E96" w:rsidRPr="00730B1E" w14:paraId="06E14A63" w14:textId="77777777" w:rsidTr="006176E3">
        <w:trPr>
          <w:trHeight w:val="315"/>
        </w:trPr>
        <w:tc>
          <w:tcPr>
            <w:tcW w:w="1820" w:type="dxa"/>
            <w:tcBorders>
              <w:top w:val="nil"/>
              <w:left w:val="nil"/>
              <w:bottom w:val="single" w:sz="4" w:space="0" w:color="auto"/>
              <w:right w:val="nil"/>
            </w:tcBorders>
            <w:shd w:val="clear" w:color="auto" w:fill="auto"/>
            <w:noWrap/>
            <w:vAlign w:val="bottom"/>
            <w:hideMark/>
          </w:tcPr>
          <w:p w14:paraId="54F566F5" w14:textId="77777777" w:rsidR="006176E3" w:rsidRPr="00730B1E" w:rsidRDefault="006176E3" w:rsidP="006176E3">
            <w:pPr>
              <w:spacing w:line="240" w:lineRule="auto"/>
              <w:jc w:val="left"/>
              <w:rPr>
                <w:rFonts w:eastAsia="Times New Roman"/>
                <w:szCs w:val="24"/>
                <w:lang w:eastAsia="cs-CZ"/>
              </w:rPr>
            </w:pPr>
            <w:r w:rsidRPr="00730B1E">
              <w:rPr>
                <w:rFonts w:eastAsia="Times New Roman"/>
                <w:szCs w:val="24"/>
                <w:lang w:eastAsia="cs-CZ"/>
              </w:rPr>
              <w:t>KS Brno</w:t>
            </w:r>
          </w:p>
        </w:tc>
        <w:tc>
          <w:tcPr>
            <w:tcW w:w="1140" w:type="dxa"/>
            <w:tcBorders>
              <w:top w:val="nil"/>
              <w:left w:val="nil"/>
              <w:bottom w:val="single" w:sz="4" w:space="0" w:color="auto"/>
              <w:right w:val="nil"/>
            </w:tcBorders>
            <w:shd w:val="clear" w:color="auto" w:fill="auto"/>
            <w:noWrap/>
            <w:vAlign w:val="bottom"/>
            <w:hideMark/>
          </w:tcPr>
          <w:p w14:paraId="657BADFA" w14:textId="77777777" w:rsidR="006176E3" w:rsidRPr="00730B1E" w:rsidRDefault="006176E3" w:rsidP="006176E3">
            <w:pPr>
              <w:spacing w:line="240" w:lineRule="auto"/>
              <w:jc w:val="center"/>
              <w:rPr>
                <w:rFonts w:eastAsia="Times New Roman"/>
                <w:szCs w:val="24"/>
                <w:lang w:eastAsia="cs-CZ"/>
              </w:rPr>
            </w:pPr>
            <w:r w:rsidRPr="00730B1E">
              <w:rPr>
                <w:rFonts w:eastAsia="Times New Roman"/>
                <w:szCs w:val="24"/>
                <w:lang w:eastAsia="cs-CZ"/>
              </w:rPr>
              <w:t>422</w:t>
            </w:r>
          </w:p>
        </w:tc>
        <w:tc>
          <w:tcPr>
            <w:tcW w:w="1760" w:type="dxa"/>
            <w:tcBorders>
              <w:top w:val="nil"/>
              <w:left w:val="nil"/>
              <w:bottom w:val="single" w:sz="4" w:space="0" w:color="auto"/>
              <w:right w:val="nil"/>
            </w:tcBorders>
            <w:shd w:val="clear" w:color="auto" w:fill="auto"/>
            <w:noWrap/>
            <w:vAlign w:val="center"/>
            <w:hideMark/>
          </w:tcPr>
          <w:p w14:paraId="54CE3C04" w14:textId="77777777" w:rsidR="006176E3" w:rsidRPr="00730B1E" w:rsidRDefault="006176E3" w:rsidP="006176E3">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r>
      <w:tr w:rsidR="00B64E96" w:rsidRPr="00730B1E" w14:paraId="4A8CAA8A" w14:textId="77777777" w:rsidTr="006176E3">
        <w:trPr>
          <w:trHeight w:val="330"/>
        </w:trPr>
        <w:tc>
          <w:tcPr>
            <w:tcW w:w="1820" w:type="dxa"/>
            <w:tcBorders>
              <w:top w:val="nil"/>
              <w:left w:val="nil"/>
              <w:bottom w:val="double" w:sz="6" w:space="0" w:color="auto"/>
              <w:right w:val="nil"/>
            </w:tcBorders>
            <w:shd w:val="clear" w:color="auto" w:fill="auto"/>
            <w:noWrap/>
            <w:vAlign w:val="bottom"/>
            <w:hideMark/>
          </w:tcPr>
          <w:p w14:paraId="0BEF5EC8" w14:textId="77777777" w:rsidR="006176E3" w:rsidRPr="00730B1E" w:rsidRDefault="006176E3" w:rsidP="006176E3">
            <w:pPr>
              <w:spacing w:line="240" w:lineRule="auto"/>
              <w:jc w:val="left"/>
              <w:rPr>
                <w:rFonts w:eastAsia="Times New Roman"/>
                <w:szCs w:val="24"/>
                <w:lang w:eastAsia="cs-CZ"/>
              </w:rPr>
            </w:pPr>
            <w:r w:rsidRPr="00730B1E">
              <w:rPr>
                <w:rFonts w:eastAsia="Times New Roman"/>
                <w:szCs w:val="24"/>
                <w:lang w:eastAsia="cs-CZ"/>
              </w:rPr>
              <w:t>KS Ostrava</w:t>
            </w:r>
          </w:p>
        </w:tc>
        <w:tc>
          <w:tcPr>
            <w:tcW w:w="1140" w:type="dxa"/>
            <w:tcBorders>
              <w:top w:val="nil"/>
              <w:left w:val="nil"/>
              <w:bottom w:val="double" w:sz="6" w:space="0" w:color="auto"/>
              <w:right w:val="nil"/>
            </w:tcBorders>
            <w:shd w:val="clear" w:color="auto" w:fill="auto"/>
            <w:noWrap/>
            <w:vAlign w:val="bottom"/>
            <w:hideMark/>
          </w:tcPr>
          <w:p w14:paraId="7913D593" w14:textId="77777777" w:rsidR="006176E3" w:rsidRPr="00730B1E" w:rsidRDefault="006176E3" w:rsidP="006176E3">
            <w:pPr>
              <w:spacing w:line="240" w:lineRule="auto"/>
              <w:jc w:val="center"/>
              <w:rPr>
                <w:rFonts w:eastAsia="Times New Roman"/>
                <w:szCs w:val="24"/>
                <w:lang w:eastAsia="cs-CZ"/>
              </w:rPr>
            </w:pPr>
            <w:r w:rsidRPr="00730B1E">
              <w:rPr>
                <w:rFonts w:eastAsia="Times New Roman"/>
                <w:szCs w:val="24"/>
                <w:lang w:eastAsia="cs-CZ"/>
              </w:rPr>
              <w:t>414</w:t>
            </w:r>
          </w:p>
        </w:tc>
        <w:tc>
          <w:tcPr>
            <w:tcW w:w="1760" w:type="dxa"/>
            <w:tcBorders>
              <w:top w:val="nil"/>
              <w:left w:val="nil"/>
              <w:bottom w:val="double" w:sz="6" w:space="0" w:color="auto"/>
              <w:right w:val="nil"/>
            </w:tcBorders>
            <w:shd w:val="clear" w:color="auto" w:fill="auto"/>
            <w:noWrap/>
            <w:vAlign w:val="center"/>
            <w:hideMark/>
          </w:tcPr>
          <w:p w14:paraId="08F56E14" w14:textId="77777777" w:rsidR="006176E3" w:rsidRPr="00730B1E" w:rsidRDefault="006176E3" w:rsidP="006176E3">
            <w:pPr>
              <w:spacing w:line="240" w:lineRule="auto"/>
              <w:jc w:val="center"/>
              <w:rPr>
                <w:rFonts w:eastAsia="Times New Roman"/>
                <w:sz w:val="20"/>
                <w:szCs w:val="20"/>
                <w:lang w:eastAsia="cs-CZ"/>
              </w:rPr>
            </w:pPr>
            <w:r w:rsidRPr="00730B1E">
              <w:rPr>
                <w:rFonts w:eastAsia="Times New Roman"/>
                <w:sz w:val="20"/>
                <w:szCs w:val="20"/>
                <w:lang w:eastAsia="cs-CZ"/>
              </w:rPr>
              <w:t xml:space="preserve">+45 %  </w:t>
            </w:r>
          </w:p>
        </w:tc>
      </w:tr>
      <w:tr w:rsidR="00B64E96" w:rsidRPr="00730B1E" w14:paraId="7AE2B4AB" w14:textId="77777777" w:rsidTr="006176E3">
        <w:trPr>
          <w:trHeight w:val="345"/>
        </w:trPr>
        <w:tc>
          <w:tcPr>
            <w:tcW w:w="1820" w:type="dxa"/>
            <w:tcBorders>
              <w:top w:val="nil"/>
              <w:left w:val="nil"/>
              <w:bottom w:val="double" w:sz="6" w:space="0" w:color="auto"/>
              <w:right w:val="nil"/>
            </w:tcBorders>
            <w:shd w:val="clear" w:color="auto" w:fill="auto"/>
            <w:noWrap/>
            <w:vAlign w:val="bottom"/>
            <w:hideMark/>
          </w:tcPr>
          <w:p w14:paraId="11774F98" w14:textId="77777777" w:rsidR="006176E3" w:rsidRPr="00730B1E" w:rsidRDefault="006176E3" w:rsidP="006176E3">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140" w:type="dxa"/>
            <w:tcBorders>
              <w:top w:val="nil"/>
              <w:left w:val="nil"/>
              <w:bottom w:val="double" w:sz="6" w:space="0" w:color="auto"/>
              <w:right w:val="nil"/>
            </w:tcBorders>
            <w:shd w:val="clear" w:color="auto" w:fill="auto"/>
            <w:noWrap/>
            <w:vAlign w:val="bottom"/>
            <w:hideMark/>
          </w:tcPr>
          <w:p w14:paraId="29353D6E" w14:textId="77777777" w:rsidR="006176E3" w:rsidRPr="00730B1E" w:rsidRDefault="006176E3" w:rsidP="006176E3">
            <w:pPr>
              <w:spacing w:line="240" w:lineRule="auto"/>
              <w:jc w:val="center"/>
              <w:rPr>
                <w:rFonts w:eastAsia="Times New Roman"/>
                <w:b/>
                <w:bCs/>
                <w:szCs w:val="24"/>
                <w:lang w:eastAsia="cs-CZ"/>
              </w:rPr>
            </w:pPr>
            <w:r w:rsidRPr="00730B1E">
              <w:rPr>
                <w:rFonts w:eastAsia="Times New Roman"/>
                <w:b/>
                <w:bCs/>
                <w:szCs w:val="24"/>
                <w:lang w:eastAsia="cs-CZ"/>
              </w:rPr>
              <w:t>440</w:t>
            </w:r>
          </w:p>
        </w:tc>
        <w:tc>
          <w:tcPr>
            <w:tcW w:w="1760" w:type="dxa"/>
            <w:tcBorders>
              <w:top w:val="nil"/>
              <w:left w:val="nil"/>
              <w:bottom w:val="double" w:sz="6" w:space="0" w:color="auto"/>
              <w:right w:val="nil"/>
            </w:tcBorders>
            <w:shd w:val="clear" w:color="auto" w:fill="auto"/>
            <w:noWrap/>
            <w:vAlign w:val="center"/>
            <w:hideMark/>
          </w:tcPr>
          <w:p w14:paraId="7A827C2D" w14:textId="77777777" w:rsidR="006176E3" w:rsidRPr="00730B1E" w:rsidRDefault="006176E3" w:rsidP="006176E3">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+27 %  </w:t>
            </w:r>
          </w:p>
        </w:tc>
      </w:tr>
      <w:tr w:rsidR="00B64E96" w:rsidRPr="00730B1E" w14:paraId="65377928" w14:textId="77777777" w:rsidTr="006176E3">
        <w:trPr>
          <w:trHeight w:val="330"/>
        </w:trPr>
        <w:tc>
          <w:tcPr>
            <w:tcW w:w="1820" w:type="dxa"/>
            <w:tcBorders>
              <w:top w:val="nil"/>
              <w:left w:val="nil"/>
              <w:bottom w:val="nil"/>
              <w:right w:val="nil"/>
            </w:tcBorders>
            <w:shd w:val="clear" w:color="auto" w:fill="auto"/>
            <w:noWrap/>
            <w:vAlign w:val="bottom"/>
            <w:hideMark/>
          </w:tcPr>
          <w:p w14:paraId="6639FABB" w14:textId="77777777" w:rsidR="006176E3" w:rsidRPr="00730B1E" w:rsidRDefault="006176E3" w:rsidP="006176E3">
            <w:pPr>
              <w:spacing w:line="240" w:lineRule="auto"/>
              <w:jc w:val="center"/>
              <w:rPr>
                <w:rFonts w:eastAsia="Times New Roman"/>
                <w:b/>
                <w:bCs/>
                <w:sz w:val="20"/>
                <w:szCs w:val="20"/>
                <w:lang w:eastAsia="cs-CZ"/>
              </w:rPr>
            </w:pPr>
          </w:p>
        </w:tc>
        <w:tc>
          <w:tcPr>
            <w:tcW w:w="1140" w:type="dxa"/>
            <w:tcBorders>
              <w:top w:val="nil"/>
              <w:left w:val="nil"/>
              <w:bottom w:val="nil"/>
              <w:right w:val="nil"/>
            </w:tcBorders>
            <w:shd w:val="clear" w:color="auto" w:fill="auto"/>
            <w:noWrap/>
            <w:vAlign w:val="bottom"/>
            <w:hideMark/>
          </w:tcPr>
          <w:p w14:paraId="5954C674" w14:textId="77777777" w:rsidR="006176E3" w:rsidRPr="00DF07F3" w:rsidRDefault="006176E3" w:rsidP="006176E3">
            <w:pPr>
              <w:spacing w:line="240" w:lineRule="auto"/>
              <w:jc w:val="left"/>
              <w:rPr>
                <w:sz w:val="20"/>
              </w:rPr>
            </w:pPr>
          </w:p>
        </w:tc>
        <w:tc>
          <w:tcPr>
            <w:tcW w:w="1760" w:type="dxa"/>
            <w:tcBorders>
              <w:top w:val="nil"/>
              <w:left w:val="nil"/>
              <w:bottom w:val="nil"/>
              <w:right w:val="nil"/>
            </w:tcBorders>
            <w:shd w:val="clear" w:color="auto" w:fill="auto"/>
            <w:noWrap/>
            <w:vAlign w:val="bottom"/>
            <w:hideMark/>
          </w:tcPr>
          <w:p w14:paraId="244E26E9" w14:textId="77777777" w:rsidR="006176E3" w:rsidRPr="00DF07F3" w:rsidRDefault="006176E3" w:rsidP="006176E3">
            <w:pPr>
              <w:spacing w:line="240" w:lineRule="auto"/>
              <w:jc w:val="left"/>
              <w:rPr>
                <w:sz w:val="20"/>
              </w:rPr>
            </w:pPr>
          </w:p>
        </w:tc>
      </w:tr>
    </w:tbl>
    <w:p w14:paraId="73FC56D4" w14:textId="223D27B6" w:rsidR="004C351F" w:rsidRPr="00730B1E" w:rsidRDefault="004C351F" w:rsidP="004C351F">
      <w:pPr>
        <w:pStyle w:val="OdstavecASR"/>
      </w:pPr>
      <w:r w:rsidRPr="00730B1E">
        <w:t>Celkově je těžké učinit definitivní závěr o rejstříku ICm a o tom, jak tuto agendu jednotlivé soudy vyřizují, protože meziročně dochází k velkým změnám a rovněž náročnost jednotlivých případů se silně liší. Byla by tak potřebná podrobnější analýza, která ale přesahuje účel této zprávy. V krátkosti lze říct, že incidenční spory jsou složitou agendou a největší problémy s jejím vyřizováním zřejmě</w:t>
      </w:r>
      <w:r w:rsidR="005E3541" w:rsidRPr="00730B1E">
        <w:t xml:space="preserve"> dlouhodobě</w:t>
      </w:r>
      <w:r w:rsidRPr="00730B1E">
        <w:t xml:space="preserve"> mají MS Praha. </w:t>
      </w:r>
      <w:r w:rsidR="005E3541" w:rsidRPr="00730B1E">
        <w:t xml:space="preserve">Tento rok měly velké problémy KS Ústí nad Labem a KS Ostrava po prudkém růstu v nápadu. </w:t>
      </w:r>
      <w:r w:rsidRPr="00730B1E">
        <w:t>Dobře si naopak ved</w:t>
      </w:r>
      <w:r w:rsidR="005E3541" w:rsidRPr="00730B1E">
        <w:t>e</w:t>
      </w:r>
      <w:r w:rsidRPr="00730B1E">
        <w:t xml:space="preserve"> KS České Budějovice. </w:t>
      </w:r>
      <w:r w:rsidR="00434C5D" w:rsidRPr="00730B1E">
        <w:t>Jak ale již bylo zmíněno výše, vzhledem k nepředvídatelnosti nápadu je agenda incidenčních sporů obecně mimořádně náročná z hlediska řízení výkonnosti a plynulosti vyřizování věcí.</w:t>
      </w:r>
    </w:p>
    <w:p w14:paraId="13619706" w14:textId="77777777" w:rsidR="006176E3" w:rsidRPr="00730B1E" w:rsidRDefault="006176E3" w:rsidP="006176E3"/>
    <w:p w14:paraId="60A936FB" w14:textId="5D6BEC9E" w:rsidR="008430BD" w:rsidRPr="00730B1E" w:rsidRDefault="008430BD" w:rsidP="008430BD">
      <w:pPr>
        <w:pStyle w:val="Nadpis1"/>
        <w:pageBreakBefore/>
        <w:numPr>
          <w:ilvl w:val="0"/>
          <w:numId w:val="1"/>
        </w:numPr>
        <w:spacing w:after="120"/>
        <w:rPr>
          <w:noProof/>
          <w:lang w:eastAsia="cs-CZ"/>
        </w:rPr>
      </w:pPr>
      <w:bookmarkStart w:id="1312" w:name="_Toc515871277"/>
      <w:bookmarkStart w:id="1313" w:name="_Toc106092789"/>
      <w:bookmarkStart w:id="1314" w:name="_Toc169250865"/>
      <w:bookmarkStart w:id="1315" w:name="_Toc174080901"/>
      <w:r w:rsidRPr="00730B1E">
        <w:rPr>
          <w:noProof/>
          <w:lang w:eastAsia="cs-CZ"/>
        </w:rPr>
        <w:lastRenderedPageBreak/>
        <w:t>Vrchní soudy</w:t>
      </w:r>
      <w:bookmarkEnd w:id="1312"/>
      <w:bookmarkEnd w:id="1313"/>
      <w:bookmarkEnd w:id="1314"/>
      <w:bookmarkEnd w:id="1315"/>
    </w:p>
    <w:p w14:paraId="03001136" w14:textId="77777777" w:rsidR="00A32461" w:rsidRPr="00730B1E" w:rsidRDefault="00A32461" w:rsidP="00A32461">
      <w:pPr>
        <w:pStyle w:val="OdstavecASR"/>
      </w:pPr>
      <w:r w:rsidRPr="00730B1E">
        <w:t>Tato část výroční zprávy obsahuje data týkající se vrchních soudů (VS) v Praze a v Olomouci. Pod VS v Praze spadají soudní kraje Praha, Západočeský, Středočeský, Východočeský, Severočeský a Jihočeský. Pod Vrchní soud v Olomouci spadají Severomoravský kraj a Jihomoravský kraj.</w:t>
      </w:r>
    </w:p>
    <w:p w14:paraId="34A0F7CC" w14:textId="77777777" w:rsidR="00A32461" w:rsidRPr="00730B1E" w:rsidRDefault="00A32461" w:rsidP="00A32461">
      <w:pPr>
        <w:pStyle w:val="OdstavecASR"/>
      </w:pPr>
      <w:r w:rsidRPr="00730B1E">
        <w:t>Vrchní soudy slouží jako odvolací soudy pro soudy krajské. Jejich hlavními agendami jsou odvolací civilní (občanskoprávní, obchodní) agenda, odvolací insolvenční agenda a odvolací trestní agenda.</w:t>
      </w:r>
    </w:p>
    <w:p w14:paraId="1E4F19E9" w14:textId="77777777" w:rsidR="00A32461" w:rsidRPr="00730B1E" w:rsidRDefault="00A32461" w:rsidP="00A32461">
      <w:pPr>
        <w:pStyle w:val="OdstavecASR"/>
      </w:pPr>
      <w:r w:rsidRPr="00730B1E">
        <w:t>Vrchní soudy také řeší několik zvláštních agend</w:t>
      </w:r>
      <w:r w:rsidR="009610C2" w:rsidRPr="00730B1E">
        <w:t>,</w:t>
      </w:r>
      <w:r w:rsidRPr="00730B1E">
        <w:t xml:space="preserve"> jako jsou návrhy na přikázání věci jinému soudu nebo návrhy na vyloučení soudců, kterými se však tato zpráva nezabývá.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sledujeme pouze dva soudy. Data proto zpravidla prezentujeme graficky v časových řadách pro oba soudy.</w:t>
      </w:r>
    </w:p>
    <w:p w14:paraId="6F186C41" w14:textId="64D7907B" w:rsidR="008430BD" w:rsidRPr="00730B1E" w:rsidRDefault="008430BD" w:rsidP="008430BD">
      <w:pPr>
        <w:pStyle w:val="Nadpis2"/>
        <w:numPr>
          <w:ilvl w:val="1"/>
          <w:numId w:val="1"/>
        </w:numPr>
        <w:spacing w:before="120"/>
        <w:rPr>
          <w:color w:val="auto"/>
          <w:lang w:eastAsia="cs-CZ"/>
        </w:rPr>
      </w:pPr>
      <w:bookmarkStart w:id="1316" w:name="_Toc515871278"/>
      <w:bookmarkStart w:id="1317" w:name="_Toc106092790"/>
      <w:bookmarkStart w:id="1318" w:name="_Toc169250866"/>
      <w:bookmarkStart w:id="1319" w:name="_Toc174080902"/>
      <w:r w:rsidRPr="00730B1E">
        <w:rPr>
          <w:color w:val="auto"/>
          <w:lang w:eastAsia="cs-CZ"/>
        </w:rPr>
        <w:t>Personál</w:t>
      </w:r>
      <w:bookmarkEnd w:id="1316"/>
      <w:bookmarkEnd w:id="1317"/>
      <w:bookmarkEnd w:id="1318"/>
      <w:bookmarkEnd w:id="1319"/>
    </w:p>
    <w:p w14:paraId="26DEAA43" w14:textId="4A517BA8" w:rsidR="008430BD" w:rsidRPr="00730B1E" w:rsidRDefault="008430BD" w:rsidP="008430BD">
      <w:pPr>
        <w:pStyle w:val="Nadpis3"/>
        <w:numPr>
          <w:ilvl w:val="2"/>
          <w:numId w:val="1"/>
        </w:numPr>
        <w:rPr>
          <w:color w:val="auto"/>
          <w:lang w:eastAsia="cs-CZ"/>
        </w:rPr>
      </w:pPr>
      <w:bookmarkStart w:id="1320" w:name="_Toc515871279"/>
      <w:bookmarkStart w:id="1321" w:name="_Toc106092791"/>
      <w:bookmarkStart w:id="1322" w:name="_Toc169250867"/>
      <w:bookmarkStart w:id="1323" w:name="_Toc174080903"/>
      <w:r w:rsidRPr="00730B1E">
        <w:rPr>
          <w:color w:val="auto"/>
          <w:lang w:eastAsia="cs-CZ"/>
        </w:rPr>
        <w:t>Soudci</w:t>
      </w:r>
      <w:bookmarkEnd w:id="1320"/>
      <w:bookmarkEnd w:id="1321"/>
      <w:bookmarkEnd w:id="1322"/>
      <w:bookmarkEnd w:id="1323"/>
    </w:p>
    <w:p w14:paraId="340CDE86" w14:textId="37B53CF2" w:rsidR="00A32461" w:rsidRPr="00730B1E" w:rsidRDefault="00A32461" w:rsidP="00A32461">
      <w:pPr>
        <w:rPr>
          <w:lang w:eastAsia="cs-CZ"/>
        </w:rPr>
      </w:pPr>
      <w:r w:rsidRPr="00730B1E">
        <w:rPr>
          <w:lang w:eastAsia="cs-CZ"/>
        </w:rPr>
        <w:t xml:space="preserve">Úvodem je třeba říct, že data v této podkapitole se liší od dat o soudcích u okresních a krajských soudů. U vrchních soudů </w:t>
      </w:r>
      <w:r w:rsidR="009610C2" w:rsidRPr="00730B1E">
        <w:rPr>
          <w:lang w:eastAsia="cs-CZ"/>
        </w:rPr>
        <w:t xml:space="preserve">na rozdíl od okresních a krajských soudů </w:t>
      </w:r>
      <w:r w:rsidRPr="00730B1E">
        <w:rPr>
          <w:lang w:eastAsia="cs-CZ"/>
        </w:rPr>
        <w:t xml:space="preserve">nemá </w:t>
      </w:r>
      <w:r w:rsidR="009610C2" w:rsidRPr="00730B1E">
        <w:rPr>
          <w:lang w:eastAsia="cs-CZ"/>
        </w:rPr>
        <w:t>aktuálně</w:t>
      </w:r>
      <w:r w:rsidRPr="00730B1E">
        <w:rPr>
          <w:lang w:eastAsia="cs-CZ"/>
        </w:rPr>
        <w:t xml:space="preserve"> Ministerstvo spravedlnosti k dispozici údaje o skutečném </w:t>
      </w:r>
      <w:r w:rsidR="006C1BE2" w:rsidRPr="00730B1E">
        <w:rPr>
          <w:lang w:eastAsia="cs-CZ"/>
        </w:rPr>
        <w:t xml:space="preserve">počtu </w:t>
      </w:r>
      <w:r w:rsidRPr="00730B1E">
        <w:rPr>
          <w:lang w:eastAsia="cs-CZ"/>
        </w:rPr>
        <w:t>soudců (úvazků). Prezentovány jsou zde proto jen evidenční a plánované počty soudců v časových řadách od roku 2014.</w:t>
      </w:r>
    </w:p>
    <w:p w14:paraId="5365A1C9" w14:textId="0D9800FE" w:rsidR="00A32461" w:rsidRPr="00730B1E" w:rsidRDefault="00A32461" w:rsidP="00A32461">
      <w:pPr>
        <w:pStyle w:val="Podnadpis"/>
        <w:numPr>
          <w:ilvl w:val="0"/>
          <w:numId w:val="0"/>
        </w:numPr>
        <w:rPr>
          <w:color w:val="auto"/>
        </w:rPr>
      </w:pPr>
      <w:bookmarkStart w:id="1324" w:name="_Toc515871406"/>
      <w:bookmarkStart w:id="1325" w:name="_Toc11135137"/>
      <w:bookmarkStart w:id="1326" w:name="_Toc43841459"/>
      <w:bookmarkStart w:id="1327" w:name="_Toc75952262"/>
      <w:bookmarkStart w:id="1328" w:name="_Toc106106719"/>
      <w:bookmarkStart w:id="1329" w:name="_Toc109802043"/>
      <w:bookmarkStart w:id="1330" w:name="_Toc144104193"/>
      <w:bookmarkStart w:id="1331" w:name="_Toc169251006"/>
      <w:bookmarkStart w:id="1332" w:name="_Toc17408069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87</w:t>
      </w:r>
      <w:r w:rsidRPr="00730B1E">
        <w:rPr>
          <w:color w:val="auto"/>
        </w:rPr>
        <w:fldChar w:fldCharType="end"/>
      </w:r>
      <w:r w:rsidRPr="00730B1E">
        <w:rPr>
          <w:color w:val="auto"/>
        </w:rPr>
        <w:t>: VS – počet soudců v letech 2014–20</w:t>
      </w:r>
      <w:bookmarkEnd w:id="1324"/>
      <w:bookmarkEnd w:id="1325"/>
      <w:bookmarkEnd w:id="1326"/>
      <w:r w:rsidRPr="00730B1E">
        <w:rPr>
          <w:color w:val="auto"/>
        </w:rPr>
        <w:t>2</w:t>
      </w:r>
      <w:bookmarkEnd w:id="1327"/>
      <w:bookmarkEnd w:id="1328"/>
      <w:bookmarkEnd w:id="1329"/>
      <w:bookmarkEnd w:id="1330"/>
      <w:r w:rsidRPr="00730B1E">
        <w:rPr>
          <w:color w:val="auto"/>
        </w:rPr>
        <w:t>3</w:t>
      </w:r>
      <w:bookmarkEnd w:id="1331"/>
      <w:bookmarkEnd w:id="1332"/>
    </w:p>
    <w:p w14:paraId="3C097F4E" w14:textId="4F66C60D" w:rsidR="00A32461" w:rsidRPr="00730B1E" w:rsidRDefault="00A32461" w:rsidP="00A32461">
      <w:pPr>
        <w:rPr>
          <w:lang w:eastAsia="cs-CZ"/>
        </w:rPr>
      </w:pPr>
      <w:r w:rsidRPr="00730B1E">
        <w:rPr>
          <w:noProof/>
          <w:lang w:eastAsia="cs-CZ"/>
        </w:rPr>
        <w:drawing>
          <wp:inline distT="0" distB="0" distL="0" distR="0" wp14:anchorId="365B5275" wp14:editId="4D22E98E">
            <wp:extent cx="5029200" cy="3657600"/>
            <wp:effectExtent l="0" t="0" r="0"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E8B389B" w14:textId="77777777" w:rsidR="00A32461" w:rsidRPr="00730B1E" w:rsidRDefault="00A32461" w:rsidP="00A32461">
      <w:pPr>
        <w:pStyle w:val="OdstavecASR"/>
      </w:pPr>
    </w:p>
    <w:p w14:paraId="48CBB6BB" w14:textId="2C2F9DA6" w:rsidR="00A32461" w:rsidRPr="00730B1E" w:rsidRDefault="00A32461" w:rsidP="00A32461">
      <w:pPr>
        <w:pStyle w:val="OdstavecASR"/>
      </w:pPr>
      <w:r w:rsidRPr="00730B1E">
        <w:t xml:space="preserve">I u vrchních soudů je počet soudců celkem stabilní, a to jak v Praze, tak v Olomouci. V časové řadě může zaujmout pouze pokles o pět soudců (soudkyň) u VS v Praze mezi 1. 1. 2015 a 1. 1. 2016. Je způsobený tím, že v roce 2015 dosáhlo pět soudců věku 70 let a z tohoto důvodu skončili ve </w:t>
      </w:r>
      <w:r w:rsidRPr="00730B1E">
        <w:lastRenderedPageBreak/>
        <w:t>funkci. V roce 2023 pak u VS v Praze došlo k nárůstu o 6 soudců a evidenční počet soudců tak po dlouhé době byl vyšší než plánovaný počet</w:t>
      </w:r>
      <w:r w:rsidR="009610C2" w:rsidRPr="00730B1E">
        <w:t xml:space="preserve">; důvodem je </w:t>
      </w:r>
      <w:r w:rsidR="00DE2058" w:rsidRPr="00730B1E">
        <w:t>posílení VS v Praze v souvislosti se začleněním vrchních soudů do</w:t>
      </w:r>
      <w:r w:rsidR="009610C2" w:rsidRPr="00730B1E">
        <w:t xml:space="preserve"> obecné systemizace soudní soustavy</w:t>
      </w:r>
      <w:r w:rsidRPr="00730B1E">
        <w:t>.</w:t>
      </w:r>
    </w:p>
    <w:p w14:paraId="711B6683" w14:textId="378A2A5C" w:rsidR="00E05026" w:rsidRPr="00730B1E" w:rsidRDefault="00E05026" w:rsidP="00A32461">
      <w:pPr>
        <w:pStyle w:val="OdstavecASR"/>
      </w:pPr>
      <w:r w:rsidRPr="00730B1E">
        <w:t>U VS, NS nebo NSS jsou výkyvy jako v roce 2015 pravděpodobnější, protože soudci jsou v průměru starší než soudci krajských a okresních soudů.</w:t>
      </w:r>
    </w:p>
    <w:p w14:paraId="4133D057" w14:textId="4BD1F61C" w:rsidR="009F3FC7" w:rsidRPr="00730B1E" w:rsidRDefault="00DE2058" w:rsidP="009F3FC7">
      <w:pPr>
        <w:pStyle w:val="OdstavecASR"/>
      </w:pPr>
      <w:r w:rsidRPr="00730B1E">
        <w:t>V</w:t>
      </w:r>
      <w:r w:rsidR="009F3FC7" w:rsidRPr="00730B1E">
        <w:t>idíme</w:t>
      </w:r>
      <w:r w:rsidRPr="00730B1E">
        <w:t xml:space="preserve"> rovněž</w:t>
      </w:r>
      <w:r w:rsidR="009F3FC7" w:rsidRPr="00730B1E">
        <w:t>, že VS v Praze je asi dvakrát větší než VS v Olomouci. Tento fakt opět vyplývá z nápadu, který je ovlivněn počtem a velikostí krajských soudů, které spadají pod daný vrchní soud.</w:t>
      </w:r>
    </w:p>
    <w:p w14:paraId="7BCC75C4" w14:textId="03CCB71E" w:rsidR="009F3FC7" w:rsidRPr="00730B1E" w:rsidRDefault="009F3FC7" w:rsidP="009F3FC7">
      <w:pPr>
        <w:pStyle w:val="OdstavecASR"/>
      </w:pPr>
      <w:r w:rsidRPr="00730B1E">
        <w:t>V roce 2019 došlo k mírnému poklesu plánovaného počtu soudců u obou soudů, což bylo vzhledem k rychlému poklesu nápadu v některých agendách (viz dále v kapitole) logické. V zásadě nulový reálný dopad této změny dokládá dlouhodobě nižší evidenční počet soudců oproti počtu plánovanému. V letech 2020 až 2022 k žádné výrazné změně nedošlo. Jak již bylo zmíněno, v roce 2023 narostl evidenční počet soudců u VS Praha</w:t>
      </w:r>
    </w:p>
    <w:p w14:paraId="12F7C001" w14:textId="37F2E840" w:rsidR="00A32461" w:rsidRPr="00730B1E" w:rsidRDefault="009F3FC7" w:rsidP="009F3FC7">
      <w:pPr>
        <w:pStyle w:val="Podnadpis"/>
        <w:rPr>
          <w:color w:val="auto"/>
        </w:rPr>
      </w:pPr>
      <w:bookmarkStart w:id="1333" w:name="_Toc43841460"/>
      <w:bookmarkStart w:id="1334" w:name="_Toc75952263"/>
      <w:bookmarkStart w:id="1335" w:name="_Toc106106720"/>
      <w:bookmarkStart w:id="1336" w:name="_Toc109802044"/>
      <w:bookmarkStart w:id="1337" w:name="_Toc144104194"/>
      <w:bookmarkStart w:id="1338" w:name="_Toc169251007"/>
      <w:bookmarkStart w:id="1339" w:name="_Toc174080693"/>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88</w:t>
      </w:r>
      <w:r w:rsidRPr="00730B1E">
        <w:rPr>
          <w:color w:val="auto"/>
        </w:rPr>
        <w:fldChar w:fldCharType="end"/>
      </w:r>
      <w:r w:rsidRPr="00730B1E">
        <w:rPr>
          <w:color w:val="auto"/>
        </w:rPr>
        <w:t>: VS – evidenční počet soudců dle soudních úseků v letech 2015–20</w:t>
      </w:r>
      <w:bookmarkEnd w:id="1333"/>
      <w:bookmarkEnd w:id="1334"/>
      <w:r w:rsidRPr="00730B1E">
        <w:rPr>
          <w:color w:val="auto"/>
        </w:rPr>
        <w:t>2</w:t>
      </w:r>
      <w:bookmarkEnd w:id="1335"/>
      <w:bookmarkEnd w:id="1336"/>
      <w:bookmarkEnd w:id="1337"/>
      <w:r w:rsidRPr="00730B1E">
        <w:rPr>
          <w:color w:val="auto"/>
        </w:rPr>
        <w:t>3</w:t>
      </w:r>
      <w:bookmarkEnd w:id="1338"/>
      <w:bookmarkEnd w:id="1339"/>
    </w:p>
    <w:p w14:paraId="24A44FDA" w14:textId="45ED02B1" w:rsidR="009F3FC7" w:rsidRPr="00730B1E" w:rsidRDefault="009F3FC7" w:rsidP="00A32461">
      <w:pPr>
        <w:rPr>
          <w:lang w:eastAsia="cs-CZ"/>
        </w:rPr>
      </w:pPr>
      <w:r w:rsidRPr="00730B1E">
        <w:rPr>
          <w:noProof/>
          <w:lang w:eastAsia="cs-CZ"/>
        </w:rPr>
        <w:drawing>
          <wp:inline distT="0" distB="0" distL="0" distR="0" wp14:anchorId="03A5E4E6" wp14:editId="241B49DA">
            <wp:extent cx="5029200" cy="3657600"/>
            <wp:effectExtent l="0" t="0" r="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90445AE" w14:textId="77777777" w:rsidR="009F3FC7" w:rsidRPr="00730B1E" w:rsidRDefault="009F3FC7" w:rsidP="009F3FC7">
      <w:pPr>
        <w:pStyle w:val="OdstavecASR"/>
      </w:pPr>
    </w:p>
    <w:p w14:paraId="2386659A" w14:textId="3C2518A6" w:rsidR="009F3FC7" w:rsidRPr="00730B1E" w:rsidRDefault="009F3FC7" w:rsidP="009F3FC7">
      <w:pPr>
        <w:pStyle w:val="OdstavecASR"/>
      </w:pPr>
      <w:r w:rsidRPr="00730B1E">
        <w:t xml:space="preserve">Graf ukazuje, že civilní a obchodní úsek je větší než úsek trestní, stejně jako tomu je u okresních a krajských soudů. Rozdíl je však tentokrát výrazně menší. Poměr velikostí úseků se v čase mírně měnil. V letech 2015 až 2017 se u VS v Praze zmenšil civilní úsek, načež se ustálil na počtu 50 soudců </w:t>
      </w:r>
      <w:r w:rsidR="00DE2058" w:rsidRPr="00730B1E">
        <w:t xml:space="preserve">a </w:t>
      </w:r>
      <w:r w:rsidRPr="00730B1E">
        <w:t xml:space="preserve">soudkyň v letech 2018 až 2020. V roce 2021 opět došlo k mírnému posílení trestního úseku na úkor úseku civilního. Vidíme tedy, že rozdíl mezi velikostmi úseků je u VS v Praze poměrně malý – 7 soudců. </w:t>
      </w:r>
      <w:r w:rsidR="00DE2058" w:rsidRPr="00730B1E">
        <w:t>U</w:t>
      </w:r>
      <w:r w:rsidRPr="00730B1E">
        <w:t xml:space="preserve"> VS v Olomouci je </w:t>
      </w:r>
      <w:r w:rsidR="00DE2058" w:rsidRPr="00730B1E">
        <w:t xml:space="preserve">rozdíl </w:t>
      </w:r>
      <w:r w:rsidRPr="00730B1E">
        <w:t>ještě výrazně menší. V roce 2022 ubyli dva soudci na civilním úseku a přibyli 2 soudci na úseku trestním</w:t>
      </w:r>
      <w:r w:rsidR="00DE2058" w:rsidRPr="00730B1E">
        <w:t>, takže r</w:t>
      </w:r>
      <w:r w:rsidRPr="00730B1E">
        <w:t xml:space="preserve">ozdíl mezi úseky </w:t>
      </w:r>
      <w:r w:rsidR="00DE2058" w:rsidRPr="00730B1E">
        <w:t xml:space="preserve">činil pouze jednoho </w:t>
      </w:r>
      <w:r w:rsidRPr="00730B1E">
        <w:t>soudce</w:t>
      </w:r>
      <w:r w:rsidR="00DE2058" w:rsidRPr="00730B1E">
        <w:t>; v</w:t>
      </w:r>
      <w:r w:rsidR="00AB584C" w:rsidRPr="00730B1E">
        <w:t> roce 2023 se tento rozdíl zvětšil na soudce dva.</w:t>
      </w:r>
    </w:p>
    <w:p w14:paraId="05F92417" w14:textId="77777777" w:rsidR="00AB584C" w:rsidRPr="00730B1E" w:rsidRDefault="00AB584C" w:rsidP="00AB584C">
      <w:pPr>
        <w:pStyle w:val="OdstavecASR"/>
      </w:pPr>
      <w:r w:rsidRPr="00730B1E">
        <w:lastRenderedPageBreak/>
        <w:t>Další graf zobrazuje složení soudců dle pohlaví a naznačuje, že výše zmíněný pokles počtu soudců u VS v Praze mezi roky 2015 a 2016 byl způsoben tím, že věku 70 let dovršily soudkyně. Pokles počtu soudkyň je tak velmi zřetelný, protože k soudu byli následně přiděleni muži.</w:t>
      </w:r>
    </w:p>
    <w:p w14:paraId="41EA2DD8" w14:textId="189D6F62" w:rsidR="00AB584C" w:rsidRPr="00730B1E" w:rsidRDefault="00AB584C" w:rsidP="00AB584C">
      <w:pPr>
        <w:pStyle w:val="OdstavecASR"/>
      </w:pPr>
      <w:r w:rsidRPr="00730B1E">
        <w:t>V roce 2015 (tedy před výše popsaným odchodem soudkyň) byl podíl žen u VS v Praze i u VS v Olomouci asi 47 %. V roce 2018 dosáhl tento podíl u VS v Praze přibližně 42 % a u VS v Olomouci přibližně 49 %, tedy takřka polovinu. U VS v Praze se podíl od té doby v zásadě nezměnil</w:t>
      </w:r>
      <w:r w:rsidR="00E05026" w:rsidRPr="00730B1E">
        <w:t>, až v roce 2023 klesl na 40 %</w:t>
      </w:r>
      <w:r w:rsidRPr="00730B1E">
        <w:t>. U VS v Olomouci podíl žen v posledních letech klesal a v roce 202</w:t>
      </w:r>
      <w:r w:rsidR="00E317F8" w:rsidRPr="00730B1E">
        <w:t>3</w:t>
      </w:r>
      <w:r w:rsidRPr="00730B1E">
        <w:t xml:space="preserve"> byl a</w:t>
      </w:r>
      <w:r w:rsidR="00E317F8" w:rsidRPr="00730B1E">
        <w:t xml:space="preserve">si </w:t>
      </w:r>
      <w:r w:rsidRPr="00730B1E">
        <w:t>38 %.</w:t>
      </w:r>
    </w:p>
    <w:p w14:paraId="4FED86BE" w14:textId="77777777" w:rsidR="00AB584C" w:rsidRPr="00730B1E" w:rsidRDefault="00AB584C" w:rsidP="00AB584C">
      <w:pPr>
        <w:pStyle w:val="OdstavecASR"/>
      </w:pPr>
      <w:r w:rsidRPr="00730B1E">
        <w:t>Vzhledem k malému počtu osob ovlivní procentuální podíly už i změna o jednoho soudce nebo soudkyni. Na rozdíl od nižších článků soudní soustavy je tedy u vrchních soudů aktuálně více soudců než soudkyň, navíc se jedná o dlouhodobý klesající trend zastoupení žen u obou VS přibližně od roku 2014.</w:t>
      </w:r>
    </w:p>
    <w:p w14:paraId="6657079B" w14:textId="3670BB69" w:rsidR="00AB584C" w:rsidRPr="00730B1E" w:rsidRDefault="00AB584C" w:rsidP="00AB584C">
      <w:pPr>
        <w:pStyle w:val="Podnadpis"/>
        <w:rPr>
          <w:color w:val="auto"/>
        </w:rPr>
      </w:pPr>
      <w:bookmarkStart w:id="1340" w:name="_Toc43841461"/>
      <w:bookmarkStart w:id="1341" w:name="_Toc75952264"/>
      <w:bookmarkStart w:id="1342" w:name="_Toc106106721"/>
      <w:bookmarkStart w:id="1343" w:name="_Toc109802045"/>
      <w:bookmarkStart w:id="1344" w:name="_Toc144104195"/>
      <w:bookmarkStart w:id="1345" w:name="_Toc169251008"/>
      <w:bookmarkStart w:id="1346" w:name="_Toc17408069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89</w:t>
      </w:r>
      <w:r w:rsidRPr="00730B1E">
        <w:rPr>
          <w:color w:val="auto"/>
        </w:rPr>
        <w:fldChar w:fldCharType="end"/>
      </w:r>
      <w:r w:rsidRPr="00730B1E">
        <w:rPr>
          <w:color w:val="auto"/>
        </w:rPr>
        <w:t>: VS – evidenční počet soudců dle pohlaví v letech 2015–20</w:t>
      </w:r>
      <w:bookmarkEnd w:id="1340"/>
      <w:r w:rsidRPr="00730B1E">
        <w:rPr>
          <w:color w:val="auto"/>
        </w:rPr>
        <w:t>2</w:t>
      </w:r>
      <w:bookmarkEnd w:id="1341"/>
      <w:bookmarkEnd w:id="1342"/>
      <w:bookmarkEnd w:id="1343"/>
      <w:bookmarkEnd w:id="1344"/>
      <w:r w:rsidRPr="00730B1E">
        <w:rPr>
          <w:color w:val="auto"/>
        </w:rPr>
        <w:t>3</w:t>
      </w:r>
      <w:bookmarkEnd w:id="1345"/>
      <w:bookmarkEnd w:id="1346"/>
    </w:p>
    <w:p w14:paraId="7D3F71AE" w14:textId="243CE4CB" w:rsidR="00AB584C" w:rsidRPr="00730B1E" w:rsidRDefault="00AB584C" w:rsidP="009F3FC7">
      <w:pPr>
        <w:pStyle w:val="OdstavecASR"/>
      </w:pPr>
      <w:r w:rsidRPr="00730B1E">
        <w:rPr>
          <w:noProof/>
          <w:lang w:eastAsia="cs-CZ"/>
        </w:rPr>
        <w:drawing>
          <wp:inline distT="0" distB="0" distL="0" distR="0" wp14:anchorId="18795925" wp14:editId="4481022A">
            <wp:extent cx="5029200" cy="3657600"/>
            <wp:effectExtent l="0" t="0" r="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562F1B3" w14:textId="77777777" w:rsidR="00E317F8" w:rsidRPr="00730B1E" w:rsidRDefault="00E317F8" w:rsidP="00E317F8">
      <w:pPr>
        <w:pStyle w:val="OdstavecASR"/>
      </w:pPr>
      <w:r w:rsidRPr="00730B1E">
        <w:t>Další dva grafy zobrazují věkové složení soudců.</w:t>
      </w:r>
    </w:p>
    <w:p w14:paraId="3FDF1CCB" w14:textId="0FC3C16E" w:rsidR="00E317F8" w:rsidRPr="00730B1E" w:rsidRDefault="00E317F8" w:rsidP="00E317F8">
      <w:pPr>
        <w:pStyle w:val="Podnadpis"/>
        <w:rPr>
          <w:color w:val="auto"/>
        </w:rPr>
      </w:pPr>
      <w:bookmarkStart w:id="1347" w:name="_Toc515871409"/>
      <w:bookmarkStart w:id="1348" w:name="_Toc11135140"/>
      <w:bookmarkStart w:id="1349" w:name="_Toc43841462"/>
      <w:bookmarkStart w:id="1350" w:name="_Toc75952265"/>
      <w:bookmarkStart w:id="1351" w:name="_Toc106106722"/>
      <w:bookmarkStart w:id="1352" w:name="_Toc109802046"/>
      <w:bookmarkStart w:id="1353" w:name="_Toc144104196"/>
      <w:bookmarkStart w:id="1354" w:name="_Toc169251009"/>
      <w:bookmarkStart w:id="1355" w:name="_Toc174080695"/>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90</w:t>
      </w:r>
      <w:r w:rsidRPr="00730B1E">
        <w:rPr>
          <w:color w:val="auto"/>
        </w:rPr>
        <w:fldChar w:fldCharType="end"/>
      </w:r>
      <w:r w:rsidRPr="00730B1E">
        <w:rPr>
          <w:color w:val="auto"/>
        </w:rPr>
        <w:t>: VS Praha – věkové složení soudců v letech 2008–20</w:t>
      </w:r>
      <w:bookmarkEnd w:id="1347"/>
      <w:bookmarkEnd w:id="1348"/>
      <w:bookmarkEnd w:id="1349"/>
      <w:r w:rsidRPr="00730B1E">
        <w:rPr>
          <w:color w:val="auto"/>
        </w:rPr>
        <w:t>2</w:t>
      </w:r>
      <w:bookmarkEnd w:id="1350"/>
      <w:bookmarkEnd w:id="1351"/>
      <w:bookmarkEnd w:id="1352"/>
      <w:bookmarkEnd w:id="1353"/>
      <w:r w:rsidRPr="00730B1E">
        <w:rPr>
          <w:color w:val="auto"/>
        </w:rPr>
        <w:t>3</w:t>
      </w:r>
      <w:bookmarkEnd w:id="1354"/>
      <w:bookmarkEnd w:id="1355"/>
    </w:p>
    <w:p w14:paraId="730EC8EA" w14:textId="424C5367" w:rsidR="009F3FC7" w:rsidRPr="00730B1E" w:rsidRDefault="00E317F8" w:rsidP="00A32461">
      <w:pPr>
        <w:rPr>
          <w:lang w:eastAsia="cs-CZ"/>
        </w:rPr>
      </w:pPr>
      <w:r w:rsidRPr="00730B1E">
        <w:rPr>
          <w:noProof/>
          <w:lang w:eastAsia="cs-CZ"/>
        </w:rPr>
        <w:drawing>
          <wp:inline distT="0" distB="0" distL="0" distR="0" wp14:anchorId="021E7764" wp14:editId="539CD2B5">
            <wp:extent cx="5029200" cy="3657600"/>
            <wp:effectExtent l="0" t="0" r="0" b="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140B3EC" w14:textId="77777777" w:rsidR="00E317F8" w:rsidRPr="00730B1E" w:rsidRDefault="00E317F8" w:rsidP="00E317F8">
      <w:pPr>
        <w:pStyle w:val="Podnadpis"/>
        <w:rPr>
          <w:color w:val="auto"/>
        </w:rPr>
      </w:pPr>
      <w:bookmarkStart w:id="1356" w:name="_Toc515871410"/>
      <w:bookmarkStart w:id="1357" w:name="_Toc11135141"/>
      <w:bookmarkStart w:id="1358" w:name="_Toc43841463"/>
      <w:bookmarkStart w:id="1359" w:name="_Toc75952266"/>
      <w:bookmarkStart w:id="1360" w:name="_Toc106106723"/>
      <w:bookmarkStart w:id="1361" w:name="_Toc109802047"/>
      <w:bookmarkStart w:id="1362" w:name="_Toc144104197"/>
    </w:p>
    <w:p w14:paraId="584577ED" w14:textId="39D0A175" w:rsidR="00E317F8" w:rsidRPr="00730B1E" w:rsidRDefault="00E317F8" w:rsidP="00E317F8">
      <w:pPr>
        <w:pStyle w:val="Podnadpis"/>
        <w:rPr>
          <w:color w:val="auto"/>
        </w:rPr>
      </w:pPr>
      <w:bookmarkStart w:id="1363" w:name="_Toc169251010"/>
      <w:bookmarkStart w:id="1364" w:name="_Toc17408069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91</w:t>
      </w:r>
      <w:r w:rsidRPr="00730B1E">
        <w:rPr>
          <w:color w:val="auto"/>
        </w:rPr>
        <w:fldChar w:fldCharType="end"/>
      </w:r>
      <w:r w:rsidRPr="00730B1E">
        <w:rPr>
          <w:color w:val="auto"/>
        </w:rPr>
        <w:t>: VS Olomouc – věkové složení soudců v letech 2008–20</w:t>
      </w:r>
      <w:bookmarkEnd w:id="1356"/>
      <w:bookmarkEnd w:id="1357"/>
      <w:bookmarkEnd w:id="1358"/>
      <w:r w:rsidRPr="00730B1E">
        <w:rPr>
          <w:color w:val="auto"/>
        </w:rPr>
        <w:t>2</w:t>
      </w:r>
      <w:bookmarkEnd w:id="1359"/>
      <w:bookmarkEnd w:id="1360"/>
      <w:bookmarkEnd w:id="1361"/>
      <w:bookmarkEnd w:id="1362"/>
      <w:r w:rsidRPr="00730B1E">
        <w:rPr>
          <w:color w:val="auto"/>
        </w:rPr>
        <w:t>3</w:t>
      </w:r>
      <w:bookmarkEnd w:id="1363"/>
      <w:bookmarkEnd w:id="1364"/>
    </w:p>
    <w:p w14:paraId="655B28B9" w14:textId="0F461D4E" w:rsidR="00E317F8" w:rsidRPr="00730B1E" w:rsidRDefault="00E317F8" w:rsidP="00A32461">
      <w:pPr>
        <w:rPr>
          <w:lang w:eastAsia="cs-CZ"/>
        </w:rPr>
      </w:pPr>
      <w:r w:rsidRPr="00730B1E">
        <w:rPr>
          <w:noProof/>
          <w:lang w:eastAsia="cs-CZ"/>
        </w:rPr>
        <w:drawing>
          <wp:inline distT="0" distB="0" distL="0" distR="0" wp14:anchorId="739468BC" wp14:editId="74C39C0A">
            <wp:extent cx="5029200" cy="3657600"/>
            <wp:effectExtent l="0" t="0" r="0" b="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79FCE1B" w14:textId="77777777" w:rsidR="00A32461" w:rsidRPr="00730B1E" w:rsidRDefault="00A32461" w:rsidP="00A32461">
      <w:pPr>
        <w:rPr>
          <w:lang w:eastAsia="cs-CZ"/>
        </w:rPr>
      </w:pPr>
    </w:p>
    <w:p w14:paraId="579DB240" w14:textId="77777777" w:rsidR="00E317F8" w:rsidRPr="00730B1E" w:rsidRDefault="00E317F8" w:rsidP="00E317F8">
      <w:pPr>
        <w:pStyle w:val="OdstavecASR"/>
        <w:keepNext/>
        <w:rPr>
          <w:lang w:eastAsia="cs-CZ"/>
        </w:rPr>
      </w:pPr>
      <w:r w:rsidRPr="00730B1E">
        <w:rPr>
          <w:lang w:eastAsia="cs-CZ"/>
        </w:rPr>
        <w:lastRenderedPageBreak/>
        <w:t>Z grafů vyplývají následující závěry:</w:t>
      </w:r>
    </w:p>
    <w:p w14:paraId="57CC3098" w14:textId="77777777" w:rsidR="00E317F8" w:rsidRPr="00730B1E" w:rsidRDefault="00E317F8" w:rsidP="00A94F8F">
      <w:pPr>
        <w:pStyle w:val="OdstavecASR"/>
        <w:numPr>
          <w:ilvl w:val="0"/>
          <w:numId w:val="11"/>
        </w:numPr>
      </w:pPr>
      <w:r w:rsidRPr="00730B1E">
        <w:t>Soudci u vrchních soudů jsou v průměru starší než soudci u soudů krajských, a tedy i okresních. Stejně jako u rozdílu mezi OS a KS je důvodem tohoto rozdílu kariérní postup soudců. Od roku 2020 již u VS není žádný soudce pod 40 let. V roce 2019 byl jeden u VS v Praze, zřejmě se ale posunul do vyšší věkové skupiny. U VS v Olomouci nebyl žádný soudce ve věkové skupině do 40 let již od roku 2014.</w:t>
      </w:r>
    </w:p>
    <w:p w14:paraId="4F710DE9" w14:textId="77777777" w:rsidR="00E317F8" w:rsidRPr="00730B1E" w:rsidRDefault="00E317F8" w:rsidP="00A94F8F">
      <w:pPr>
        <w:pStyle w:val="OdstavecASR"/>
        <w:numPr>
          <w:ilvl w:val="0"/>
          <w:numId w:val="11"/>
        </w:numPr>
      </w:pPr>
      <w:r w:rsidRPr="00730B1E">
        <w:t>Z porovnání obou soudů vidíme, že u VS v Praze jsou větší věkové rozdíly mezi soudci než u VS v Olomouci. U VS v Olomouci je zdaleka nejpočetnější věková skupina mezi 51 a 60 lety. U VS v Praze je tato věková skupina sice také nejpočetnější, citelné zastoupení zde ale mají i věkové skupiny 41 až 50 let a 61 až 70 let.</w:t>
      </w:r>
    </w:p>
    <w:p w14:paraId="3F2F838E" w14:textId="77777777" w:rsidR="00E317F8" w:rsidRPr="00730B1E" w:rsidRDefault="00E317F8" w:rsidP="00A94F8F">
      <w:pPr>
        <w:pStyle w:val="OdstavecASR"/>
        <w:numPr>
          <w:ilvl w:val="0"/>
          <w:numId w:val="11"/>
        </w:numPr>
      </w:pPr>
      <w:r w:rsidRPr="00730B1E">
        <w:t>U VS v Praze došlo v letech 2008 až 2012 k nárůstu podílu soudců ve věku 61 až 70 let. Od té doby se věková struktura příliš nemění. Není zde tedy patrný efekt, který jsme viděli u OS a KS.</w:t>
      </w:r>
    </w:p>
    <w:p w14:paraId="1CD6A53F" w14:textId="77777777" w:rsidR="00E317F8" w:rsidRPr="00730B1E" w:rsidRDefault="00E317F8" w:rsidP="00A94F8F">
      <w:pPr>
        <w:pStyle w:val="OdstavecASR"/>
        <w:numPr>
          <w:ilvl w:val="0"/>
          <w:numId w:val="11"/>
        </w:numPr>
      </w:pPr>
      <w:r w:rsidRPr="00730B1E">
        <w:t>U VS v Olomouci je situace jiná. Na grafu je patrný velmi výrazný nárůst ve věku soudců. Zdůvodnění je prakticky stejné jako u okresních soudů. Ve sledovaném období 2008 až 2022 se již celkový počet soudců příliš nemění. Po roce 2000 se počet soudců rychle zvyšoval, počet nově příchozích soudců k VS v Olomouci za rok byl tedy výrazně vyšší než v pozdějším období a nově příchozí soudci byli relativně mladí. Právě tato rozsáhlá generace soudců se ve sledovaném období postupně přesouvá do vyšší věkové skupiny. Průměrný věk příchozích soudců se stále zvyšoval, což opět plyne ze změny věkové struktury u nižších článků soudní soustavy. Teprve v roce 2018 přišli na soud mladší soudci ve věkové skupině 41 až 50 let a od té doby soudcovská populace VS Olomouc pomalu „mládne“.</w:t>
      </w:r>
    </w:p>
    <w:p w14:paraId="259B7329" w14:textId="77777777" w:rsidR="00E317F8" w:rsidRPr="00730B1E" w:rsidRDefault="00E317F8" w:rsidP="00A32461">
      <w:pPr>
        <w:rPr>
          <w:lang w:eastAsia="cs-CZ"/>
        </w:rPr>
      </w:pPr>
    </w:p>
    <w:p w14:paraId="680034E0" w14:textId="0A90B069" w:rsidR="001C77B0" w:rsidRPr="00730B1E" w:rsidRDefault="008430BD" w:rsidP="008430BD">
      <w:pPr>
        <w:pStyle w:val="Nadpis3"/>
        <w:numPr>
          <w:ilvl w:val="2"/>
          <w:numId w:val="1"/>
        </w:numPr>
        <w:rPr>
          <w:color w:val="auto"/>
          <w:lang w:eastAsia="cs-CZ"/>
        </w:rPr>
      </w:pPr>
      <w:bookmarkStart w:id="1365" w:name="_Toc515871280"/>
      <w:bookmarkStart w:id="1366" w:name="_Toc106092792"/>
      <w:bookmarkStart w:id="1367" w:name="_Toc169250868"/>
      <w:bookmarkStart w:id="1368" w:name="_Toc174080904"/>
      <w:r w:rsidRPr="00730B1E">
        <w:rPr>
          <w:color w:val="auto"/>
          <w:lang w:eastAsia="cs-CZ"/>
        </w:rPr>
        <w:t>Zaměstnanci ve výkonu</w:t>
      </w:r>
      <w:bookmarkEnd w:id="1365"/>
      <w:bookmarkEnd w:id="1366"/>
      <w:bookmarkEnd w:id="1367"/>
      <w:bookmarkEnd w:id="1368"/>
    </w:p>
    <w:p w14:paraId="1D5F083F" w14:textId="3B93F3D3" w:rsidR="00E317F8" w:rsidRPr="00730B1E" w:rsidRDefault="00E317F8" w:rsidP="00E317F8">
      <w:pPr>
        <w:pStyle w:val="Podnadpis"/>
        <w:numPr>
          <w:ilvl w:val="0"/>
          <w:numId w:val="0"/>
        </w:numPr>
        <w:rPr>
          <w:color w:val="auto"/>
        </w:rPr>
      </w:pPr>
      <w:bookmarkStart w:id="1369" w:name="_Toc515871502"/>
      <w:bookmarkStart w:id="1370" w:name="_Toc11133268"/>
      <w:bookmarkStart w:id="1371" w:name="_Toc43931250"/>
      <w:bookmarkStart w:id="1372" w:name="_Toc75952384"/>
      <w:bookmarkStart w:id="1373" w:name="_Toc106106837"/>
      <w:bookmarkStart w:id="1374" w:name="_Toc109802160"/>
      <w:bookmarkStart w:id="1375" w:name="_Toc144104319"/>
      <w:bookmarkStart w:id="1376" w:name="_Toc169251133"/>
      <w:bookmarkStart w:id="1377" w:name="_Toc174080819"/>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76</w:t>
      </w:r>
      <w:r w:rsidRPr="00730B1E">
        <w:rPr>
          <w:color w:val="auto"/>
        </w:rPr>
        <w:fldChar w:fldCharType="end"/>
      </w:r>
      <w:r w:rsidRPr="00730B1E">
        <w:rPr>
          <w:color w:val="auto"/>
        </w:rPr>
        <w:t>: VS – počet zaměstnanců ve výkonu dle soudů</w:t>
      </w:r>
      <w:bookmarkEnd w:id="1369"/>
      <w:bookmarkEnd w:id="1370"/>
      <w:bookmarkEnd w:id="1371"/>
      <w:bookmarkEnd w:id="1372"/>
      <w:bookmarkEnd w:id="1373"/>
      <w:bookmarkEnd w:id="1374"/>
      <w:bookmarkEnd w:id="1375"/>
      <w:bookmarkEnd w:id="1376"/>
      <w:bookmarkEnd w:id="1377"/>
    </w:p>
    <w:tbl>
      <w:tblPr>
        <w:tblW w:w="7280" w:type="dxa"/>
        <w:tblCellMar>
          <w:left w:w="70" w:type="dxa"/>
          <w:right w:w="70" w:type="dxa"/>
        </w:tblCellMar>
        <w:tblLook w:val="04A0" w:firstRow="1" w:lastRow="0" w:firstColumn="1" w:lastColumn="0" w:noHBand="0" w:noVBand="1"/>
      </w:tblPr>
      <w:tblGrid>
        <w:gridCol w:w="2080"/>
        <w:gridCol w:w="904"/>
        <w:gridCol w:w="581"/>
        <w:gridCol w:w="466"/>
        <w:gridCol w:w="645"/>
        <w:gridCol w:w="658"/>
        <w:gridCol w:w="466"/>
        <w:gridCol w:w="1480"/>
      </w:tblGrid>
      <w:tr w:rsidR="00B64E96" w:rsidRPr="00730B1E" w14:paraId="3C60DAA7" w14:textId="77777777" w:rsidTr="00DE6BA5">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423A601E"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5200" w:type="dxa"/>
            <w:gridSpan w:val="7"/>
            <w:tcBorders>
              <w:top w:val="double" w:sz="6" w:space="0" w:color="auto"/>
              <w:left w:val="nil"/>
              <w:bottom w:val="nil"/>
              <w:right w:val="nil"/>
            </w:tcBorders>
            <w:shd w:val="clear" w:color="auto" w:fill="auto"/>
            <w:noWrap/>
            <w:vAlign w:val="bottom"/>
            <w:hideMark/>
          </w:tcPr>
          <w:p w14:paraId="548639B6"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Počet osob</w:t>
            </w:r>
          </w:p>
        </w:tc>
      </w:tr>
      <w:tr w:rsidR="00B64E96" w:rsidRPr="00730B1E" w14:paraId="385F7C70" w14:textId="77777777" w:rsidTr="00DE6BA5">
        <w:trPr>
          <w:trHeight w:val="330"/>
        </w:trPr>
        <w:tc>
          <w:tcPr>
            <w:tcW w:w="2080" w:type="dxa"/>
            <w:vMerge/>
            <w:tcBorders>
              <w:top w:val="double" w:sz="6" w:space="0" w:color="auto"/>
              <w:left w:val="nil"/>
              <w:bottom w:val="double" w:sz="6" w:space="0" w:color="000000"/>
              <w:right w:val="nil"/>
            </w:tcBorders>
            <w:vAlign w:val="center"/>
            <w:hideMark/>
          </w:tcPr>
          <w:p w14:paraId="6AB102D8" w14:textId="77777777" w:rsidR="00DE6BA5" w:rsidRPr="00730B1E" w:rsidRDefault="00DE6BA5" w:rsidP="00DE6BA5">
            <w:pPr>
              <w:spacing w:line="240" w:lineRule="auto"/>
              <w:jc w:val="left"/>
              <w:rPr>
                <w:rFonts w:eastAsia="Times New Roman"/>
                <w:b/>
                <w:bCs/>
                <w:szCs w:val="24"/>
                <w:lang w:eastAsia="cs-CZ"/>
              </w:rPr>
            </w:pPr>
          </w:p>
        </w:tc>
        <w:tc>
          <w:tcPr>
            <w:tcW w:w="904" w:type="dxa"/>
            <w:tcBorders>
              <w:top w:val="nil"/>
              <w:left w:val="nil"/>
              <w:bottom w:val="double" w:sz="6" w:space="0" w:color="auto"/>
              <w:right w:val="nil"/>
            </w:tcBorders>
            <w:shd w:val="clear" w:color="auto" w:fill="auto"/>
            <w:noWrap/>
            <w:vAlign w:val="bottom"/>
            <w:hideMark/>
          </w:tcPr>
          <w:p w14:paraId="23C711EE"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VSÚ</w:t>
            </w:r>
          </w:p>
        </w:tc>
        <w:tc>
          <w:tcPr>
            <w:tcW w:w="581" w:type="dxa"/>
            <w:tcBorders>
              <w:top w:val="nil"/>
              <w:left w:val="nil"/>
              <w:bottom w:val="double" w:sz="6" w:space="0" w:color="auto"/>
              <w:right w:val="nil"/>
            </w:tcBorders>
            <w:shd w:val="clear" w:color="auto" w:fill="auto"/>
            <w:noWrap/>
            <w:vAlign w:val="bottom"/>
            <w:hideMark/>
          </w:tcPr>
          <w:p w14:paraId="27079BCC"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ST</w:t>
            </w:r>
          </w:p>
        </w:tc>
        <w:tc>
          <w:tcPr>
            <w:tcW w:w="466" w:type="dxa"/>
            <w:tcBorders>
              <w:top w:val="nil"/>
              <w:left w:val="nil"/>
              <w:bottom w:val="double" w:sz="6" w:space="0" w:color="auto"/>
              <w:right w:val="nil"/>
            </w:tcBorders>
            <w:shd w:val="clear" w:color="auto" w:fill="auto"/>
            <w:noWrap/>
            <w:vAlign w:val="bottom"/>
            <w:hideMark/>
          </w:tcPr>
          <w:p w14:paraId="69F0ADC2"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A</w:t>
            </w:r>
          </w:p>
        </w:tc>
        <w:tc>
          <w:tcPr>
            <w:tcW w:w="645" w:type="dxa"/>
            <w:tcBorders>
              <w:top w:val="nil"/>
              <w:left w:val="nil"/>
              <w:bottom w:val="double" w:sz="6" w:space="0" w:color="auto"/>
              <w:right w:val="nil"/>
            </w:tcBorders>
            <w:shd w:val="clear" w:color="auto" w:fill="auto"/>
            <w:noWrap/>
            <w:vAlign w:val="bottom"/>
            <w:hideMark/>
          </w:tcPr>
          <w:p w14:paraId="5146E4B6"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VK</w:t>
            </w:r>
          </w:p>
        </w:tc>
        <w:tc>
          <w:tcPr>
            <w:tcW w:w="658" w:type="dxa"/>
            <w:tcBorders>
              <w:top w:val="nil"/>
              <w:left w:val="nil"/>
              <w:bottom w:val="double" w:sz="6" w:space="0" w:color="auto"/>
              <w:right w:val="nil"/>
            </w:tcBorders>
            <w:shd w:val="clear" w:color="auto" w:fill="auto"/>
            <w:noWrap/>
            <w:vAlign w:val="bottom"/>
            <w:hideMark/>
          </w:tcPr>
          <w:p w14:paraId="27C0EFE9"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PÚ</w:t>
            </w:r>
          </w:p>
        </w:tc>
        <w:tc>
          <w:tcPr>
            <w:tcW w:w="466" w:type="dxa"/>
            <w:tcBorders>
              <w:top w:val="nil"/>
              <w:left w:val="nil"/>
              <w:bottom w:val="double" w:sz="6" w:space="0" w:color="auto"/>
              <w:right w:val="nil"/>
            </w:tcBorders>
            <w:shd w:val="clear" w:color="auto" w:fill="auto"/>
            <w:noWrap/>
            <w:vAlign w:val="bottom"/>
            <w:hideMark/>
          </w:tcPr>
          <w:p w14:paraId="2FC096A9"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Z</w:t>
            </w:r>
          </w:p>
        </w:tc>
        <w:tc>
          <w:tcPr>
            <w:tcW w:w="1480" w:type="dxa"/>
            <w:tcBorders>
              <w:top w:val="nil"/>
              <w:left w:val="nil"/>
              <w:bottom w:val="double" w:sz="6" w:space="0" w:color="auto"/>
              <w:right w:val="nil"/>
            </w:tcBorders>
            <w:shd w:val="clear" w:color="auto" w:fill="auto"/>
            <w:noWrap/>
            <w:vAlign w:val="bottom"/>
            <w:hideMark/>
          </w:tcPr>
          <w:p w14:paraId="0A60A325"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Celkem</w:t>
            </w:r>
          </w:p>
        </w:tc>
      </w:tr>
      <w:tr w:rsidR="00B64E96" w:rsidRPr="00730B1E" w14:paraId="66C9EDC8" w14:textId="77777777" w:rsidTr="00EA1E0D">
        <w:trPr>
          <w:trHeight w:val="330"/>
        </w:trPr>
        <w:tc>
          <w:tcPr>
            <w:tcW w:w="2080" w:type="dxa"/>
            <w:tcBorders>
              <w:top w:val="single" w:sz="4" w:space="0" w:color="auto"/>
              <w:left w:val="nil"/>
              <w:bottom w:val="single" w:sz="4" w:space="0" w:color="auto"/>
              <w:right w:val="nil"/>
            </w:tcBorders>
            <w:shd w:val="clear" w:color="auto" w:fill="auto"/>
            <w:noWrap/>
            <w:vAlign w:val="center"/>
            <w:hideMark/>
          </w:tcPr>
          <w:p w14:paraId="42359ECB" w14:textId="77777777" w:rsidR="00DE6BA5" w:rsidRPr="00730B1E" w:rsidRDefault="00DE6BA5" w:rsidP="00DF39E6">
            <w:pPr>
              <w:spacing w:line="240" w:lineRule="auto"/>
              <w:rPr>
                <w:rFonts w:eastAsia="Times New Roman"/>
                <w:szCs w:val="24"/>
                <w:lang w:eastAsia="cs-CZ"/>
              </w:rPr>
            </w:pPr>
            <w:r w:rsidRPr="00730B1E">
              <w:rPr>
                <w:rFonts w:eastAsia="Times New Roman"/>
                <w:szCs w:val="24"/>
                <w:lang w:eastAsia="cs-CZ"/>
              </w:rPr>
              <w:t>VS Praha</w:t>
            </w:r>
          </w:p>
        </w:tc>
        <w:tc>
          <w:tcPr>
            <w:tcW w:w="904" w:type="dxa"/>
            <w:tcBorders>
              <w:top w:val="single" w:sz="4" w:space="0" w:color="auto"/>
              <w:left w:val="nil"/>
              <w:bottom w:val="single" w:sz="4" w:space="0" w:color="auto"/>
              <w:right w:val="nil"/>
            </w:tcBorders>
            <w:shd w:val="clear" w:color="auto" w:fill="auto"/>
            <w:noWrap/>
            <w:vAlign w:val="bottom"/>
            <w:hideMark/>
          </w:tcPr>
          <w:p w14:paraId="1E199DE0"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4</w:t>
            </w:r>
          </w:p>
        </w:tc>
        <w:tc>
          <w:tcPr>
            <w:tcW w:w="581" w:type="dxa"/>
            <w:tcBorders>
              <w:top w:val="single" w:sz="4" w:space="0" w:color="auto"/>
              <w:left w:val="nil"/>
              <w:bottom w:val="single" w:sz="4" w:space="0" w:color="auto"/>
              <w:right w:val="nil"/>
            </w:tcBorders>
            <w:shd w:val="clear" w:color="auto" w:fill="auto"/>
            <w:noWrap/>
            <w:vAlign w:val="bottom"/>
            <w:hideMark/>
          </w:tcPr>
          <w:p w14:paraId="57CA62D4"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5</w:t>
            </w:r>
          </w:p>
        </w:tc>
        <w:tc>
          <w:tcPr>
            <w:tcW w:w="466" w:type="dxa"/>
            <w:tcBorders>
              <w:top w:val="single" w:sz="4" w:space="0" w:color="auto"/>
              <w:left w:val="nil"/>
              <w:bottom w:val="single" w:sz="4" w:space="0" w:color="auto"/>
              <w:right w:val="nil"/>
            </w:tcBorders>
            <w:shd w:val="clear" w:color="auto" w:fill="auto"/>
            <w:noWrap/>
            <w:vAlign w:val="bottom"/>
            <w:hideMark/>
          </w:tcPr>
          <w:p w14:paraId="0A3E51A9"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40</w:t>
            </w:r>
          </w:p>
        </w:tc>
        <w:tc>
          <w:tcPr>
            <w:tcW w:w="645" w:type="dxa"/>
            <w:tcBorders>
              <w:top w:val="single" w:sz="4" w:space="0" w:color="auto"/>
              <w:left w:val="nil"/>
              <w:bottom w:val="single" w:sz="4" w:space="0" w:color="auto"/>
              <w:right w:val="nil"/>
            </w:tcBorders>
            <w:shd w:val="clear" w:color="auto" w:fill="auto"/>
            <w:noWrap/>
            <w:vAlign w:val="bottom"/>
            <w:hideMark/>
          </w:tcPr>
          <w:p w14:paraId="13CF706D"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20</w:t>
            </w:r>
          </w:p>
        </w:tc>
        <w:tc>
          <w:tcPr>
            <w:tcW w:w="658" w:type="dxa"/>
            <w:tcBorders>
              <w:top w:val="single" w:sz="4" w:space="0" w:color="auto"/>
              <w:left w:val="nil"/>
              <w:bottom w:val="single" w:sz="4" w:space="0" w:color="auto"/>
              <w:right w:val="nil"/>
            </w:tcBorders>
            <w:shd w:val="clear" w:color="auto" w:fill="auto"/>
            <w:noWrap/>
            <w:vAlign w:val="bottom"/>
            <w:hideMark/>
          </w:tcPr>
          <w:p w14:paraId="1818C9A3"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12</w:t>
            </w:r>
          </w:p>
        </w:tc>
        <w:tc>
          <w:tcPr>
            <w:tcW w:w="466" w:type="dxa"/>
            <w:tcBorders>
              <w:top w:val="single" w:sz="4" w:space="0" w:color="auto"/>
              <w:left w:val="nil"/>
              <w:bottom w:val="single" w:sz="4" w:space="0" w:color="auto"/>
              <w:right w:val="nil"/>
            </w:tcBorders>
            <w:shd w:val="clear" w:color="auto" w:fill="auto"/>
            <w:noWrap/>
            <w:vAlign w:val="bottom"/>
            <w:hideMark/>
          </w:tcPr>
          <w:p w14:paraId="09FC22FF"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21</w:t>
            </w:r>
          </w:p>
        </w:tc>
        <w:tc>
          <w:tcPr>
            <w:tcW w:w="1480" w:type="dxa"/>
            <w:tcBorders>
              <w:top w:val="single" w:sz="4" w:space="0" w:color="auto"/>
              <w:left w:val="nil"/>
              <w:bottom w:val="single" w:sz="4" w:space="0" w:color="auto"/>
              <w:right w:val="nil"/>
            </w:tcBorders>
            <w:shd w:val="clear" w:color="auto" w:fill="auto"/>
            <w:noWrap/>
            <w:vAlign w:val="bottom"/>
            <w:hideMark/>
          </w:tcPr>
          <w:p w14:paraId="28D74DA1" w14:textId="1CA1D93D"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10</w:t>
            </w:r>
            <w:r w:rsidR="00E05026" w:rsidRPr="00730B1E">
              <w:rPr>
                <w:rFonts w:eastAsia="Times New Roman"/>
                <w:b/>
                <w:bCs/>
                <w:szCs w:val="24"/>
                <w:lang w:eastAsia="cs-CZ"/>
              </w:rPr>
              <w:t>2</w:t>
            </w:r>
          </w:p>
        </w:tc>
      </w:tr>
      <w:tr w:rsidR="00B64E96" w:rsidRPr="00730B1E" w14:paraId="54C1EC92" w14:textId="77777777" w:rsidTr="00DE6BA5">
        <w:trPr>
          <w:trHeight w:val="330"/>
        </w:trPr>
        <w:tc>
          <w:tcPr>
            <w:tcW w:w="2080" w:type="dxa"/>
            <w:tcBorders>
              <w:top w:val="nil"/>
              <w:left w:val="nil"/>
              <w:bottom w:val="nil"/>
              <w:right w:val="nil"/>
            </w:tcBorders>
            <w:shd w:val="clear" w:color="auto" w:fill="auto"/>
            <w:noWrap/>
            <w:vAlign w:val="bottom"/>
            <w:hideMark/>
          </w:tcPr>
          <w:p w14:paraId="6BB3F8C1" w14:textId="77777777" w:rsidR="00DE6BA5" w:rsidRPr="00730B1E" w:rsidRDefault="00DE6BA5" w:rsidP="00DE6BA5">
            <w:pPr>
              <w:spacing w:line="240" w:lineRule="auto"/>
              <w:jc w:val="left"/>
              <w:rPr>
                <w:rFonts w:eastAsia="Times New Roman"/>
                <w:szCs w:val="24"/>
                <w:lang w:eastAsia="cs-CZ"/>
              </w:rPr>
            </w:pPr>
            <w:r w:rsidRPr="00730B1E">
              <w:rPr>
                <w:rFonts w:eastAsia="Times New Roman"/>
                <w:szCs w:val="24"/>
                <w:lang w:eastAsia="cs-CZ"/>
              </w:rPr>
              <w:t>VS Olomouc</w:t>
            </w:r>
          </w:p>
        </w:tc>
        <w:tc>
          <w:tcPr>
            <w:tcW w:w="904" w:type="dxa"/>
            <w:tcBorders>
              <w:top w:val="nil"/>
              <w:left w:val="nil"/>
              <w:bottom w:val="nil"/>
              <w:right w:val="nil"/>
            </w:tcBorders>
            <w:shd w:val="clear" w:color="auto" w:fill="auto"/>
            <w:noWrap/>
            <w:vAlign w:val="bottom"/>
            <w:hideMark/>
          </w:tcPr>
          <w:p w14:paraId="725B01EA"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1</w:t>
            </w:r>
          </w:p>
        </w:tc>
        <w:tc>
          <w:tcPr>
            <w:tcW w:w="581" w:type="dxa"/>
            <w:tcBorders>
              <w:top w:val="nil"/>
              <w:left w:val="nil"/>
              <w:bottom w:val="nil"/>
              <w:right w:val="nil"/>
            </w:tcBorders>
            <w:shd w:val="clear" w:color="auto" w:fill="auto"/>
            <w:noWrap/>
            <w:vAlign w:val="bottom"/>
            <w:hideMark/>
          </w:tcPr>
          <w:p w14:paraId="28656D50"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0</w:t>
            </w:r>
          </w:p>
        </w:tc>
        <w:tc>
          <w:tcPr>
            <w:tcW w:w="466" w:type="dxa"/>
            <w:tcBorders>
              <w:top w:val="nil"/>
              <w:left w:val="nil"/>
              <w:bottom w:val="nil"/>
              <w:right w:val="nil"/>
            </w:tcBorders>
            <w:shd w:val="clear" w:color="auto" w:fill="auto"/>
            <w:noWrap/>
            <w:vAlign w:val="bottom"/>
            <w:hideMark/>
          </w:tcPr>
          <w:p w14:paraId="561F60EA"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13</w:t>
            </w:r>
          </w:p>
        </w:tc>
        <w:tc>
          <w:tcPr>
            <w:tcW w:w="645" w:type="dxa"/>
            <w:tcBorders>
              <w:top w:val="nil"/>
              <w:left w:val="nil"/>
              <w:bottom w:val="nil"/>
              <w:right w:val="nil"/>
            </w:tcBorders>
            <w:shd w:val="clear" w:color="auto" w:fill="auto"/>
            <w:noWrap/>
            <w:vAlign w:val="bottom"/>
            <w:hideMark/>
          </w:tcPr>
          <w:p w14:paraId="0CD5DC75"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7</w:t>
            </w:r>
          </w:p>
        </w:tc>
        <w:tc>
          <w:tcPr>
            <w:tcW w:w="658" w:type="dxa"/>
            <w:tcBorders>
              <w:top w:val="nil"/>
              <w:left w:val="nil"/>
              <w:bottom w:val="nil"/>
              <w:right w:val="nil"/>
            </w:tcBorders>
            <w:shd w:val="clear" w:color="auto" w:fill="auto"/>
            <w:noWrap/>
            <w:vAlign w:val="bottom"/>
            <w:hideMark/>
          </w:tcPr>
          <w:p w14:paraId="03773A1E"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6</w:t>
            </w:r>
          </w:p>
        </w:tc>
        <w:tc>
          <w:tcPr>
            <w:tcW w:w="466" w:type="dxa"/>
            <w:tcBorders>
              <w:top w:val="nil"/>
              <w:left w:val="nil"/>
              <w:bottom w:val="nil"/>
              <w:right w:val="nil"/>
            </w:tcBorders>
            <w:shd w:val="clear" w:color="auto" w:fill="auto"/>
            <w:noWrap/>
            <w:vAlign w:val="bottom"/>
            <w:hideMark/>
          </w:tcPr>
          <w:p w14:paraId="0FFD3A90" w14:textId="77777777" w:rsidR="00DE6BA5" w:rsidRPr="00730B1E" w:rsidRDefault="00DE6BA5" w:rsidP="00DE6BA5">
            <w:pPr>
              <w:spacing w:line="240" w:lineRule="auto"/>
              <w:jc w:val="center"/>
              <w:rPr>
                <w:rFonts w:eastAsia="Times New Roman"/>
                <w:szCs w:val="24"/>
                <w:lang w:eastAsia="cs-CZ"/>
              </w:rPr>
            </w:pPr>
            <w:r w:rsidRPr="00730B1E">
              <w:rPr>
                <w:rFonts w:eastAsia="Times New Roman"/>
                <w:szCs w:val="24"/>
                <w:lang w:eastAsia="cs-CZ"/>
              </w:rPr>
              <w:t>7</w:t>
            </w:r>
          </w:p>
        </w:tc>
        <w:tc>
          <w:tcPr>
            <w:tcW w:w="1480" w:type="dxa"/>
            <w:tcBorders>
              <w:top w:val="nil"/>
              <w:left w:val="nil"/>
              <w:bottom w:val="single" w:sz="4" w:space="0" w:color="auto"/>
              <w:right w:val="nil"/>
            </w:tcBorders>
            <w:shd w:val="clear" w:color="auto" w:fill="auto"/>
            <w:noWrap/>
            <w:vAlign w:val="bottom"/>
            <w:hideMark/>
          </w:tcPr>
          <w:p w14:paraId="00BC597E"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34</w:t>
            </w:r>
          </w:p>
        </w:tc>
      </w:tr>
      <w:tr w:rsidR="00B64E96" w:rsidRPr="00730B1E" w14:paraId="60D3635C" w14:textId="77777777" w:rsidTr="00DE6BA5">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2E9D86EA" w14:textId="77777777" w:rsidR="00DE6BA5" w:rsidRPr="00730B1E" w:rsidRDefault="00DE6BA5" w:rsidP="00DE6BA5">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904" w:type="dxa"/>
            <w:tcBorders>
              <w:top w:val="double" w:sz="6" w:space="0" w:color="auto"/>
              <w:left w:val="nil"/>
              <w:bottom w:val="double" w:sz="6" w:space="0" w:color="auto"/>
              <w:right w:val="nil"/>
            </w:tcBorders>
            <w:shd w:val="clear" w:color="auto" w:fill="auto"/>
            <w:noWrap/>
            <w:vAlign w:val="bottom"/>
            <w:hideMark/>
          </w:tcPr>
          <w:p w14:paraId="6C4D9732"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5</w:t>
            </w:r>
          </w:p>
        </w:tc>
        <w:tc>
          <w:tcPr>
            <w:tcW w:w="581" w:type="dxa"/>
            <w:tcBorders>
              <w:top w:val="double" w:sz="6" w:space="0" w:color="auto"/>
              <w:left w:val="nil"/>
              <w:bottom w:val="double" w:sz="6" w:space="0" w:color="auto"/>
              <w:right w:val="nil"/>
            </w:tcBorders>
            <w:shd w:val="clear" w:color="auto" w:fill="auto"/>
            <w:noWrap/>
            <w:vAlign w:val="bottom"/>
            <w:hideMark/>
          </w:tcPr>
          <w:p w14:paraId="77AE5159"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5</w:t>
            </w:r>
          </w:p>
        </w:tc>
        <w:tc>
          <w:tcPr>
            <w:tcW w:w="466" w:type="dxa"/>
            <w:tcBorders>
              <w:top w:val="double" w:sz="6" w:space="0" w:color="auto"/>
              <w:left w:val="nil"/>
              <w:bottom w:val="double" w:sz="6" w:space="0" w:color="auto"/>
              <w:right w:val="nil"/>
            </w:tcBorders>
            <w:shd w:val="clear" w:color="auto" w:fill="auto"/>
            <w:noWrap/>
            <w:vAlign w:val="bottom"/>
            <w:hideMark/>
          </w:tcPr>
          <w:p w14:paraId="7573AAA8"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53</w:t>
            </w:r>
          </w:p>
        </w:tc>
        <w:tc>
          <w:tcPr>
            <w:tcW w:w="645" w:type="dxa"/>
            <w:tcBorders>
              <w:top w:val="double" w:sz="6" w:space="0" w:color="auto"/>
              <w:left w:val="nil"/>
              <w:bottom w:val="double" w:sz="6" w:space="0" w:color="auto"/>
              <w:right w:val="nil"/>
            </w:tcBorders>
            <w:shd w:val="clear" w:color="auto" w:fill="auto"/>
            <w:noWrap/>
            <w:vAlign w:val="bottom"/>
            <w:hideMark/>
          </w:tcPr>
          <w:p w14:paraId="7166DB73"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27</w:t>
            </w:r>
          </w:p>
        </w:tc>
        <w:tc>
          <w:tcPr>
            <w:tcW w:w="658" w:type="dxa"/>
            <w:tcBorders>
              <w:top w:val="double" w:sz="6" w:space="0" w:color="auto"/>
              <w:left w:val="nil"/>
              <w:bottom w:val="double" w:sz="6" w:space="0" w:color="auto"/>
              <w:right w:val="nil"/>
            </w:tcBorders>
            <w:shd w:val="clear" w:color="auto" w:fill="auto"/>
            <w:noWrap/>
            <w:vAlign w:val="bottom"/>
            <w:hideMark/>
          </w:tcPr>
          <w:p w14:paraId="11FDC4B0"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18</w:t>
            </w:r>
          </w:p>
        </w:tc>
        <w:tc>
          <w:tcPr>
            <w:tcW w:w="466" w:type="dxa"/>
            <w:tcBorders>
              <w:top w:val="double" w:sz="6" w:space="0" w:color="auto"/>
              <w:left w:val="nil"/>
              <w:bottom w:val="double" w:sz="6" w:space="0" w:color="auto"/>
              <w:right w:val="nil"/>
            </w:tcBorders>
            <w:shd w:val="clear" w:color="auto" w:fill="auto"/>
            <w:noWrap/>
            <w:vAlign w:val="bottom"/>
            <w:hideMark/>
          </w:tcPr>
          <w:p w14:paraId="4F6F5BCB"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28</w:t>
            </w:r>
          </w:p>
        </w:tc>
        <w:tc>
          <w:tcPr>
            <w:tcW w:w="1480" w:type="dxa"/>
            <w:tcBorders>
              <w:top w:val="double" w:sz="6" w:space="0" w:color="auto"/>
              <w:left w:val="nil"/>
              <w:bottom w:val="double" w:sz="6" w:space="0" w:color="auto"/>
              <w:right w:val="nil"/>
            </w:tcBorders>
            <w:shd w:val="clear" w:color="auto" w:fill="auto"/>
            <w:noWrap/>
            <w:vAlign w:val="bottom"/>
            <w:hideMark/>
          </w:tcPr>
          <w:p w14:paraId="7E215C00" w14:textId="77777777" w:rsidR="00DE6BA5" w:rsidRPr="00730B1E" w:rsidRDefault="00DE6BA5" w:rsidP="00DE6BA5">
            <w:pPr>
              <w:spacing w:line="240" w:lineRule="auto"/>
              <w:jc w:val="center"/>
              <w:rPr>
                <w:rFonts w:eastAsia="Times New Roman"/>
                <w:b/>
                <w:bCs/>
                <w:szCs w:val="24"/>
                <w:lang w:eastAsia="cs-CZ"/>
              </w:rPr>
            </w:pPr>
            <w:r w:rsidRPr="00730B1E">
              <w:rPr>
                <w:rFonts w:eastAsia="Times New Roman"/>
                <w:b/>
                <w:bCs/>
                <w:szCs w:val="24"/>
                <w:lang w:eastAsia="cs-CZ"/>
              </w:rPr>
              <w:t>134</w:t>
            </w:r>
          </w:p>
        </w:tc>
      </w:tr>
      <w:tr w:rsidR="00B64E96" w:rsidRPr="00730B1E" w14:paraId="7D235E80" w14:textId="77777777" w:rsidTr="00DE6BA5">
        <w:trPr>
          <w:trHeight w:val="330"/>
        </w:trPr>
        <w:tc>
          <w:tcPr>
            <w:tcW w:w="2080" w:type="dxa"/>
            <w:tcBorders>
              <w:top w:val="nil"/>
              <w:left w:val="nil"/>
              <w:bottom w:val="nil"/>
              <w:right w:val="nil"/>
            </w:tcBorders>
            <w:shd w:val="clear" w:color="auto" w:fill="auto"/>
            <w:noWrap/>
            <w:vAlign w:val="bottom"/>
            <w:hideMark/>
          </w:tcPr>
          <w:p w14:paraId="2897A7E6" w14:textId="77777777" w:rsidR="00DE6BA5" w:rsidRPr="00730B1E" w:rsidRDefault="00DE6BA5" w:rsidP="00DE6BA5">
            <w:pPr>
              <w:spacing w:line="240" w:lineRule="auto"/>
              <w:jc w:val="center"/>
              <w:rPr>
                <w:rFonts w:eastAsia="Times New Roman"/>
                <w:b/>
                <w:bCs/>
                <w:szCs w:val="24"/>
                <w:lang w:eastAsia="cs-CZ"/>
              </w:rPr>
            </w:pPr>
          </w:p>
        </w:tc>
        <w:tc>
          <w:tcPr>
            <w:tcW w:w="904" w:type="dxa"/>
            <w:tcBorders>
              <w:top w:val="nil"/>
              <w:left w:val="nil"/>
              <w:bottom w:val="nil"/>
              <w:right w:val="nil"/>
            </w:tcBorders>
            <w:shd w:val="clear" w:color="auto" w:fill="auto"/>
            <w:noWrap/>
            <w:vAlign w:val="bottom"/>
            <w:hideMark/>
          </w:tcPr>
          <w:p w14:paraId="5D10F679" w14:textId="77777777" w:rsidR="00DE6BA5" w:rsidRPr="00DF07F3" w:rsidRDefault="00DE6BA5" w:rsidP="00DE6BA5">
            <w:pPr>
              <w:spacing w:line="240" w:lineRule="auto"/>
              <w:jc w:val="left"/>
              <w:rPr>
                <w:sz w:val="20"/>
              </w:rPr>
            </w:pPr>
          </w:p>
        </w:tc>
        <w:tc>
          <w:tcPr>
            <w:tcW w:w="581" w:type="dxa"/>
            <w:tcBorders>
              <w:top w:val="nil"/>
              <w:left w:val="nil"/>
              <w:bottom w:val="nil"/>
              <w:right w:val="nil"/>
            </w:tcBorders>
            <w:shd w:val="clear" w:color="auto" w:fill="auto"/>
            <w:noWrap/>
            <w:vAlign w:val="bottom"/>
            <w:hideMark/>
          </w:tcPr>
          <w:p w14:paraId="6ECC6A94" w14:textId="77777777" w:rsidR="00DE6BA5" w:rsidRPr="00DF07F3" w:rsidRDefault="00DE6BA5" w:rsidP="00DE6BA5">
            <w:pPr>
              <w:spacing w:line="240" w:lineRule="auto"/>
              <w:jc w:val="left"/>
              <w:rPr>
                <w:sz w:val="20"/>
              </w:rPr>
            </w:pPr>
          </w:p>
        </w:tc>
        <w:tc>
          <w:tcPr>
            <w:tcW w:w="466" w:type="dxa"/>
            <w:tcBorders>
              <w:top w:val="nil"/>
              <w:left w:val="nil"/>
              <w:bottom w:val="nil"/>
              <w:right w:val="nil"/>
            </w:tcBorders>
            <w:shd w:val="clear" w:color="auto" w:fill="auto"/>
            <w:noWrap/>
            <w:vAlign w:val="bottom"/>
            <w:hideMark/>
          </w:tcPr>
          <w:p w14:paraId="33219BD0" w14:textId="77777777" w:rsidR="00DE6BA5" w:rsidRPr="00DF07F3" w:rsidRDefault="00DE6BA5" w:rsidP="00DE6BA5">
            <w:pPr>
              <w:spacing w:line="240" w:lineRule="auto"/>
              <w:jc w:val="left"/>
              <w:rPr>
                <w:sz w:val="20"/>
              </w:rPr>
            </w:pPr>
          </w:p>
        </w:tc>
        <w:tc>
          <w:tcPr>
            <w:tcW w:w="645" w:type="dxa"/>
            <w:tcBorders>
              <w:top w:val="nil"/>
              <w:left w:val="nil"/>
              <w:bottom w:val="nil"/>
              <w:right w:val="nil"/>
            </w:tcBorders>
            <w:shd w:val="clear" w:color="auto" w:fill="auto"/>
            <w:noWrap/>
            <w:vAlign w:val="bottom"/>
            <w:hideMark/>
          </w:tcPr>
          <w:p w14:paraId="2B6351B5" w14:textId="77777777" w:rsidR="00DE6BA5" w:rsidRPr="00DF07F3" w:rsidRDefault="00DE6BA5" w:rsidP="00DE6BA5">
            <w:pPr>
              <w:spacing w:line="240" w:lineRule="auto"/>
              <w:jc w:val="left"/>
              <w:rPr>
                <w:sz w:val="20"/>
              </w:rPr>
            </w:pPr>
          </w:p>
        </w:tc>
        <w:tc>
          <w:tcPr>
            <w:tcW w:w="658" w:type="dxa"/>
            <w:tcBorders>
              <w:top w:val="nil"/>
              <w:left w:val="nil"/>
              <w:bottom w:val="nil"/>
              <w:right w:val="nil"/>
            </w:tcBorders>
            <w:shd w:val="clear" w:color="auto" w:fill="auto"/>
            <w:noWrap/>
            <w:vAlign w:val="bottom"/>
            <w:hideMark/>
          </w:tcPr>
          <w:p w14:paraId="1C4249BF" w14:textId="77777777" w:rsidR="00DE6BA5" w:rsidRPr="00DF07F3" w:rsidRDefault="00DE6BA5" w:rsidP="00DE6BA5">
            <w:pPr>
              <w:spacing w:line="240" w:lineRule="auto"/>
              <w:jc w:val="left"/>
              <w:rPr>
                <w:sz w:val="20"/>
              </w:rPr>
            </w:pPr>
          </w:p>
        </w:tc>
        <w:tc>
          <w:tcPr>
            <w:tcW w:w="466" w:type="dxa"/>
            <w:tcBorders>
              <w:top w:val="nil"/>
              <w:left w:val="nil"/>
              <w:bottom w:val="nil"/>
              <w:right w:val="nil"/>
            </w:tcBorders>
            <w:shd w:val="clear" w:color="auto" w:fill="auto"/>
            <w:noWrap/>
            <w:vAlign w:val="bottom"/>
            <w:hideMark/>
          </w:tcPr>
          <w:p w14:paraId="3613F8AF" w14:textId="77777777" w:rsidR="00DE6BA5" w:rsidRPr="00DF07F3" w:rsidRDefault="00DE6BA5" w:rsidP="00DE6BA5">
            <w:pPr>
              <w:spacing w:line="240" w:lineRule="auto"/>
              <w:jc w:val="left"/>
              <w:rPr>
                <w:sz w:val="20"/>
              </w:rPr>
            </w:pPr>
          </w:p>
        </w:tc>
        <w:tc>
          <w:tcPr>
            <w:tcW w:w="1480" w:type="dxa"/>
            <w:tcBorders>
              <w:top w:val="nil"/>
              <w:left w:val="nil"/>
              <w:bottom w:val="nil"/>
              <w:right w:val="nil"/>
            </w:tcBorders>
            <w:shd w:val="clear" w:color="auto" w:fill="auto"/>
            <w:noWrap/>
            <w:vAlign w:val="bottom"/>
            <w:hideMark/>
          </w:tcPr>
          <w:p w14:paraId="37381250" w14:textId="77777777" w:rsidR="00DE6BA5" w:rsidRPr="00DF07F3" w:rsidRDefault="00DE6BA5" w:rsidP="00DE6BA5">
            <w:pPr>
              <w:spacing w:line="240" w:lineRule="auto"/>
              <w:jc w:val="left"/>
              <w:rPr>
                <w:sz w:val="20"/>
              </w:rPr>
            </w:pPr>
          </w:p>
        </w:tc>
      </w:tr>
    </w:tbl>
    <w:p w14:paraId="5B46D03E" w14:textId="77777777" w:rsidR="00DE6BA5" w:rsidRPr="00730B1E" w:rsidRDefault="00DE6BA5" w:rsidP="00DE6BA5">
      <w:pPr>
        <w:pStyle w:val="OdstavecASR"/>
      </w:pPr>
      <w:r w:rsidRPr="00730B1E">
        <w:t xml:space="preserve">U vrchních soudů je počet zaměstnanců ve výkonu v poměru k počtu soudců nižší než u krajských soudů, a tedy i nižší než u soudů okresních. To souvisí se složitostí vyřizované agendy a s tím, že vrchní soudy rozhodují pouze v tříčlenných senátech. Ve srovnání s předchozím rokem došlo jen k malým změnám. </w:t>
      </w:r>
    </w:p>
    <w:p w14:paraId="6BCC611E" w14:textId="77777777" w:rsidR="001C77B0" w:rsidRPr="00730B1E" w:rsidRDefault="001C77B0">
      <w:pPr>
        <w:spacing w:after="160" w:line="259" w:lineRule="auto"/>
        <w:jc w:val="left"/>
        <w:rPr>
          <w:rFonts w:eastAsia="Times New Roman"/>
          <w:b/>
          <w:bCs/>
          <w:lang w:eastAsia="cs-CZ"/>
        </w:rPr>
      </w:pPr>
      <w:r w:rsidRPr="00730B1E">
        <w:rPr>
          <w:lang w:eastAsia="cs-CZ"/>
        </w:rPr>
        <w:br w:type="page"/>
      </w:r>
    </w:p>
    <w:p w14:paraId="27F9D7BB" w14:textId="77777777" w:rsidR="008D7769" w:rsidRPr="00730B1E" w:rsidRDefault="008D7769" w:rsidP="008D7769">
      <w:pPr>
        <w:pStyle w:val="Nadpis2"/>
        <w:numPr>
          <w:ilvl w:val="1"/>
          <w:numId w:val="1"/>
        </w:numPr>
        <w:spacing w:before="120"/>
        <w:rPr>
          <w:color w:val="auto"/>
        </w:rPr>
      </w:pPr>
      <w:bookmarkStart w:id="1378" w:name="_Toc109801404"/>
      <w:bookmarkStart w:id="1379" w:name="_Toc169250869"/>
      <w:bookmarkStart w:id="1380" w:name="_Toc174080905"/>
      <w:r w:rsidRPr="00730B1E">
        <w:rPr>
          <w:color w:val="auto"/>
        </w:rPr>
        <w:lastRenderedPageBreak/>
        <w:t>Civilní a obchodní odvolací agenda</w:t>
      </w:r>
      <w:bookmarkEnd w:id="1378"/>
      <w:bookmarkEnd w:id="1379"/>
      <w:bookmarkEnd w:id="1380"/>
    </w:p>
    <w:p w14:paraId="0526E091" w14:textId="77777777" w:rsidR="00DE6BA5" w:rsidRPr="00730B1E" w:rsidRDefault="00DE6BA5" w:rsidP="00DE6BA5">
      <w:pPr>
        <w:pStyle w:val="OdstavecASR"/>
      </w:pPr>
      <w:r w:rsidRPr="00730B1E">
        <w:t>Jak již bylo uvedeno, vrchní soudy nevyřizují prvostupňovou civilní a obchodní agendu. Zabývají se agendou odvolací, což jsou rejstříky Co a Cmo. Ve způsobu vedení statistik nedošlo k žádným výrazným změnám.</w:t>
      </w:r>
    </w:p>
    <w:p w14:paraId="3914F3F6" w14:textId="626F30FE" w:rsidR="00F55D6B" w:rsidRPr="00730B1E" w:rsidRDefault="00F55D6B" w:rsidP="00F55D6B">
      <w:pPr>
        <w:pStyle w:val="Nadpis3"/>
        <w:numPr>
          <w:ilvl w:val="2"/>
          <w:numId w:val="1"/>
        </w:numPr>
        <w:rPr>
          <w:color w:val="auto"/>
          <w:lang w:eastAsia="cs-CZ"/>
        </w:rPr>
      </w:pPr>
      <w:bookmarkStart w:id="1381" w:name="_Toc75952128"/>
      <w:bookmarkStart w:id="1382" w:name="_Toc106092794"/>
      <w:bookmarkStart w:id="1383" w:name="_Toc169250870"/>
      <w:bookmarkStart w:id="1384" w:name="_Toc174080906"/>
      <w:r w:rsidRPr="00730B1E">
        <w:rPr>
          <w:color w:val="auto"/>
          <w:lang w:eastAsia="cs-CZ"/>
        </w:rPr>
        <w:t>Délka řízení</w:t>
      </w:r>
      <w:bookmarkEnd w:id="1381"/>
      <w:bookmarkEnd w:id="1382"/>
      <w:bookmarkEnd w:id="1383"/>
      <w:bookmarkEnd w:id="1384"/>
    </w:p>
    <w:p w14:paraId="10A7A3ED" w14:textId="77777777" w:rsidR="00DE6BA5" w:rsidRPr="00730B1E" w:rsidRDefault="00DE6BA5" w:rsidP="00DE6BA5">
      <w:pPr>
        <w:pStyle w:val="OdstavecASR"/>
      </w:pPr>
      <w:r w:rsidRPr="00730B1E">
        <w:t>Délku řízení uvádíme v kalendářních dnech ode dne nápadu u odvolacího soudu do dne vyřízení věci odvolacím soudem. Data použitá pro výpočet délky řízení jsou očištěna stejným způsobem jako u prvostupňového řízení u krajských soudů.</w:t>
      </w:r>
    </w:p>
    <w:p w14:paraId="10329FC5" w14:textId="470B3866" w:rsidR="00DE6BA5" w:rsidRPr="00730B1E" w:rsidRDefault="00DE6BA5" w:rsidP="00DE6BA5">
      <w:pPr>
        <w:pStyle w:val="Podnadpis"/>
        <w:numPr>
          <w:ilvl w:val="0"/>
          <w:numId w:val="0"/>
        </w:numPr>
        <w:rPr>
          <w:color w:val="auto"/>
        </w:rPr>
      </w:pPr>
      <w:bookmarkStart w:id="1385" w:name="_Toc515871411"/>
      <w:bookmarkStart w:id="1386" w:name="_Toc11135142"/>
      <w:bookmarkStart w:id="1387" w:name="_Toc43841464"/>
      <w:bookmarkStart w:id="1388" w:name="_Toc75952267"/>
      <w:bookmarkStart w:id="1389" w:name="_Toc106106724"/>
      <w:bookmarkStart w:id="1390" w:name="_Toc109802048"/>
      <w:bookmarkStart w:id="1391" w:name="_Toc144104198"/>
      <w:bookmarkStart w:id="1392" w:name="_Toc169251011"/>
      <w:bookmarkStart w:id="1393" w:name="_Toc17408069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92</w:t>
      </w:r>
      <w:r w:rsidRPr="00730B1E">
        <w:rPr>
          <w:color w:val="auto"/>
        </w:rPr>
        <w:fldChar w:fldCharType="end"/>
      </w:r>
      <w:r w:rsidRPr="00730B1E">
        <w:rPr>
          <w:color w:val="auto"/>
        </w:rPr>
        <w:t>: VS – délka civilního odvolacího řízení u VS v letech 2010–20</w:t>
      </w:r>
      <w:bookmarkEnd w:id="1385"/>
      <w:bookmarkEnd w:id="1386"/>
      <w:bookmarkEnd w:id="1387"/>
      <w:r w:rsidRPr="00730B1E">
        <w:rPr>
          <w:color w:val="auto"/>
        </w:rPr>
        <w:t>2</w:t>
      </w:r>
      <w:bookmarkEnd w:id="1388"/>
      <w:bookmarkEnd w:id="1389"/>
      <w:bookmarkEnd w:id="1390"/>
      <w:r w:rsidRPr="00730B1E">
        <w:rPr>
          <w:color w:val="auto"/>
        </w:rPr>
        <w:t>2</w:t>
      </w:r>
      <w:bookmarkEnd w:id="1391"/>
      <w:bookmarkEnd w:id="1392"/>
      <w:bookmarkEnd w:id="1393"/>
    </w:p>
    <w:p w14:paraId="44D8B549" w14:textId="2DAD9321" w:rsidR="00DE6BA5" w:rsidRPr="00730B1E" w:rsidRDefault="00DE6BA5" w:rsidP="00DE6BA5">
      <w:pPr>
        <w:rPr>
          <w:lang w:eastAsia="cs-CZ"/>
        </w:rPr>
      </w:pPr>
      <w:r w:rsidRPr="00730B1E">
        <w:rPr>
          <w:noProof/>
          <w:lang w:eastAsia="cs-CZ"/>
        </w:rPr>
        <w:drawing>
          <wp:inline distT="0" distB="0" distL="0" distR="0" wp14:anchorId="46485936" wp14:editId="06C0CE0E">
            <wp:extent cx="5029200" cy="3657600"/>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60F660A" w14:textId="77777777" w:rsidR="000116B0" w:rsidRPr="00730B1E" w:rsidRDefault="000116B0" w:rsidP="00DE6BA5">
      <w:pPr>
        <w:pStyle w:val="OdstavecASR"/>
      </w:pPr>
    </w:p>
    <w:p w14:paraId="6459C7A1" w14:textId="02E238F8" w:rsidR="00DE6BA5" w:rsidRPr="00730B1E" w:rsidRDefault="000116B0" w:rsidP="00DE6BA5">
      <w:pPr>
        <w:pStyle w:val="OdstavecASR"/>
      </w:pPr>
      <w:r w:rsidRPr="00730B1E">
        <w:t xml:space="preserve">Z grafu je patrné, že délky řízení u VS Olomouc jsou výrazně nižší než délky řízení u VS Praha. </w:t>
      </w:r>
      <w:r w:rsidR="00DE6BA5" w:rsidRPr="00730B1E">
        <w:t>Graf také ukazuje zajímavý jev, kdy medián a 90. percentil u VS v Olomouci jsou celkem stabilní, zatímco průměr kolísá. Tento jev se v extrémní podobě projevil v letech 2021 a 2022, kdy výkyv průměru byl tak velký, že průměr je na úrovni percentilu 90. Tento ze statistického hlediska zajímavý stav je dán přítomností extrémních hodnot. V těchto letech se totiž do statistik promítlo ukončení několika extrémně dlouhých řízení, která byla dlouho přerušena z důvodu konkur</w:t>
      </w:r>
      <w:r w:rsidR="00280D76" w:rsidRPr="00730B1E">
        <w:t>s</w:t>
      </w:r>
      <w:r w:rsidR="00DE6BA5" w:rsidRPr="00730B1E">
        <w:t>u.</w:t>
      </w:r>
    </w:p>
    <w:p w14:paraId="0C13881F" w14:textId="24F4C35A" w:rsidR="00DE6BA5" w:rsidRPr="00730B1E" w:rsidRDefault="000116B0" w:rsidP="00DE6BA5">
      <w:pPr>
        <w:rPr>
          <w:lang w:eastAsia="cs-CZ"/>
        </w:rPr>
      </w:pPr>
      <w:r w:rsidRPr="00730B1E">
        <w:rPr>
          <w:lang w:eastAsia="cs-CZ"/>
        </w:rPr>
        <w:t>V roce 2023 oba soudy vykázaly nízké hodnoty v porovná</w:t>
      </w:r>
      <w:r w:rsidR="00280D76" w:rsidRPr="00730B1E">
        <w:rPr>
          <w:lang w:eastAsia="cs-CZ"/>
        </w:rPr>
        <w:t>ní</w:t>
      </w:r>
      <w:r w:rsidRPr="00730B1E">
        <w:rPr>
          <w:lang w:eastAsia="cs-CZ"/>
        </w:rPr>
        <w:t xml:space="preserve"> s předchozími lety. Medián je u obou dokonce nejnižší za sledované období. Zvlášť u VS v Praze to může být náznak zlepšování situace v agendě, kdy se do délek řízení promítl trvalý pokles v počtu nevyřízených věcí (viz další podkapitola).</w:t>
      </w:r>
    </w:p>
    <w:p w14:paraId="2A4EFF44" w14:textId="3E6654C6" w:rsidR="000116B0" w:rsidRPr="00730B1E" w:rsidRDefault="000116B0" w:rsidP="000116B0">
      <w:pPr>
        <w:pStyle w:val="OdstavecASR"/>
      </w:pPr>
      <w:r w:rsidRPr="00730B1E">
        <w:t xml:space="preserve">V histogramu níže srovnáváme délky řízení. Opět vidíme zcela jasný rozdíl mezi oběma soudy. Graf například ukazuje, že podíl věcí vyřízených do 75 dnů je u VS v Olomouci více než dvojnásobný ve srovnání s VS v Praze. </w:t>
      </w:r>
    </w:p>
    <w:p w14:paraId="33A3AE71" w14:textId="2426A746" w:rsidR="000116B0" w:rsidRPr="00730B1E" w:rsidRDefault="000116B0" w:rsidP="000116B0">
      <w:pPr>
        <w:pStyle w:val="Podnadpis"/>
        <w:rPr>
          <w:color w:val="auto"/>
        </w:rPr>
      </w:pPr>
      <w:bookmarkStart w:id="1394" w:name="_Toc515871412"/>
      <w:bookmarkStart w:id="1395" w:name="_Toc11135143"/>
      <w:bookmarkStart w:id="1396" w:name="_Toc43841465"/>
      <w:bookmarkStart w:id="1397" w:name="_Toc75952268"/>
      <w:bookmarkStart w:id="1398" w:name="_Toc106106725"/>
      <w:bookmarkStart w:id="1399" w:name="_Toc109802049"/>
      <w:bookmarkStart w:id="1400" w:name="_Toc144104199"/>
      <w:bookmarkStart w:id="1401" w:name="_Toc169251012"/>
      <w:bookmarkStart w:id="1402" w:name="_Toc174080698"/>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93</w:t>
      </w:r>
      <w:r w:rsidRPr="00730B1E">
        <w:rPr>
          <w:color w:val="auto"/>
        </w:rPr>
        <w:fldChar w:fldCharType="end"/>
      </w:r>
      <w:r w:rsidRPr="00730B1E">
        <w:rPr>
          <w:color w:val="auto"/>
        </w:rPr>
        <w:t>: VS – distribuce délek civilního odvolacího řízení</w:t>
      </w:r>
      <w:bookmarkEnd w:id="1394"/>
      <w:bookmarkEnd w:id="1395"/>
      <w:bookmarkEnd w:id="1396"/>
      <w:bookmarkEnd w:id="1397"/>
      <w:bookmarkEnd w:id="1398"/>
      <w:bookmarkEnd w:id="1399"/>
      <w:bookmarkEnd w:id="1400"/>
      <w:bookmarkEnd w:id="1401"/>
      <w:bookmarkEnd w:id="1402"/>
    </w:p>
    <w:p w14:paraId="0F3CCB46" w14:textId="73C7431B" w:rsidR="000116B0" w:rsidRPr="00730B1E" w:rsidRDefault="009E1116" w:rsidP="00DE6BA5">
      <w:pPr>
        <w:rPr>
          <w:lang w:eastAsia="cs-CZ"/>
        </w:rPr>
      </w:pPr>
      <w:r w:rsidRPr="00730B1E">
        <w:rPr>
          <w:noProof/>
          <w:lang w:eastAsia="cs-CZ"/>
        </w:rPr>
        <w:drawing>
          <wp:inline distT="0" distB="0" distL="0" distR="0" wp14:anchorId="16BC8E0B" wp14:editId="787D237C">
            <wp:extent cx="5029200" cy="3657600"/>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837C433" w14:textId="5D6B24F1" w:rsidR="008430BD" w:rsidRPr="00730B1E" w:rsidRDefault="008430BD" w:rsidP="008430BD">
      <w:pPr>
        <w:pStyle w:val="Nadpis3"/>
        <w:numPr>
          <w:ilvl w:val="2"/>
          <w:numId w:val="1"/>
        </w:numPr>
        <w:rPr>
          <w:color w:val="auto"/>
          <w:lang w:eastAsia="cs-CZ"/>
        </w:rPr>
      </w:pPr>
      <w:bookmarkStart w:id="1403" w:name="_Toc515871283"/>
      <w:bookmarkStart w:id="1404" w:name="_Toc106092795"/>
      <w:bookmarkStart w:id="1405" w:name="_Toc169250871"/>
      <w:bookmarkStart w:id="1406" w:name="_Toc174080907"/>
      <w:r w:rsidRPr="00730B1E">
        <w:rPr>
          <w:color w:val="auto"/>
          <w:lang w:eastAsia="cs-CZ"/>
        </w:rPr>
        <w:t>Vyřizování věcí</w:t>
      </w:r>
      <w:bookmarkEnd w:id="1403"/>
      <w:bookmarkEnd w:id="1404"/>
      <w:bookmarkEnd w:id="1405"/>
      <w:bookmarkEnd w:id="1406"/>
    </w:p>
    <w:p w14:paraId="2CA10D65" w14:textId="16ED75BC" w:rsidR="009E1116" w:rsidRPr="00730B1E" w:rsidRDefault="009E1116" w:rsidP="009E1116">
      <w:pPr>
        <w:pStyle w:val="Podnadpis"/>
        <w:numPr>
          <w:ilvl w:val="0"/>
          <w:numId w:val="0"/>
        </w:numPr>
        <w:rPr>
          <w:color w:val="auto"/>
        </w:rPr>
      </w:pPr>
      <w:bookmarkStart w:id="1407" w:name="_Ref511821018"/>
      <w:bookmarkStart w:id="1408" w:name="_Toc515871413"/>
      <w:bookmarkStart w:id="1409" w:name="_Toc11135144"/>
      <w:bookmarkStart w:id="1410" w:name="_Toc43841466"/>
      <w:bookmarkStart w:id="1411" w:name="_Toc75952269"/>
      <w:bookmarkStart w:id="1412" w:name="_Toc106106726"/>
      <w:bookmarkStart w:id="1413" w:name="_Toc109802050"/>
      <w:bookmarkStart w:id="1414" w:name="_Toc144104200"/>
      <w:bookmarkStart w:id="1415" w:name="_Toc169251013"/>
      <w:bookmarkStart w:id="1416" w:name="_Toc174080699"/>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94</w:t>
      </w:r>
      <w:r w:rsidRPr="00730B1E">
        <w:rPr>
          <w:color w:val="auto"/>
        </w:rPr>
        <w:fldChar w:fldCharType="end"/>
      </w:r>
      <w:bookmarkEnd w:id="1407"/>
      <w:r w:rsidRPr="00730B1E">
        <w:rPr>
          <w:color w:val="auto"/>
        </w:rPr>
        <w:t>: VS – vyřizování odvolacích civilních věcí v letech 2015–20</w:t>
      </w:r>
      <w:bookmarkEnd w:id="1408"/>
      <w:bookmarkEnd w:id="1409"/>
      <w:bookmarkEnd w:id="1410"/>
      <w:r w:rsidRPr="00730B1E">
        <w:rPr>
          <w:color w:val="auto"/>
        </w:rPr>
        <w:t>2</w:t>
      </w:r>
      <w:bookmarkEnd w:id="1411"/>
      <w:bookmarkEnd w:id="1412"/>
      <w:bookmarkEnd w:id="1413"/>
      <w:bookmarkEnd w:id="1414"/>
      <w:r w:rsidRPr="00730B1E">
        <w:rPr>
          <w:color w:val="auto"/>
        </w:rPr>
        <w:t>3</w:t>
      </w:r>
      <w:bookmarkEnd w:id="1415"/>
      <w:bookmarkEnd w:id="1416"/>
    </w:p>
    <w:p w14:paraId="2C3ED7F7" w14:textId="065DA987" w:rsidR="009E1116" w:rsidRPr="00730B1E" w:rsidRDefault="009E1116" w:rsidP="009E1116">
      <w:pPr>
        <w:rPr>
          <w:lang w:val="en-GB"/>
        </w:rPr>
      </w:pPr>
      <w:r w:rsidRPr="00730B1E">
        <w:rPr>
          <w:noProof/>
          <w:lang w:eastAsia="cs-CZ"/>
        </w:rPr>
        <w:drawing>
          <wp:inline distT="0" distB="0" distL="0" distR="0" wp14:anchorId="6B11AB7E" wp14:editId="19FFD366">
            <wp:extent cx="5029200" cy="3657600"/>
            <wp:effectExtent l="0" t="0" r="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FE14842" w14:textId="378F60CC" w:rsidR="00DF6AB7" w:rsidRPr="00730B1E" w:rsidRDefault="00DF6AB7" w:rsidP="00DF6AB7">
      <w:pPr>
        <w:pStyle w:val="OdstavecASR"/>
      </w:pPr>
      <w:r w:rsidRPr="00730B1E">
        <w:t xml:space="preserve">Na první pohled zaujme jasný pokles nápadu u obou soudů a strmý pokles nevyřízených věcí u VS v Praze v celém sledovaném období. Od roku 2012 do roku 2020 klesl počet příchozích věcí u obou soudů více než o polovinu – u VS v Praze o 58 %, u VS v Olomouci dokonce o 68 %. </w:t>
      </w:r>
      <w:r w:rsidRPr="00730B1E">
        <w:lastRenderedPageBreak/>
        <w:t>V roce 2021 pokles u VS v Praze zpomalil, ale stále trval. U VS v Olomouci počet příchozích věcí víceméně stagnoval. V roce 2022 se počet příchozích věcí u obou vrchních soudů víceméně stabilizoval, přičemž počty nevyřízených věcí dále klesaly, u VS v Praze více než u VS v Olomouci, kde zřejmě již došlo ke stabilizaci počtu nevyřízených věcí na úrovni, kterou nelze již významně snižovat. V roce 2023 došlo k dalšímu mírnému poklesu ve všech ukazatelích.</w:t>
      </w:r>
    </w:p>
    <w:p w14:paraId="7411CE1D" w14:textId="6212B3A9" w:rsidR="008430BD" w:rsidRPr="00730B1E" w:rsidRDefault="008430BD" w:rsidP="008430BD">
      <w:pPr>
        <w:pStyle w:val="Nadpis3"/>
        <w:numPr>
          <w:ilvl w:val="2"/>
          <w:numId w:val="1"/>
        </w:numPr>
        <w:rPr>
          <w:color w:val="auto"/>
          <w:lang w:eastAsia="cs-CZ"/>
        </w:rPr>
      </w:pPr>
      <w:bookmarkStart w:id="1417" w:name="_Toc515871284"/>
      <w:bookmarkStart w:id="1418" w:name="_Toc106092796"/>
      <w:bookmarkStart w:id="1419" w:name="_Toc169250872"/>
      <w:bookmarkStart w:id="1420" w:name="_Toc174080908"/>
      <w:r w:rsidRPr="00730B1E">
        <w:rPr>
          <w:color w:val="auto"/>
          <w:lang w:eastAsia="cs-CZ"/>
        </w:rPr>
        <w:t>Vyřizování v přepočtu na soudce</w:t>
      </w:r>
      <w:bookmarkEnd w:id="1417"/>
      <w:bookmarkEnd w:id="1418"/>
      <w:bookmarkEnd w:id="1419"/>
      <w:bookmarkEnd w:id="1420"/>
    </w:p>
    <w:p w14:paraId="68FC972F" w14:textId="7BFB2027" w:rsidR="00DF6AB7" w:rsidRPr="00730B1E" w:rsidRDefault="00DF6AB7" w:rsidP="00DF6AB7">
      <w:pPr>
        <w:pStyle w:val="OdstavecASR"/>
      </w:pPr>
      <w:r w:rsidRPr="00730B1E">
        <w:t>Tabulka níže naznačuje, že soudci u VS v Praze jsou zatíženější než soudci u VS v Olomouci. Z vyššího nápadu na soudce logicky plyne více vyřízených věcí na soudce. Je třeba zdůraznit, že se jedná pouze o velmi přibližné srovnání. Na civilním úseku vrchních soudů se vyřizuje i jiná agenda než pouze rejstříky Co a Cmo. Záleží také na zapojení dalších soudních zaměstnanců ve výkonu i na poměru počtu věcí v rejstříku Co k počtu věcí v rejstříku Cmo. Počet nevyřízených věcí na jednoho soudce je ale u VS v Praze zcela bezpochyby vyšší než u soudu v Olomouci, což plyne především z dřívějších let. Rozdíl je opravdu velký – u VS v Praze připadá na soudce asi čtyřnásobek nevyřízených věcí oproti VS v Olomouci</w:t>
      </w:r>
      <w:r w:rsidR="00280D76" w:rsidRPr="00730B1E">
        <w:t>,</w:t>
      </w:r>
      <w:r w:rsidRPr="00730B1E">
        <w:t xml:space="preserve"> </w:t>
      </w:r>
      <w:r w:rsidR="00280D76" w:rsidRPr="00730B1E">
        <w:t>v</w:t>
      </w:r>
      <w:r w:rsidRPr="00730B1E">
        <w:t> předchozích letech to ale bylo výrazně více. Počet nevyřízených věcí na soudce u VS v Praze totiž postupně výrazně klesl, což plyne z poklesu celkového počtu nevyřízených věcí, který (alespoň částečně) zase plyne z poklesu v počtu příchozích věcí.</w:t>
      </w:r>
    </w:p>
    <w:p w14:paraId="305DD420" w14:textId="2818A2F4" w:rsidR="00DF6AB7" w:rsidRPr="00730B1E" w:rsidRDefault="00DF6AB7" w:rsidP="00DF6AB7">
      <w:pPr>
        <w:pStyle w:val="Podnadpis"/>
        <w:numPr>
          <w:ilvl w:val="0"/>
          <w:numId w:val="0"/>
        </w:numPr>
        <w:rPr>
          <w:color w:val="auto"/>
        </w:rPr>
      </w:pPr>
      <w:bookmarkStart w:id="1421" w:name="_Toc106106838"/>
      <w:bookmarkStart w:id="1422" w:name="_Toc109802161"/>
      <w:bookmarkStart w:id="1423" w:name="_Toc144104320"/>
      <w:bookmarkStart w:id="1424" w:name="_Toc169251134"/>
      <w:bookmarkStart w:id="1425" w:name="_Toc174080820"/>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77</w:t>
      </w:r>
      <w:r w:rsidRPr="00730B1E">
        <w:rPr>
          <w:color w:val="auto"/>
        </w:rPr>
        <w:fldChar w:fldCharType="end"/>
      </w:r>
      <w:r w:rsidRPr="00730B1E">
        <w:rPr>
          <w:color w:val="auto"/>
        </w:rPr>
        <w:t>: VS – vyřizování odvolacích civilních věcí na evidenčního soudce</w:t>
      </w:r>
      <w:bookmarkEnd w:id="1421"/>
      <w:bookmarkEnd w:id="1422"/>
      <w:bookmarkEnd w:id="1423"/>
      <w:bookmarkEnd w:id="1424"/>
      <w:bookmarkEnd w:id="1425"/>
    </w:p>
    <w:tbl>
      <w:tblPr>
        <w:tblW w:w="7121" w:type="dxa"/>
        <w:tblCellMar>
          <w:left w:w="70" w:type="dxa"/>
          <w:right w:w="70" w:type="dxa"/>
        </w:tblCellMar>
        <w:tblLook w:val="04A0" w:firstRow="1" w:lastRow="0" w:firstColumn="1" w:lastColumn="0" w:noHBand="0" w:noVBand="1"/>
      </w:tblPr>
      <w:tblGrid>
        <w:gridCol w:w="2080"/>
        <w:gridCol w:w="2212"/>
        <w:gridCol w:w="1239"/>
        <w:gridCol w:w="1590"/>
      </w:tblGrid>
      <w:tr w:rsidR="00B64E96" w:rsidRPr="00730B1E" w14:paraId="2329E4F2" w14:textId="77777777" w:rsidTr="00DF6AB7">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6514F1B9" w14:textId="77777777" w:rsidR="00DF6AB7" w:rsidRPr="00730B1E" w:rsidRDefault="00DF6AB7" w:rsidP="00DF6AB7">
            <w:pPr>
              <w:spacing w:line="240" w:lineRule="auto"/>
              <w:jc w:val="center"/>
              <w:rPr>
                <w:rFonts w:eastAsia="Times New Roman"/>
                <w:b/>
                <w:bCs/>
                <w:szCs w:val="24"/>
                <w:lang w:eastAsia="cs-CZ"/>
              </w:rPr>
            </w:pPr>
            <w:r w:rsidRPr="00730B1E">
              <w:rPr>
                <w:rFonts w:eastAsia="Times New Roman"/>
                <w:b/>
                <w:bCs/>
                <w:szCs w:val="24"/>
                <w:lang w:eastAsia="cs-CZ"/>
              </w:rPr>
              <w:t>Soud</w:t>
            </w:r>
          </w:p>
        </w:tc>
        <w:tc>
          <w:tcPr>
            <w:tcW w:w="5041" w:type="dxa"/>
            <w:gridSpan w:val="3"/>
            <w:tcBorders>
              <w:top w:val="double" w:sz="6" w:space="0" w:color="auto"/>
              <w:left w:val="nil"/>
              <w:bottom w:val="nil"/>
              <w:right w:val="nil"/>
            </w:tcBorders>
            <w:shd w:val="clear" w:color="auto" w:fill="auto"/>
            <w:noWrap/>
            <w:vAlign w:val="center"/>
            <w:hideMark/>
          </w:tcPr>
          <w:p w14:paraId="6F8A2E94" w14:textId="77777777" w:rsidR="00DF6AB7" w:rsidRPr="00730B1E" w:rsidRDefault="00DF6AB7" w:rsidP="00DF6AB7">
            <w:pPr>
              <w:spacing w:line="240" w:lineRule="auto"/>
              <w:jc w:val="center"/>
              <w:rPr>
                <w:rFonts w:eastAsia="Times New Roman"/>
                <w:b/>
                <w:bCs/>
                <w:szCs w:val="24"/>
                <w:lang w:eastAsia="cs-CZ"/>
              </w:rPr>
            </w:pPr>
            <w:r w:rsidRPr="00730B1E">
              <w:rPr>
                <w:rFonts w:eastAsia="Times New Roman"/>
                <w:b/>
                <w:bCs/>
                <w:szCs w:val="24"/>
                <w:lang w:eastAsia="cs-CZ"/>
              </w:rPr>
              <w:t>Počet věcí</w:t>
            </w:r>
          </w:p>
        </w:tc>
      </w:tr>
      <w:tr w:rsidR="00B64E96" w:rsidRPr="00730B1E" w14:paraId="464F8762" w14:textId="77777777" w:rsidTr="00DF6AB7">
        <w:trPr>
          <w:trHeight w:val="330"/>
        </w:trPr>
        <w:tc>
          <w:tcPr>
            <w:tcW w:w="2080" w:type="dxa"/>
            <w:vMerge/>
            <w:tcBorders>
              <w:top w:val="double" w:sz="6" w:space="0" w:color="auto"/>
              <w:left w:val="nil"/>
              <w:bottom w:val="double" w:sz="6" w:space="0" w:color="000000"/>
              <w:right w:val="nil"/>
            </w:tcBorders>
            <w:vAlign w:val="center"/>
            <w:hideMark/>
          </w:tcPr>
          <w:p w14:paraId="1940D116" w14:textId="77777777" w:rsidR="00DF6AB7" w:rsidRPr="00730B1E" w:rsidRDefault="00DF6AB7" w:rsidP="00DF6AB7">
            <w:pPr>
              <w:spacing w:line="240" w:lineRule="auto"/>
              <w:jc w:val="left"/>
              <w:rPr>
                <w:rFonts w:eastAsia="Times New Roman"/>
                <w:b/>
                <w:bCs/>
                <w:szCs w:val="24"/>
                <w:lang w:eastAsia="cs-CZ"/>
              </w:rPr>
            </w:pPr>
          </w:p>
        </w:tc>
        <w:tc>
          <w:tcPr>
            <w:tcW w:w="2212" w:type="dxa"/>
            <w:tcBorders>
              <w:top w:val="nil"/>
              <w:left w:val="nil"/>
              <w:bottom w:val="double" w:sz="6" w:space="0" w:color="auto"/>
              <w:right w:val="nil"/>
            </w:tcBorders>
            <w:shd w:val="clear" w:color="auto" w:fill="auto"/>
            <w:noWrap/>
            <w:vAlign w:val="center"/>
            <w:hideMark/>
          </w:tcPr>
          <w:p w14:paraId="66A2032B" w14:textId="6E005781" w:rsidR="00DF6AB7" w:rsidRPr="00730B1E" w:rsidRDefault="00DF6AB7" w:rsidP="00DF6AB7">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239" w:type="dxa"/>
            <w:tcBorders>
              <w:top w:val="nil"/>
              <w:left w:val="nil"/>
              <w:bottom w:val="double" w:sz="6" w:space="0" w:color="auto"/>
              <w:right w:val="nil"/>
            </w:tcBorders>
            <w:shd w:val="clear" w:color="auto" w:fill="auto"/>
            <w:noWrap/>
            <w:vAlign w:val="center"/>
            <w:hideMark/>
          </w:tcPr>
          <w:p w14:paraId="70608214" w14:textId="77777777" w:rsidR="00DF6AB7" w:rsidRPr="00730B1E" w:rsidRDefault="00DF6AB7" w:rsidP="00DF6AB7">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590" w:type="dxa"/>
            <w:tcBorders>
              <w:top w:val="nil"/>
              <w:left w:val="nil"/>
              <w:bottom w:val="double" w:sz="6" w:space="0" w:color="auto"/>
              <w:right w:val="nil"/>
            </w:tcBorders>
            <w:shd w:val="clear" w:color="auto" w:fill="auto"/>
            <w:noWrap/>
            <w:vAlign w:val="center"/>
            <w:hideMark/>
          </w:tcPr>
          <w:p w14:paraId="416B23F7" w14:textId="77777777" w:rsidR="00DF6AB7" w:rsidRPr="00730B1E" w:rsidRDefault="00DF6AB7" w:rsidP="00DF6AB7">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1B582287" w14:textId="77777777" w:rsidTr="00DF6AB7">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74098D78" w14:textId="77777777" w:rsidR="00DF6AB7" w:rsidRPr="00730B1E" w:rsidRDefault="00DF6AB7" w:rsidP="00DF6AB7">
            <w:pPr>
              <w:spacing w:line="240" w:lineRule="auto"/>
              <w:jc w:val="left"/>
              <w:rPr>
                <w:rFonts w:eastAsia="Times New Roman"/>
                <w:szCs w:val="24"/>
                <w:lang w:eastAsia="cs-CZ"/>
              </w:rPr>
            </w:pPr>
            <w:r w:rsidRPr="00730B1E">
              <w:rPr>
                <w:rFonts w:eastAsia="Times New Roman"/>
                <w:szCs w:val="24"/>
                <w:lang w:eastAsia="cs-CZ"/>
              </w:rPr>
              <w:t>VS Praha</w:t>
            </w:r>
          </w:p>
        </w:tc>
        <w:tc>
          <w:tcPr>
            <w:tcW w:w="2212" w:type="dxa"/>
            <w:tcBorders>
              <w:top w:val="single" w:sz="4" w:space="0" w:color="auto"/>
              <w:left w:val="nil"/>
              <w:bottom w:val="nil"/>
              <w:right w:val="nil"/>
            </w:tcBorders>
            <w:shd w:val="clear" w:color="auto" w:fill="auto"/>
            <w:noWrap/>
            <w:vAlign w:val="bottom"/>
            <w:hideMark/>
          </w:tcPr>
          <w:p w14:paraId="2D8530C0" w14:textId="69324CE8" w:rsidR="00DF6AB7" w:rsidRPr="00730B1E" w:rsidRDefault="00DF6AB7" w:rsidP="00DF6AB7">
            <w:pPr>
              <w:spacing w:line="240" w:lineRule="auto"/>
              <w:jc w:val="center"/>
              <w:rPr>
                <w:rFonts w:eastAsia="Times New Roman"/>
                <w:szCs w:val="24"/>
                <w:lang w:eastAsia="cs-CZ"/>
              </w:rPr>
            </w:pPr>
            <w:r w:rsidRPr="00730B1E">
              <w:rPr>
                <w:rFonts w:eastAsia="Times New Roman"/>
                <w:szCs w:val="24"/>
                <w:lang w:eastAsia="cs-CZ"/>
              </w:rPr>
              <w:t>54,96</w:t>
            </w:r>
          </w:p>
        </w:tc>
        <w:tc>
          <w:tcPr>
            <w:tcW w:w="1239" w:type="dxa"/>
            <w:tcBorders>
              <w:top w:val="single" w:sz="4" w:space="0" w:color="auto"/>
              <w:left w:val="nil"/>
              <w:bottom w:val="nil"/>
              <w:right w:val="nil"/>
            </w:tcBorders>
            <w:shd w:val="clear" w:color="auto" w:fill="auto"/>
            <w:noWrap/>
            <w:vAlign w:val="bottom"/>
            <w:hideMark/>
          </w:tcPr>
          <w:p w14:paraId="69AC0ED6" w14:textId="7E14CA48" w:rsidR="00DF6AB7" w:rsidRPr="00730B1E" w:rsidRDefault="00DF6AB7" w:rsidP="00DF6AB7">
            <w:pPr>
              <w:spacing w:line="240" w:lineRule="auto"/>
              <w:jc w:val="center"/>
              <w:rPr>
                <w:rFonts w:eastAsia="Times New Roman"/>
                <w:szCs w:val="24"/>
                <w:lang w:eastAsia="cs-CZ"/>
              </w:rPr>
            </w:pPr>
            <w:r w:rsidRPr="00730B1E">
              <w:rPr>
                <w:rFonts w:eastAsia="Times New Roman"/>
                <w:szCs w:val="24"/>
                <w:lang w:eastAsia="cs-CZ"/>
              </w:rPr>
              <w:t>57,41</w:t>
            </w:r>
          </w:p>
        </w:tc>
        <w:tc>
          <w:tcPr>
            <w:tcW w:w="1590" w:type="dxa"/>
            <w:tcBorders>
              <w:top w:val="single" w:sz="4" w:space="0" w:color="auto"/>
              <w:left w:val="nil"/>
              <w:bottom w:val="nil"/>
              <w:right w:val="nil"/>
            </w:tcBorders>
            <w:shd w:val="clear" w:color="auto" w:fill="auto"/>
            <w:noWrap/>
            <w:vAlign w:val="bottom"/>
            <w:hideMark/>
          </w:tcPr>
          <w:p w14:paraId="08C226D3" w14:textId="057AD66A" w:rsidR="00DF6AB7" w:rsidRPr="00730B1E" w:rsidRDefault="00DF6AB7" w:rsidP="00DF6AB7">
            <w:pPr>
              <w:spacing w:line="240" w:lineRule="auto"/>
              <w:jc w:val="center"/>
              <w:rPr>
                <w:rFonts w:eastAsia="Times New Roman"/>
                <w:szCs w:val="24"/>
                <w:lang w:eastAsia="cs-CZ"/>
              </w:rPr>
            </w:pPr>
            <w:r w:rsidRPr="00730B1E">
              <w:rPr>
                <w:rFonts w:eastAsia="Times New Roman"/>
                <w:szCs w:val="24"/>
                <w:lang w:eastAsia="cs-CZ"/>
              </w:rPr>
              <w:t>17,94</w:t>
            </w:r>
          </w:p>
        </w:tc>
      </w:tr>
      <w:tr w:rsidR="00B64E96" w:rsidRPr="00730B1E" w14:paraId="29C04C90" w14:textId="77777777" w:rsidTr="00DF6AB7">
        <w:trPr>
          <w:trHeight w:val="330"/>
        </w:trPr>
        <w:tc>
          <w:tcPr>
            <w:tcW w:w="2080" w:type="dxa"/>
            <w:tcBorders>
              <w:top w:val="nil"/>
              <w:left w:val="nil"/>
              <w:bottom w:val="nil"/>
              <w:right w:val="nil"/>
            </w:tcBorders>
            <w:shd w:val="clear" w:color="auto" w:fill="auto"/>
            <w:noWrap/>
            <w:vAlign w:val="bottom"/>
            <w:hideMark/>
          </w:tcPr>
          <w:p w14:paraId="1F315F86" w14:textId="77777777" w:rsidR="00DF6AB7" w:rsidRPr="00730B1E" w:rsidRDefault="00DF6AB7" w:rsidP="00DF6AB7">
            <w:pPr>
              <w:spacing w:line="240" w:lineRule="auto"/>
              <w:jc w:val="left"/>
              <w:rPr>
                <w:rFonts w:eastAsia="Times New Roman"/>
                <w:szCs w:val="24"/>
                <w:lang w:eastAsia="cs-CZ"/>
              </w:rPr>
            </w:pPr>
            <w:r w:rsidRPr="00730B1E">
              <w:rPr>
                <w:rFonts w:eastAsia="Times New Roman"/>
                <w:szCs w:val="24"/>
                <w:lang w:eastAsia="cs-CZ"/>
              </w:rPr>
              <w:t>VS Olomouc</w:t>
            </w:r>
          </w:p>
        </w:tc>
        <w:tc>
          <w:tcPr>
            <w:tcW w:w="2212" w:type="dxa"/>
            <w:tcBorders>
              <w:top w:val="single" w:sz="4" w:space="0" w:color="auto"/>
              <w:left w:val="nil"/>
              <w:bottom w:val="nil"/>
              <w:right w:val="nil"/>
            </w:tcBorders>
            <w:shd w:val="clear" w:color="auto" w:fill="auto"/>
            <w:noWrap/>
            <w:vAlign w:val="bottom"/>
            <w:hideMark/>
          </w:tcPr>
          <w:p w14:paraId="442A6049" w14:textId="5B872C2E" w:rsidR="00DF6AB7" w:rsidRPr="00730B1E" w:rsidRDefault="00DF6AB7" w:rsidP="00DF6AB7">
            <w:pPr>
              <w:spacing w:line="240" w:lineRule="auto"/>
              <w:jc w:val="center"/>
              <w:rPr>
                <w:rFonts w:eastAsia="Times New Roman"/>
                <w:szCs w:val="24"/>
                <w:lang w:eastAsia="cs-CZ"/>
              </w:rPr>
            </w:pPr>
            <w:r w:rsidRPr="00730B1E">
              <w:rPr>
                <w:rFonts w:eastAsia="Times New Roman"/>
                <w:szCs w:val="24"/>
                <w:lang w:eastAsia="cs-CZ"/>
              </w:rPr>
              <w:t>34,90</w:t>
            </w:r>
          </w:p>
        </w:tc>
        <w:tc>
          <w:tcPr>
            <w:tcW w:w="1239" w:type="dxa"/>
            <w:tcBorders>
              <w:top w:val="single" w:sz="4" w:space="0" w:color="auto"/>
              <w:left w:val="nil"/>
              <w:bottom w:val="nil"/>
              <w:right w:val="nil"/>
            </w:tcBorders>
            <w:shd w:val="clear" w:color="auto" w:fill="auto"/>
            <w:noWrap/>
            <w:vAlign w:val="bottom"/>
            <w:hideMark/>
          </w:tcPr>
          <w:p w14:paraId="28BCAABC" w14:textId="5FF698AA" w:rsidR="00DF6AB7" w:rsidRPr="00730B1E" w:rsidRDefault="00DF6AB7" w:rsidP="00DF6AB7">
            <w:pPr>
              <w:spacing w:line="240" w:lineRule="auto"/>
              <w:jc w:val="center"/>
              <w:rPr>
                <w:rFonts w:eastAsia="Times New Roman"/>
                <w:szCs w:val="24"/>
                <w:lang w:eastAsia="cs-CZ"/>
              </w:rPr>
            </w:pPr>
            <w:r w:rsidRPr="00730B1E">
              <w:rPr>
                <w:rFonts w:eastAsia="Times New Roman"/>
                <w:szCs w:val="24"/>
                <w:lang w:eastAsia="cs-CZ"/>
              </w:rPr>
              <w:t>35,95</w:t>
            </w:r>
          </w:p>
        </w:tc>
        <w:tc>
          <w:tcPr>
            <w:tcW w:w="1590" w:type="dxa"/>
            <w:tcBorders>
              <w:top w:val="single" w:sz="4" w:space="0" w:color="auto"/>
              <w:left w:val="nil"/>
              <w:bottom w:val="nil"/>
              <w:right w:val="nil"/>
            </w:tcBorders>
            <w:shd w:val="clear" w:color="auto" w:fill="auto"/>
            <w:noWrap/>
            <w:vAlign w:val="bottom"/>
            <w:hideMark/>
          </w:tcPr>
          <w:p w14:paraId="68EEBC72" w14:textId="78A72DB2" w:rsidR="00DF6AB7" w:rsidRPr="00730B1E" w:rsidRDefault="00DF6AB7" w:rsidP="00DF6AB7">
            <w:pPr>
              <w:spacing w:line="240" w:lineRule="auto"/>
              <w:jc w:val="center"/>
              <w:rPr>
                <w:rFonts w:eastAsia="Times New Roman"/>
                <w:szCs w:val="24"/>
                <w:lang w:eastAsia="cs-CZ"/>
              </w:rPr>
            </w:pPr>
            <w:r w:rsidRPr="00730B1E">
              <w:rPr>
                <w:rFonts w:eastAsia="Times New Roman"/>
                <w:szCs w:val="24"/>
                <w:lang w:eastAsia="cs-CZ"/>
              </w:rPr>
              <w:t>4,00</w:t>
            </w:r>
          </w:p>
        </w:tc>
      </w:tr>
      <w:tr w:rsidR="00B64E96" w:rsidRPr="00730B1E" w14:paraId="4B4AEB91" w14:textId="77777777" w:rsidTr="00DF6AB7">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51460069" w14:textId="77777777" w:rsidR="00DF6AB7" w:rsidRPr="00730B1E" w:rsidRDefault="00DF6AB7" w:rsidP="00DF6AB7">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2212" w:type="dxa"/>
            <w:tcBorders>
              <w:top w:val="double" w:sz="6" w:space="0" w:color="auto"/>
              <w:left w:val="nil"/>
              <w:bottom w:val="double" w:sz="6" w:space="0" w:color="auto"/>
              <w:right w:val="nil"/>
            </w:tcBorders>
            <w:shd w:val="clear" w:color="auto" w:fill="auto"/>
            <w:noWrap/>
            <w:vAlign w:val="bottom"/>
            <w:hideMark/>
          </w:tcPr>
          <w:p w14:paraId="058A9CA8" w14:textId="17F9979F" w:rsidR="00DF6AB7" w:rsidRPr="00730B1E" w:rsidRDefault="00DF6AB7" w:rsidP="00DF6AB7">
            <w:pPr>
              <w:spacing w:line="240" w:lineRule="auto"/>
              <w:jc w:val="center"/>
              <w:rPr>
                <w:rFonts w:eastAsia="Times New Roman"/>
                <w:b/>
                <w:bCs/>
                <w:szCs w:val="24"/>
                <w:lang w:eastAsia="cs-CZ"/>
              </w:rPr>
            </w:pPr>
            <w:r w:rsidRPr="00730B1E">
              <w:rPr>
                <w:rFonts w:eastAsia="Times New Roman"/>
                <w:b/>
                <w:bCs/>
                <w:szCs w:val="24"/>
                <w:lang w:eastAsia="cs-CZ"/>
              </w:rPr>
              <w:t>49,11</w:t>
            </w:r>
          </w:p>
        </w:tc>
        <w:tc>
          <w:tcPr>
            <w:tcW w:w="1239" w:type="dxa"/>
            <w:tcBorders>
              <w:top w:val="double" w:sz="6" w:space="0" w:color="auto"/>
              <w:left w:val="nil"/>
              <w:bottom w:val="double" w:sz="6" w:space="0" w:color="auto"/>
              <w:right w:val="nil"/>
            </w:tcBorders>
            <w:shd w:val="clear" w:color="auto" w:fill="auto"/>
            <w:noWrap/>
            <w:vAlign w:val="bottom"/>
            <w:hideMark/>
          </w:tcPr>
          <w:p w14:paraId="31A88AB6" w14:textId="24366B91" w:rsidR="00DF6AB7" w:rsidRPr="00730B1E" w:rsidRDefault="00DF6AB7" w:rsidP="00DF6AB7">
            <w:pPr>
              <w:spacing w:line="240" w:lineRule="auto"/>
              <w:jc w:val="center"/>
              <w:rPr>
                <w:rFonts w:eastAsia="Times New Roman"/>
                <w:b/>
                <w:bCs/>
                <w:szCs w:val="24"/>
                <w:lang w:eastAsia="cs-CZ"/>
              </w:rPr>
            </w:pPr>
            <w:r w:rsidRPr="00730B1E">
              <w:rPr>
                <w:rFonts w:eastAsia="Times New Roman"/>
                <w:b/>
                <w:bCs/>
                <w:szCs w:val="24"/>
                <w:lang w:eastAsia="cs-CZ"/>
              </w:rPr>
              <w:t>51,15</w:t>
            </w:r>
          </w:p>
        </w:tc>
        <w:tc>
          <w:tcPr>
            <w:tcW w:w="1590" w:type="dxa"/>
            <w:tcBorders>
              <w:top w:val="double" w:sz="6" w:space="0" w:color="auto"/>
              <w:left w:val="nil"/>
              <w:bottom w:val="double" w:sz="6" w:space="0" w:color="auto"/>
              <w:right w:val="nil"/>
            </w:tcBorders>
            <w:shd w:val="clear" w:color="auto" w:fill="auto"/>
            <w:noWrap/>
            <w:vAlign w:val="bottom"/>
            <w:hideMark/>
          </w:tcPr>
          <w:p w14:paraId="29DE2C01" w14:textId="062E257D" w:rsidR="00DF6AB7" w:rsidRPr="00730B1E" w:rsidRDefault="00DF6AB7" w:rsidP="00DF6AB7">
            <w:pPr>
              <w:spacing w:line="240" w:lineRule="auto"/>
              <w:jc w:val="center"/>
              <w:rPr>
                <w:rFonts w:eastAsia="Times New Roman"/>
                <w:b/>
                <w:bCs/>
                <w:szCs w:val="24"/>
                <w:lang w:eastAsia="cs-CZ"/>
              </w:rPr>
            </w:pPr>
            <w:r w:rsidRPr="00730B1E">
              <w:rPr>
                <w:rFonts w:eastAsia="Times New Roman"/>
                <w:b/>
                <w:bCs/>
                <w:szCs w:val="24"/>
                <w:lang w:eastAsia="cs-CZ"/>
              </w:rPr>
              <w:t>13,88</w:t>
            </w:r>
          </w:p>
        </w:tc>
      </w:tr>
      <w:tr w:rsidR="00B64E96" w:rsidRPr="00730B1E" w14:paraId="79A79BEA" w14:textId="77777777" w:rsidTr="00DF6AB7">
        <w:trPr>
          <w:trHeight w:val="330"/>
        </w:trPr>
        <w:tc>
          <w:tcPr>
            <w:tcW w:w="2080" w:type="dxa"/>
            <w:tcBorders>
              <w:top w:val="nil"/>
              <w:left w:val="nil"/>
              <w:bottom w:val="nil"/>
              <w:right w:val="nil"/>
            </w:tcBorders>
            <w:shd w:val="clear" w:color="auto" w:fill="auto"/>
            <w:noWrap/>
            <w:vAlign w:val="bottom"/>
            <w:hideMark/>
          </w:tcPr>
          <w:p w14:paraId="143C0547" w14:textId="77777777" w:rsidR="00DF6AB7" w:rsidRPr="00730B1E" w:rsidRDefault="00DF6AB7" w:rsidP="00DF6AB7">
            <w:pPr>
              <w:spacing w:line="240" w:lineRule="auto"/>
              <w:jc w:val="center"/>
              <w:rPr>
                <w:rFonts w:eastAsia="Times New Roman"/>
                <w:b/>
                <w:bCs/>
                <w:szCs w:val="24"/>
                <w:lang w:eastAsia="cs-CZ"/>
              </w:rPr>
            </w:pPr>
          </w:p>
        </w:tc>
        <w:tc>
          <w:tcPr>
            <w:tcW w:w="2212" w:type="dxa"/>
            <w:tcBorders>
              <w:top w:val="nil"/>
              <w:left w:val="nil"/>
              <w:bottom w:val="nil"/>
              <w:right w:val="nil"/>
            </w:tcBorders>
            <w:shd w:val="clear" w:color="auto" w:fill="auto"/>
            <w:noWrap/>
            <w:vAlign w:val="bottom"/>
            <w:hideMark/>
          </w:tcPr>
          <w:p w14:paraId="5DA321F9" w14:textId="77777777" w:rsidR="00DF6AB7" w:rsidRPr="00DF07F3" w:rsidRDefault="00DF6AB7" w:rsidP="00DF6AB7">
            <w:pPr>
              <w:spacing w:line="240" w:lineRule="auto"/>
              <w:jc w:val="left"/>
              <w:rPr>
                <w:sz w:val="20"/>
              </w:rPr>
            </w:pPr>
          </w:p>
        </w:tc>
        <w:tc>
          <w:tcPr>
            <w:tcW w:w="1239" w:type="dxa"/>
            <w:tcBorders>
              <w:top w:val="nil"/>
              <w:left w:val="nil"/>
              <w:bottom w:val="nil"/>
              <w:right w:val="nil"/>
            </w:tcBorders>
            <w:shd w:val="clear" w:color="auto" w:fill="auto"/>
            <w:noWrap/>
            <w:vAlign w:val="bottom"/>
            <w:hideMark/>
          </w:tcPr>
          <w:p w14:paraId="565B3B9A" w14:textId="77777777" w:rsidR="00DF6AB7" w:rsidRPr="00DF07F3" w:rsidRDefault="00DF6AB7" w:rsidP="00DF6AB7">
            <w:pPr>
              <w:spacing w:line="240" w:lineRule="auto"/>
              <w:jc w:val="left"/>
              <w:rPr>
                <w:sz w:val="20"/>
              </w:rPr>
            </w:pPr>
          </w:p>
        </w:tc>
        <w:tc>
          <w:tcPr>
            <w:tcW w:w="1590" w:type="dxa"/>
            <w:tcBorders>
              <w:top w:val="nil"/>
              <w:left w:val="nil"/>
              <w:bottom w:val="nil"/>
              <w:right w:val="nil"/>
            </w:tcBorders>
            <w:shd w:val="clear" w:color="auto" w:fill="auto"/>
            <w:noWrap/>
            <w:vAlign w:val="bottom"/>
            <w:hideMark/>
          </w:tcPr>
          <w:p w14:paraId="050A5D3D" w14:textId="77777777" w:rsidR="00DF6AB7" w:rsidRPr="00DF07F3" w:rsidRDefault="00DF6AB7" w:rsidP="00DF6AB7">
            <w:pPr>
              <w:spacing w:line="240" w:lineRule="auto"/>
              <w:jc w:val="left"/>
              <w:rPr>
                <w:sz w:val="20"/>
              </w:rPr>
            </w:pPr>
          </w:p>
        </w:tc>
      </w:tr>
    </w:tbl>
    <w:p w14:paraId="0C87721B" w14:textId="2F1E7588" w:rsidR="004E7C84" w:rsidRPr="00730B1E" w:rsidRDefault="004E7C84" w:rsidP="00704418">
      <w:pPr>
        <w:pStyle w:val="Nadpis3"/>
        <w:numPr>
          <w:ilvl w:val="2"/>
          <w:numId w:val="1"/>
        </w:numPr>
        <w:rPr>
          <w:color w:val="auto"/>
          <w:lang w:eastAsia="cs-CZ"/>
        </w:rPr>
      </w:pPr>
      <w:bookmarkStart w:id="1426" w:name="_Toc515871285"/>
      <w:bookmarkStart w:id="1427" w:name="_Toc106092797"/>
      <w:bookmarkStart w:id="1428" w:name="_Toc169250873"/>
      <w:bookmarkStart w:id="1429" w:name="_Toc174080909"/>
      <w:r w:rsidRPr="00730B1E">
        <w:rPr>
          <w:color w:val="auto"/>
          <w:lang w:eastAsia="cs-CZ"/>
        </w:rPr>
        <w:t>Disposition time</w:t>
      </w:r>
      <w:bookmarkEnd w:id="1426"/>
      <w:r w:rsidRPr="00730B1E">
        <w:rPr>
          <w:color w:val="auto"/>
          <w:lang w:eastAsia="cs-CZ"/>
        </w:rPr>
        <w:t xml:space="preserve"> (dispoziční čas)</w:t>
      </w:r>
      <w:bookmarkEnd w:id="1427"/>
      <w:bookmarkEnd w:id="1428"/>
      <w:bookmarkEnd w:id="1429"/>
    </w:p>
    <w:p w14:paraId="068A8EA3" w14:textId="3EE31662" w:rsidR="00704418" w:rsidRPr="00730B1E" w:rsidRDefault="00704418" w:rsidP="00704418">
      <w:pPr>
        <w:pStyle w:val="OdstavecASR"/>
      </w:pPr>
      <w:r w:rsidRPr="00730B1E">
        <w:t>DT u obou soudů v letech 2014 až 2016 stagnoval, protože podobným tempem klesal počet vyřízených i nevyřízených věcí. V roce 2017 (a v roce 2016 u VS v Olomouci) DT stoupl, protože počet vyřízených věcí klesal rychleji než počet nevyřízených věcí. V roce 2018 DT klesl především u VS v Praze, a to díky poklesu v počtu nevyřízených věcí. V roce 2019 se rozdíl mezi soudy opět výrazně zvětšil, a to hlavně díky poklesu DT u VS v Olomouci. Ten klesl díky výše zmíněnému signifikantnímu poklesu v počtu nevyřízených věcí. V roce 2020 DT mírně klesl u VS v Praze a mírně stoupl u VS v Olomouci, což plyne z vývoje vyřízených a nevyřízených věcí. Nejednalo se však o výrazné změny.</w:t>
      </w:r>
    </w:p>
    <w:p w14:paraId="0C8EC455" w14:textId="77777777" w:rsidR="00704418" w:rsidRPr="00730B1E" w:rsidRDefault="00704418" w:rsidP="00704418">
      <w:pPr>
        <w:pStyle w:val="OdstavecASR"/>
      </w:pPr>
      <w:r w:rsidRPr="00730B1E">
        <w:t>DT u VS v Olomouci v roce 2021 narostl, což plyne hlavně z růstu v počtu věcí nevyřízených. Počet nevyřízených věcí byl (a stále je) velmi malý, proto se i marginální nárůst – v tomto případě o 20 věcí – může citelně projevit v DT. Naopak, DT u VS v Praze výrazně klesl, což opět plyne ze změny v počtu nevyřízených věcí – tentokrát jde o výrazný pokles.</w:t>
      </w:r>
    </w:p>
    <w:p w14:paraId="5C0E9E6F" w14:textId="1DF5D40F" w:rsidR="00704418" w:rsidRPr="00730B1E" w:rsidRDefault="00704418" w:rsidP="00704418">
      <w:pPr>
        <w:pStyle w:val="OdstavecASR"/>
      </w:pPr>
      <w:r w:rsidRPr="00730B1E">
        <w:t>V roce 2022 DT klesl u obou soudů – u VS v Praze mírně, u VS v Olomouci výrazněji. Jak ale bylo zmíněno, DT zde má sklony k větším výchylkám.</w:t>
      </w:r>
      <w:r w:rsidR="004E7C84" w:rsidRPr="00730B1E">
        <w:t xml:space="preserve"> V roce 2023 klesl DT u obou soudů, u VS v Olomouci jen o </w:t>
      </w:r>
      <w:r w:rsidR="00E05026" w:rsidRPr="00730B1E">
        <w:t>3</w:t>
      </w:r>
      <w:r w:rsidR="004E7C84" w:rsidRPr="00730B1E">
        <w:t>.</w:t>
      </w:r>
    </w:p>
    <w:p w14:paraId="37E0F2F3" w14:textId="106ABD66" w:rsidR="00704418" w:rsidRPr="00730B1E" w:rsidRDefault="00704418" w:rsidP="00704418">
      <w:pPr>
        <w:pStyle w:val="Podnadpis"/>
        <w:numPr>
          <w:ilvl w:val="0"/>
          <w:numId w:val="0"/>
        </w:numPr>
        <w:rPr>
          <w:color w:val="auto"/>
        </w:rPr>
      </w:pPr>
      <w:bookmarkStart w:id="1430" w:name="_Toc515871414"/>
      <w:bookmarkStart w:id="1431" w:name="_Toc11135145"/>
      <w:bookmarkStart w:id="1432" w:name="_Toc43841467"/>
      <w:bookmarkStart w:id="1433" w:name="_Toc75952270"/>
      <w:bookmarkStart w:id="1434" w:name="_Toc106106727"/>
      <w:bookmarkStart w:id="1435" w:name="_Toc109802051"/>
      <w:bookmarkStart w:id="1436" w:name="_Toc144104201"/>
      <w:bookmarkStart w:id="1437" w:name="_Toc169251014"/>
      <w:bookmarkStart w:id="1438" w:name="_Toc174080700"/>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95</w:t>
      </w:r>
      <w:r w:rsidRPr="00730B1E">
        <w:rPr>
          <w:color w:val="auto"/>
        </w:rPr>
        <w:fldChar w:fldCharType="end"/>
      </w:r>
      <w:r w:rsidRPr="00730B1E">
        <w:rPr>
          <w:color w:val="auto"/>
        </w:rPr>
        <w:t xml:space="preserve">: VS – DT civilního odvolacího řízení v letech </w:t>
      </w:r>
      <w:bookmarkEnd w:id="1430"/>
      <w:bookmarkEnd w:id="1431"/>
      <w:bookmarkEnd w:id="1432"/>
      <w:bookmarkEnd w:id="1433"/>
      <w:bookmarkEnd w:id="1434"/>
      <w:bookmarkEnd w:id="1435"/>
      <w:bookmarkEnd w:id="1436"/>
      <w:r w:rsidR="004E7C84" w:rsidRPr="00730B1E">
        <w:rPr>
          <w:color w:val="auto"/>
        </w:rPr>
        <w:t>2014 – 2023</w:t>
      </w:r>
      <w:bookmarkEnd w:id="1437"/>
      <w:bookmarkEnd w:id="1438"/>
    </w:p>
    <w:p w14:paraId="448F1AFE" w14:textId="38051C2E" w:rsidR="00DF6AB7" w:rsidRPr="00730B1E" w:rsidRDefault="00704418" w:rsidP="00DF6AB7">
      <w:pPr>
        <w:rPr>
          <w:lang w:eastAsia="cs-CZ"/>
        </w:rPr>
      </w:pPr>
      <w:r w:rsidRPr="00730B1E">
        <w:rPr>
          <w:noProof/>
          <w:lang w:eastAsia="cs-CZ"/>
        </w:rPr>
        <w:drawing>
          <wp:inline distT="0" distB="0" distL="0" distR="0" wp14:anchorId="1A936816" wp14:editId="721F5B79">
            <wp:extent cx="5029200" cy="3657600"/>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4C9798E" w14:textId="77777777" w:rsidR="00704418" w:rsidRPr="00730B1E" w:rsidRDefault="00704418" w:rsidP="00DF6AB7">
      <w:pPr>
        <w:rPr>
          <w:lang w:eastAsia="cs-CZ"/>
        </w:rPr>
      </w:pPr>
    </w:p>
    <w:p w14:paraId="6167298A" w14:textId="77777777" w:rsidR="002922A8" w:rsidRPr="00730B1E" w:rsidRDefault="002922A8">
      <w:pPr>
        <w:spacing w:after="160" w:line="259" w:lineRule="auto"/>
        <w:jc w:val="left"/>
        <w:rPr>
          <w:lang w:eastAsia="cs-CZ"/>
        </w:rPr>
      </w:pPr>
      <w:r w:rsidRPr="00730B1E">
        <w:rPr>
          <w:lang w:eastAsia="cs-CZ"/>
        </w:rPr>
        <w:br w:type="page"/>
      </w:r>
    </w:p>
    <w:p w14:paraId="2EBE805F" w14:textId="4080E53F" w:rsidR="008430BD" w:rsidRPr="00730B1E" w:rsidRDefault="008430BD" w:rsidP="008430BD">
      <w:pPr>
        <w:pStyle w:val="Nadpis2"/>
        <w:numPr>
          <w:ilvl w:val="1"/>
          <w:numId w:val="1"/>
        </w:numPr>
        <w:spacing w:before="120"/>
        <w:rPr>
          <w:color w:val="auto"/>
          <w:lang w:eastAsia="cs-CZ"/>
        </w:rPr>
      </w:pPr>
      <w:bookmarkStart w:id="1439" w:name="_Toc515871286"/>
      <w:bookmarkStart w:id="1440" w:name="_Toc106092798"/>
      <w:bookmarkStart w:id="1441" w:name="_Toc169250874"/>
      <w:bookmarkStart w:id="1442" w:name="_Toc174080910"/>
      <w:r w:rsidRPr="00730B1E">
        <w:rPr>
          <w:color w:val="auto"/>
          <w:lang w:eastAsia="cs-CZ"/>
        </w:rPr>
        <w:lastRenderedPageBreak/>
        <w:t>Trestní odvolací agenda</w:t>
      </w:r>
      <w:bookmarkEnd w:id="1439"/>
      <w:bookmarkEnd w:id="1440"/>
      <w:bookmarkEnd w:id="1441"/>
      <w:bookmarkEnd w:id="1442"/>
    </w:p>
    <w:p w14:paraId="3BE03366" w14:textId="44A3015B" w:rsidR="006E4175" w:rsidRPr="00730B1E" w:rsidRDefault="006E4175" w:rsidP="006E4175">
      <w:pPr>
        <w:pStyle w:val="OdstavecASR"/>
      </w:pPr>
      <w:r w:rsidRPr="00730B1E">
        <w:t>Vrchní soud vyřizuje věci, v nichž bylo podáno odvolání proti rozhodnutí prvostupňového krajského soudu. Jedná se o rejstříky označené jako To a Tmo.</w:t>
      </w:r>
    </w:p>
    <w:p w14:paraId="4F03267E" w14:textId="4435ED20" w:rsidR="008430BD" w:rsidRPr="00730B1E" w:rsidRDefault="008430BD" w:rsidP="008430BD">
      <w:pPr>
        <w:pStyle w:val="Nadpis3"/>
        <w:numPr>
          <w:ilvl w:val="2"/>
          <w:numId w:val="1"/>
        </w:numPr>
        <w:rPr>
          <w:color w:val="auto"/>
          <w:lang w:eastAsia="cs-CZ"/>
        </w:rPr>
      </w:pPr>
      <w:bookmarkStart w:id="1443" w:name="_Toc515871287"/>
      <w:bookmarkStart w:id="1444" w:name="_Toc106092799"/>
      <w:bookmarkStart w:id="1445" w:name="_Toc169250875"/>
      <w:bookmarkStart w:id="1446" w:name="_Toc174080911"/>
      <w:r w:rsidRPr="00730B1E">
        <w:rPr>
          <w:color w:val="auto"/>
          <w:lang w:eastAsia="cs-CZ"/>
        </w:rPr>
        <w:t>Délka řízení</w:t>
      </w:r>
      <w:bookmarkEnd w:id="1443"/>
      <w:bookmarkEnd w:id="1444"/>
      <w:bookmarkEnd w:id="1445"/>
      <w:bookmarkEnd w:id="1446"/>
    </w:p>
    <w:p w14:paraId="383F5EB9" w14:textId="4A561101" w:rsidR="004D4047" w:rsidRPr="00730B1E" w:rsidRDefault="006E4175" w:rsidP="006E4175">
      <w:pPr>
        <w:pStyle w:val="OdstavecASR"/>
      </w:pPr>
      <w:r w:rsidRPr="00730B1E">
        <w:t>Délka řízení je tentokrát uváděna ode dne nápadu do dne právní moci, protože dnem konečného vyřízení odvolacím soudem se věc stane pravomocnou. V grafu níže vidíme, že délky řízení v trestní agendě jsou mezi soudy mnohem vyrovnanější než v agendě civilní, ne-li přímo vyrovnané. Pozornost může upoutat kolísání devadesátého percentilu především u VS v Olomouci. To je dáno malým počtem pozorování. V roce 2017 tak došlo k náhlému a obrovskému nárůstu devadesátého percentilu, značnému růstu průměru a mírnému zvýšení mediánu. U obou soudů totiž v tomto roce skončilo několik rozsáhlých a dlouhotrvající kauz. To pak ovlivnilo především devadesátý percentil, v menší míře i průměr a medián. Růst délek řízení ale u VS v Olomouci pokračoval v roce 2018. V roce 2019 došlo k nezanedbatelnému poklesu v délkách řízení u obou soudů. Velmi výrazně klesl především percentil 90 u VS v Olomouci. Po roce 2019 délky řízení u VS v Praze spíše stagnují a u VS v Olomouci spíše rostou, jsou tedy nyní vyšší než u VS v Praze. V roce 2022 toto tvrzení platí o mediánu, průměr a percentil 90 byly velmi podobné. </w:t>
      </w:r>
      <w:r w:rsidR="004D4047" w:rsidRPr="00730B1E">
        <w:t xml:space="preserve">V roce 2023 </w:t>
      </w:r>
      <w:r w:rsidR="00280D76" w:rsidRPr="00730B1E">
        <w:t>se situace opět proměnila</w:t>
      </w:r>
      <w:r w:rsidR="004D4047" w:rsidRPr="00730B1E">
        <w:t xml:space="preserve"> – medián je podobný, průměr a percentil 90 se liší.</w:t>
      </w:r>
    </w:p>
    <w:p w14:paraId="199B88C9" w14:textId="77777777" w:rsidR="006E4175" w:rsidRPr="00730B1E" w:rsidRDefault="006E4175" w:rsidP="000C472F">
      <w:r w:rsidRPr="00730B1E">
        <w:t>Zbývá dodat, že složení agendy u VS je logicky velmi podobné složení prvostupňové agendy u krajských soudů.</w:t>
      </w:r>
    </w:p>
    <w:p w14:paraId="7EDB47FB" w14:textId="160F256A" w:rsidR="006E4175" w:rsidRPr="00730B1E" w:rsidRDefault="006E4175" w:rsidP="00DF07F3">
      <w:pPr>
        <w:pStyle w:val="Podnadpis"/>
        <w:numPr>
          <w:ilvl w:val="0"/>
          <w:numId w:val="0"/>
        </w:numPr>
        <w:rPr>
          <w:color w:val="auto"/>
        </w:rPr>
      </w:pPr>
      <w:bookmarkStart w:id="1447" w:name="_Toc515871415"/>
      <w:bookmarkStart w:id="1448" w:name="_Toc11135146"/>
      <w:bookmarkStart w:id="1449" w:name="_Toc43841468"/>
      <w:bookmarkStart w:id="1450" w:name="_Toc75952271"/>
      <w:bookmarkStart w:id="1451" w:name="_Toc106106728"/>
      <w:bookmarkStart w:id="1452" w:name="_Toc109802052"/>
      <w:bookmarkStart w:id="1453" w:name="_Toc144104202"/>
      <w:bookmarkStart w:id="1454" w:name="_Toc169251015"/>
      <w:bookmarkStart w:id="1455" w:name="_Toc17408070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96</w:t>
      </w:r>
      <w:r w:rsidRPr="00730B1E">
        <w:rPr>
          <w:color w:val="auto"/>
        </w:rPr>
        <w:fldChar w:fldCharType="end"/>
      </w:r>
      <w:r w:rsidRPr="00730B1E">
        <w:rPr>
          <w:color w:val="auto"/>
        </w:rPr>
        <w:t>: VS – délka trestního odvolacího řízení v letech 201</w:t>
      </w:r>
      <w:r w:rsidR="000C472F" w:rsidRPr="00730B1E">
        <w:rPr>
          <w:color w:val="auto"/>
        </w:rPr>
        <w:t>4</w:t>
      </w:r>
      <w:r w:rsidRPr="00730B1E">
        <w:rPr>
          <w:color w:val="auto"/>
        </w:rPr>
        <w:t>–</w:t>
      </w:r>
      <w:bookmarkEnd w:id="1447"/>
      <w:r w:rsidRPr="00730B1E">
        <w:rPr>
          <w:color w:val="auto"/>
        </w:rPr>
        <w:t>20</w:t>
      </w:r>
      <w:bookmarkEnd w:id="1448"/>
      <w:bookmarkEnd w:id="1449"/>
      <w:r w:rsidRPr="00730B1E">
        <w:rPr>
          <w:color w:val="auto"/>
        </w:rPr>
        <w:t>2</w:t>
      </w:r>
      <w:bookmarkEnd w:id="1450"/>
      <w:bookmarkEnd w:id="1451"/>
      <w:bookmarkEnd w:id="1452"/>
      <w:bookmarkEnd w:id="1453"/>
      <w:r w:rsidR="000C472F" w:rsidRPr="00730B1E">
        <w:rPr>
          <w:color w:val="auto"/>
        </w:rPr>
        <w:t>3</w:t>
      </w:r>
      <w:bookmarkEnd w:id="1454"/>
      <w:bookmarkEnd w:id="1455"/>
    </w:p>
    <w:p w14:paraId="15677AD7" w14:textId="13A7262F" w:rsidR="000C472F" w:rsidRPr="00730B1E" w:rsidRDefault="000C472F" w:rsidP="000C472F">
      <w:r w:rsidRPr="00730B1E">
        <w:rPr>
          <w:noProof/>
          <w:lang w:eastAsia="cs-CZ"/>
        </w:rPr>
        <w:drawing>
          <wp:inline distT="0" distB="0" distL="0" distR="0" wp14:anchorId="02DFE0E5" wp14:editId="09761F9B">
            <wp:extent cx="5029200" cy="3657600"/>
            <wp:effectExtent l="0" t="0" r="0" b="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11D0E61" w14:textId="6B48FFA1" w:rsidR="004D4047" w:rsidRPr="00730B1E" w:rsidRDefault="004D4047">
      <w:pPr>
        <w:spacing w:after="160" w:line="259" w:lineRule="auto"/>
        <w:jc w:val="left"/>
        <w:rPr>
          <w:lang w:eastAsia="cs-CZ"/>
        </w:rPr>
      </w:pPr>
      <w:r w:rsidRPr="00730B1E">
        <w:rPr>
          <w:lang w:eastAsia="cs-CZ"/>
        </w:rPr>
        <w:br w:type="page"/>
      </w:r>
    </w:p>
    <w:p w14:paraId="5850F927" w14:textId="0C5F4855" w:rsidR="004D4047" w:rsidRPr="00730B1E" w:rsidRDefault="004D4047" w:rsidP="00DF07F3">
      <w:pPr>
        <w:pStyle w:val="Podnadpis"/>
        <w:numPr>
          <w:ilvl w:val="0"/>
          <w:numId w:val="0"/>
        </w:numPr>
        <w:rPr>
          <w:color w:val="auto"/>
        </w:rPr>
      </w:pPr>
      <w:bookmarkStart w:id="1456" w:name="_Toc515871416"/>
      <w:bookmarkStart w:id="1457" w:name="_Toc11135147"/>
      <w:bookmarkStart w:id="1458" w:name="_Toc43841469"/>
      <w:bookmarkStart w:id="1459" w:name="_Toc75952272"/>
      <w:bookmarkStart w:id="1460" w:name="_Toc106106729"/>
      <w:bookmarkStart w:id="1461" w:name="_Toc109802053"/>
      <w:bookmarkStart w:id="1462" w:name="_Toc144104203"/>
      <w:bookmarkStart w:id="1463" w:name="_Toc169251016"/>
      <w:bookmarkStart w:id="1464" w:name="_Toc174080702"/>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97</w:t>
      </w:r>
      <w:r w:rsidRPr="00730B1E">
        <w:rPr>
          <w:color w:val="auto"/>
        </w:rPr>
        <w:fldChar w:fldCharType="end"/>
      </w:r>
      <w:r w:rsidRPr="00730B1E">
        <w:rPr>
          <w:color w:val="auto"/>
        </w:rPr>
        <w:t>: VS – distribuce délek trestního odvolacího řízení</w:t>
      </w:r>
      <w:bookmarkEnd w:id="1456"/>
      <w:bookmarkEnd w:id="1457"/>
      <w:bookmarkEnd w:id="1458"/>
      <w:bookmarkEnd w:id="1459"/>
      <w:bookmarkEnd w:id="1460"/>
      <w:bookmarkEnd w:id="1461"/>
      <w:bookmarkEnd w:id="1462"/>
      <w:bookmarkEnd w:id="1463"/>
      <w:bookmarkEnd w:id="1464"/>
    </w:p>
    <w:p w14:paraId="02B62995" w14:textId="1BC5E9FE" w:rsidR="004D4047" w:rsidRPr="00730B1E" w:rsidRDefault="007679E1" w:rsidP="006E4175">
      <w:pPr>
        <w:rPr>
          <w:lang w:eastAsia="cs-CZ"/>
        </w:rPr>
      </w:pPr>
      <w:r w:rsidRPr="00730B1E">
        <w:rPr>
          <w:noProof/>
          <w:lang w:eastAsia="cs-CZ"/>
        </w:rPr>
        <w:drawing>
          <wp:inline distT="0" distB="0" distL="0" distR="0" wp14:anchorId="05F4E0BA" wp14:editId="0EDBA7ED">
            <wp:extent cx="5029200" cy="3657600"/>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5C66DCAC" w14:textId="77777777" w:rsidR="004D4047" w:rsidRPr="00730B1E" w:rsidRDefault="004D4047" w:rsidP="006E4175">
      <w:pPr>
        <w:rPr>
          <w:lang w:eastAsia="cs-CZ"/>
        </w:rPr>
      </w:pPr>
    </w:p>
    <w:p w14:paraId="5C1E010A" w14:textId="7B1DC515" w:rsidR="004D4047" w:rsidRPr="00730B1E" w:rsidRDefault="004D4047" w:rsidP="004D4047">
      <w:pPr>
        <w:pStyle w:val="OdstavecASR"/>
        <w:rPr>
          <w:lang w:eastAsia="cs-CZ"/>
        </w:rPr>
      </w:pPr>
      <w:r w:rsidRPr="00730B1E">
        <w:rPr>
          <w:lang w:eastAsia="cs-CZ"/>
        </w:rPr>
        <w:t xml:space="preserve">Malý počet pozorování se projevuje i v histogramu. Distribuce délek řízení se obvykle liší mezi soudy i mezi jednotlivými roky u stejného soudu; při vyšším počtu pozorování by zřejmě byla podobnější. </w:t>
      </w:r>
      <w:r w:rsidR="00280D76" w:rsidRPr="00730B1E">
        <w:rPr>
          <w:lang w:eastAsia="cs-CZ"/>
        </w:rPr>
        <w:t>V roce 2023</w:t>
      </w:r>
      <w:r w:rsidRPr="00730B1E">
        <w:rPr>
          <w:lang w:eastAsia="cs-CZ"/>
        </w:rPr>
        <w:t xml:space="preserve"> </w:t>
      </w:r>
      <w:r w:rsidR="007679E1" w:rsidRPr="00730B1E">
        <w:rPr>
          <w:lang w:eastAsia="cs-CZ"/>
        </w:rPr>
        <w:t xml:space="preserve">má VS v Olomouci </w:t>
      </w:r>
      <w:r w:rsidR="004B0AF5" w:rsidRPr="00730B1E">
        <w:rPr>
          <w:lang w:eastAsia="cs-CZ"/>
        </w:rPr>
        <w:t>asi dvakrát</w:t>
      </w:r>
      <w:r w:rsidR="007679E1" w:rsidRPr="00730B1E">
        <w:rPr>
          <w:lang w:eastAsia="cs-CZ"/>
        </w:rPr>
        <w:t xml:space="preserve"> méně věcí s délkou řízení mezi 25 a 50 dny.</w:t>
      </w:r>
      <w:r w:rsidRPr="00730B1E">
        <w:rPr>
          <w:lang w:eastAsia="cs-CZ"/>
        </w:rPr>
        <w:t xml:space="preserve"> VS v Praze má ale více extrémních hodnot přes 400 dnů způsobených ukončováním dlouhotrvajících věcí</w:t>
      </w:r>
      <w:r w:rsidR="007679E1" w:rsidRPr="00730B1E">
        <w:rPr>
          <w:lang w:eastAsia="cs-CZ"/>
        </w:rPr>
        <w:t>.</w:t>
      </w:r>
    </w:p>
    <w:p w14:paraId="166754EC" w14:textId="1AEEC56A" w:rsidR="008430BD" w:rsidRPr="00730B1E" w:rsidRDefault="008430BD" w:rsidP="008430BD">
      <w:pPr>
        <w:pStyle w:val="Nadpis3"/>
        <w:numPr>
          <w:ilvl w:val="2"/>
          <w:numId w:val="1"/>
        </w:numPr>
        <w:rPr>
          <w:color w:val="auto"/>
          <w:lang w:eastAsia="cs-CZ"/>
        </w:rPr>
      </w:pPr>
      <w:bookmarkStart w:id="1465" w:name="_Toc515871288"/>
      <w:bookmarkStart w:id="1466" w:name="_Toc106092800"/>
      <w:bookmarkStart w:id="1467" w:name="_Toc169250876"/>
      <w:bookmarkStart w:id="1468" w:name="_Toc174080912"/>
      <w:r w:rsidRPr="00730B1E">
        <w:rPr>
          <w:color w:val="auto"/>
          <w:lang w:eastAsia="cs-CZ"/>
        </w:rPr>
        <w:t>Vyřizování věcí</w:t>
      </w:r>
      <w:bookmarkEnd w:id="1465"/>
      <w:bookmarkEnd w:id="1466"/>
      <w:bookmarkEnd w:id="1467"/>
      <w:bookmarkEnd w:id="1468"/>
    </w:p>
    <w:p w14:paraId="6051E252" w14:textId="4A29AEA0" w:rsidR="007679E1" w:rsidRPr="00730B1E" w:rsidRDefault="007679E1" w:rsidP="007679E1">
      <w:pPr>
        <w:pStyle w:val="OdstavecASR"/>
      </w:pPr>
      <w:r w:rsidRPr="00730B1E">
        <w:t>Počet věcí opět ilustruje rozdíl ve velikosti soudů. V nápadu je vidět jisté kolísání, ale od roku 2014 se v zásadě nezměnil, což souvisí s tím, že v nápadu prvostupňové agendy u krajských soudů také nedošlo k žádné výraznější změně</w:t>
      </w:r>
      <w:r w:rsidR="00280D76" w:rsidRPr="00730B1E">
        <w:t>,</w:t>
      </w:r>
      <w:r w:rsidRPr="00730B1E">
        <w:t xml:space="preserve"> </w:t>
      </w:r>
      <w:r w:rsidR="00280D76" w:rsidRPr="00730B1E">
        <w:t>i</w:t>
      </w:r>
      <w:r w:rsidRPr="00730B1E">
        <w:t xml:space="preserve"> když v posledních letech můžeme u VS</w:t>
      </w:r>
      <w:r w:rsidR="000D660F" w:rsidRPr="00730B1E">
        <w:t xml:space="preserve"> v</w:t>
      </w:r>
      <w:r w:rsidRPr="00730B1E">
        <w:t xml:space="preserve"> </w:t>
      </w:r>
      <w:r w:rsidR="00314C72" w:rsidRPr="00730B1E">
        <w:t>Olomouc</w:t>
      </w:r>
      <w:r w:rsidR="000D660F" w:rsidRPr="00730B1E">
        <w:t>i</w:t>
      </w:r>
      <w:r w:rsidR="00314C72" w:rsidRPr="00730B1E">
        <w:t xml:space="preserve"> </w:t>
      </w:r>
      <w:r w:rsidRPr="00730B1E">
        <w:t>zřejmě pozorovat mírný klesající trend.</w:t>
      </w:r>
    </w:p>
    <w:p w14:paraId="5E78E275" w14:textId="230AC93D" w:rsidR="007679E1" w:rsidRPr="00730B1E" w:rsidRDefault="007679E1" w:rsidP="00314C72">
      <w:pPr>
        <w:pStyle w:val="OdstavecASR"/>
      </w:pPr>
      <w:r w:rsidRPr="00730B1E">
        <w:t xml:space="preserve">V roce 2016 došlo k nárůstu v počtu nevyřízených věcí především u VS v Olomouci. Ačkoliv počet nevyřízených věcí vzrostl asi o 50 %, v absolutních číslech rozdíl činí pouze několik desítek věcí a celkový počet nevyřízených věcí je velmi malý. </w:t>
      </w:r>
    </w:p>
    <w:p w14:paraId="252AF93A" w14:textId="7815B314" w:rsidR="00314C72" w:rsidRPr="00730B1E" w:rsidRDefault="00314C72" w:rsidP="00314C72">
      <w:pPr>
        <w:pStyle w:val="OdstavecASR"/>
      </w:pPr>
      <w:r w:rsidRPr="00730B1E">
        <w:t xml:space="preserve">Dlouhodobě lze říct, že počet nevyřízených věcí nevykazuje žádný trend. U VS </w:t>
      </w:r>
      <w:r w:rsidR="00280D76" w:rsidRPr="00730B1E">
        <w:t xml:space="preserve">v </w:t>
      </w:r>
      <w:r w:rsidRPr="00730B1E">
        <w:t>Pra</w:t>
      </w:r>
      <w:r w:rsidR="00280D76" w:rsidRPr="00730B1E">
        <w:t>ze</w:t>
      </w:r>
      <w:r w:rsidRPr="00730B1E">
        <w:t xml:space="preserve"> osciluje kolem 200 věcí, u VS </w:t>
      </w:r>
      <w:r w:rsidR="00280D76" w:rsidRPr="00730B1E">
        <w:t xml:space="preserve">v </w:t>
      </w:r>
      <w:r w:rsidRPr="00730B1E">
        <w:t>Olomouc</w:t>
      </w:r>
      <w:r w:rsidR="00280D76" w:rsidRPr="00730B1E">
        <w:t>i</w:t>
      </w:r>
      <w:r w:rsidRPr="00730B1E">
        <w:t xml:space="preserve"> kolem 100 věcí.</w:t>
      </w:r>
    </w:p>
    <w:p w14:paraId="5E949B70" w14:textId="7D996416" w:rsidR="007679E1" w:rsidRPr="00730B1E" w:rsidRDefault="007679E1" w:rsidP="007679E1">
      <w:pPr>
        <w:pStyle w:val="Podnadpis"/>
        <w:numPr>
          <w:ilvl w:val="0"/>
          <w:numId w:val="0"/>
        </w:numPr>
        <w:rPr>
          <w:color w:val="auto"/>
        </w:rPr>
      </w:pPr>
      <w:bookmarkStart w:id="1469" w:name="_Toc515871417"/>
      <w:bookmarkStart w:id="1470" w:name="_Toc11135148"/>
      <w:bookmarkStart w:id="1471" w:name="_Toc43841470"/>
      <w:bookmarkStart w:id="1472" w:name="_Toc75952273"/>
      <w:bookmarkStart w:id="1473" w:name="_Toc106106730"/>
      <w:bookmarkStart w:id="1474" w:name="_Toc109802054"/>
      <w:bookmarkStart w:id="1475" w:name="_Toc144104204"/>
      <w:bookmarkStart w:id="1476" w:name="_Toc169251017"/>
      <w:bookmarkStart w:id="1477" w:name="_Toc174080703"/>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98</w:t>
      </w:r>
      <w:r w:rsidRPr="00730B1E">
        <w:rPr>
          <w:color w:val="auto"/>
        </w:rPr>
        <w:fldChar w:fldCharType="end"/>
      </w:r>
      <w:r w:rsidRPr="00730B1E">
        <w:rPr>
          <w:color w:val="auto"/>
        </w:rPr>
        <w:t>: VS – vyřizování odvolacích trestních věcí v letech 2008–</w:t>
      </w:r>
      <w:bookmarkEnd w:id="1469"/>
      <w:bookmarkEnd w:id="1470"/>
      <w:bookmarkEnd w:id="1471"/>
      <w:bookmarkEnd w:id="1472"/>
      <w:bookmarkEnd w:id="1473"/>
      <w:bookmarkEnd w:id="1474"/>
      <w:r w:rsidRPr="00730B1E">
        <w:rPr>
          <w:color w:val="auto"/>
        </w:rPr>
        <w:t>2022</w:t>
      </w:r>
      <w:bookmarkEnd w:id="1475"/>
      <w:bookmarkEnd w:id="1476"/>
      <w:bookmarkEnd w:id="1477"/>
    </w:p>
    <w:p w14:paraId="168AD011" w14:textId="03C8EB4A" w:rsidR="007679E1" w:rsidRPr="00730B1E" w:rsidRDefault="007679E1" w:rsidP="007679E1">
      <w:pPr>
        <w:pStyle w:val="OdstavecASR"/>
      </w:pPr>
      <w:r w:rsidRPr="00730B1E">
        <w:rPr>
          <w:noProof/>
          <w:lang w:eastAsia="cs-CZ"/>
        </w:rPr>
        <w:drawing>
          <wp:inline distT="0" distB="0" distL="0" distR="0" wp14:anchorId="32697257" wp14:editId="106EC003">
            <wp:extent cx="5029200" cy="3657600"/>
            <wp:effectExtent l="0" t="0" r="0" b="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0018A69" w14:textId="77777777" w:rsidR="007679E1" w:rsidRPr="00730B1E" w:rsidRDefault="007679E1" w:rsidP="007679E1">
      <w:pPr>
        <w:rPr>
          <w:lang w:eastAsia="cs-CZ"/>
        </w:rPr>
      </w:pPr>
    </w:p>
    <w:p w14:paraId="3437125F" w14:textId="69C4D0D3" w:rsidR="008430BD" w:rsidRPr="00730B1E" w:rsidRDefault="008430BD" w:rsidP="008430BD">
      <w:pPr>
        <w:pStyle w:val="Nadpis3"/>
        <w:numPr>
          <w:ilvl w:val="2"/>
          <w:numId w:val="1"/>
        </w:numPr>
        <w:rPr>
          <w:color w:val="auto"/>
          <w:lang w:eastAsia="cs-CZ"/>
        </w:rPr>
      </w:pPr>
      <w:bookmarkStart w:id="1478" w:name="_Toc515871289"/>
      <w:bookmarkStart w:id="1479" w:name="_Toc43903101"/>
      <w:bookmarkStart w:id="1480" w:name="_Toc106092801"/>
      <w:bookmarkStart w:id="1481" w:name="_Toc169250877"/>
      <w:bookmarkStart w:id="1482" w:name="_Toc174080913"/>
      <w:r w:rsidRPr="00730B1E">
        <w:rPr>
          <w:color w:val="auto"/>
          <w:lang w:eastAsia="cs-CZ"/>
        </w:rPr>
        <w:t>Vyřizování věcí v přepočtu na soudce</w:t>
      </w:r>
      <w:bookmarkEnd w:id="1478"/>
      <w:bookmarkEnd w:id="1479"/>
      <w:bookmarkEnd w:id="1480"/>
      <w:bookmarkEnd w:id="1481"/>
      <w:bookmarkEnd w:id="1482"/>
    </w:p>
    <w:p w14:paraId="47968596" w14:textId="3A723834" w:rsidR="00314C72" w:rsidRPr="00730B1E" w:rsidRDefault="00314C72" w:rsidP="00314C72">
      <w:pPr>
        <w:pStyle w:val="OdstavecASR"/>
        <w:rPr>
          <w:lang w:eastAsia="cs-CZ"/>
        </w:rPr>
      </w:pPr>
      <w:r w:rsidRPr="00730B1E">
        <w:rPr>
          <w:lang w:eastAsia="cs-CZ"/>
        </w:rPr>
        <w:t xml:space="preserve">Počet příchozích, vyřízených i nevyřízených věcí na soudce vždy byl u obou soudů velmi podobný. To koresponduje s tvrzením založeným na délkách řízení – oba soudy si ve vyřizování trestní odvolací agendy z dlouhodobého hlediska vedou obdobně. Meziročně vždy dochází k určitým výkyvům, což je očekávatelné a plyne nejen z malého počtu věcí. </w:t>
      </w:r>
    </w:p>
    <w:p w14:paraId="748F96A4" w14:textId="09CB76C2" w:rsidR="00314C72" w:rsidRPr="00730B1E" w:rsidRDefault="00314C72" w:rsidP="00314C72">
      <w:pPr>
        <w:pStyle w:val="Podnadpis"/>
        <w:numPr>
          <w:ilvl w:val="0"/>
          <w:numId w:val="0"/>
        </w:numPr>
        <w:rPr>
          <w:color w:val="auto"/>
        </w:rPr>
      </w:pPr>
      <w:bookmarkStart w:id="1483" w:name="_Toc515871504"/>
      <w:bookmarkStart w:id="1484" w:name="_Toc11133270"/>
      <w:bookmarkStart w:id="1485" w:name="_Toc43931252"/>
      <w:bookmarkStart w:id="1486" w:name="_Toc75952386"/>
      <w:bookmarkStart w:id="1487" w:name="_Toc106106839"/>
      <w:bookmarkStart w:id="1488" w:name="_Toc109802162"/>
      <w:bookmarkStart w:id="1489" w:name="_Toc144104321"/>
      <w:bookmarkStart w:id="1490" w:name="_Toc169251135"/>
      <w:bookmarkStart w:id="1491" w:name="_Toc174080821"/>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78</w:t>
      </w:r>
      <w:r w:rsidRPr="00730B1E">
        <w:rPr>
          <w:noProof/>
          <w:color w:val="auto"/>
        </w:rPr>
        <w:fldChar w:fldCharType="end"/>
      </w:r>
      <w:r w:rsidRPr="00730B1E">
        <w:rPr>
          <w:color w:val="auto"/>
        </w:rPr>
        <w:t>: VS – vyřizování odvolacích trestních věcí na evidenčního soudce</w:t>
      </w:r>
      <w:bookmarkEnd w:id="1483"/>
      <w:bookmarkEnd w:id="1484"/>
      <w:bookmarkEnd w:id="1485"/>
      <w:bookmarkEnd w:id="1486"/>
      <w:bookmarkEnd w:id="1487"/>
      <w:bookmarkEnd w:id="1488"/>
      <w:bookmarkEnd w:id="1489"/>
      <w:bookmarkEnd w:id="1490"/>
      <w:bookmarkEnd w:id="1491"/>
    </w:p>
    <w:tbl>
      <w:tblPr>
        <w:tblW w:w="7720" w:type="dxa"/>
        <w:tblCellMar>
          <w:left w:w="70" w:type="dxa"/>
          <w:right w:w="70" w:type="dxa"/>
        </w:tblCellMar>
        <w:tblLook w:val="04A0" w:firstRow="1" w:lastRow="0" w:firstColumn="1" w:lastColumn="0" w:noHBand="0" w:noVBand="1"/>
      </w:tblPr>
      <w:tblGrid>
        <w:gridCol w:w="2020"/>
        <w:gridCol w:w="1017"/>
        <w:gridCol w:w="943"/>
        <w:gridCol w:w="1035"/>
        <w:gridCol w:w="943"/>
        <w:gridCol w:w="819"/>
        <w:gridCol w:w="943"/>
      </w:tblGrid>
      <w:tr w:rsidR="00B64E96" w:rsidRPr="00730B1E" w14:paraId="07EA00EF" w14:textId="77777777" w:rsidTr="00314C72">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D8C4771" w14:textId="2ADC48D9" w:rsidR="00314C72" w:rsidRPr="00730B1E" w:rsidRDefault="00AA3C01" w:rsidP="00314C72">
            <w:pPr>
              <w:spacing w:line="240" w:lineRule="auto"/>
              <w:jc w:val="center"/>
              <w:rPr>
                <w:rFonts w:eastAsia="Times New Roman"/>
                <w:b/>
                <w:bCs/>
                <w:szCs w:val="24"/>
                <w:lang w:eastAsia="cs-CZ"/>
              </w:rPr>
            </w:pPr>
            <w:r w:rsidRPr="00730B1E">
              <w:rPr>
                <w:rFonts w:eastAsia="Times New Roman"/>
                <w:b/>
                <w:bCs/>
                <w:szCs w:val="24"/>
                <w:lang w:eastAsia="cs-CZ"/>
              </w:rPr>
              <w:t>S</w:t>
            </w:r>
            <w:r w:rsidR="00314C72" w:rsidRPr="00730B1E">
              <w:rPr>
                <w:rFonts w:eastAsia="Times New Roman"/>
                <w:b/>
                <w:bCs/>
                <w:szCs w:val="24"/>
                <w:lang w:eastAsia="cs-CZ"/>
              </w:rPr>
              <w:t>oud</w:t>
            </w:r>
          </w:p>
        </w:tc>
        <w:tc>
          <w:tcPr>
            <w:tcW w:w="5700" w:type="dxa"/>
            <w:gridSpan w:val="6"/>
            <w:tcBorders>
              <w:top w:val="double" w:sz="6" w:space="0" w:color="auto"/>
              <w:left w:val="nil"/>
              <w:bottom w:val="nil"/>
              <w:right w:val="nil"/>
            </w:tcBorders>
            <w:shd w:val="clear" w:color="auto" w:fill="auto"/>
            <w:noWrap/>
            <w:vAlign w:val="center"/>
            <w:hideMark/>
          </w:tcPr>
          <w:p w14:paraId="599D704C" w14:textId="77777777" w:rsidR="00314C72" w:rsidRPr="00730B1E" w:rsidRDefault="00314C72" w:rsidP="00314C72">
            <w:pPr>
              <w:spacing w:line="240" w:lineRule="auto"/>
              <w:jc w:val="center"/>
              <w:rPr>
                <w:rFonts w:eastAsia="Times New Roman"/>
                <w:b/>
                <w:bCs/>
                <w:szCs w:val="24"/>
                <w:lang w:eastAsia="cs-CZ"/>
              </w:rPr>
            </w:pPr>
            <w:r w:rsidRPr="00730B1E">
              <w:rPr>
                <w:rFonts w:eastAsia="Times New Roman"/>
                <w:b/>
                <w:bCs/>
                <w:szCs w:val="24"/>
                <w:lang w:eastAsia="cs-CZ"/>
              </w:rPr>
              <w:t>Počet věcí</w:t>
            </w:r>
          </w:p>
        </w:tc>
      </w:tr>
      <w:tr w:rsidR="00B64E96" w:rsidRPr="00730B1E" w14:paraId="1A533026" w14:textId="77777777" w:rsidTr="00314C72">
        <w:trPr>
          <w:trHeight w:val="330"/>
        </w:trPr>
        <w:tc>
          <w:tcPr>
            <w:tcW w:w="2020" w:type="dxa"/>
            <w:vMerge/>
            <w:tcBorders>
              <w:top w:val="double" w:sz="6" w:space="0" w:color="auto"/>
              <w:left w:val="nil"/>
              <w:bottom w:val="double" w:sz="6" w:space="0" w:color="000000"/>
              <w:right w:val="nil"/>
            </w:tcBorders>
            <w:vAlign w:val="center"/>
            <w:hideMark/>
          </w:tcPr>
          <w:p w14:paraId="373284D3" w14:textId="77777777" w:rsidR="00314C72" w:rsidRPr="00730B1E" w:rsidRDefault="00314C72" w:rsidP="00314C72">
            <w:pPr>
              <w:spacing w:line="240" w:lineRule="auto"/>
              <w:jc w:val="left"/>
              <w:rPr>
                <w:rFonts w:eastAsia="Times New Roman"/>
                <w:b/>
                <w:bCs/>
                <w:szCs w:val="24"/>
                <w:lang w:eastAsia="cs-CZ"/>
              </w:rPr>
            </w:pPr>
          </w:p>
        </w:tc>
        <w:tc>
          <w:tcPr>
            <w:tcW w:w="1960" w:type="dxa"/>
            <w:gridSpan w:val="2"/>
            <w:tcBorders>
              <w:top w:val="nil"/>
              <w:left w:val="nil"/>
              <w:bottom w:val="double" w:sz="6" w:space="0" w:color="auto"/>
              <w:right w:val="nil"/>
            </w:tcBorders>
            <w:shd w:val="clear" w:color="auto" w:fill="auto"/>
            <w:noWrap/>
            <w:vAlign w:val="center"/>
            <w:hideMark/>
          </w:tcPr>
          <w:p w14:paraId="281E6EBE" w14:textId="256514AF" w:rsidR="00314C72" w:rsidRPr="00730B1E" w:rsidRDefault="00314C72" w:rsidP="00314C72">
            <w:pPr>
              <w:spacing w:line="240" w:lineRule="auto"/>
              <w:jc w:val="center"/>
              <w:rPr>
                <w:rFonts w:eastAsia="Times New Roman"/>
                <w:b/>
                <w:bCs/>
                <w:szCs w:val="24"/>
                <w:lang w:eastAsia="cs-CZ"/>
              </w:rPr>
            </w:pPr>
            <w:r w:rsidRPr="00730B1E">
              <w:rPr>
                <w:rFonts w:eastAsia="Times New Roman"/>
                <w:b/>
                <w:bCs/>
                <w:szCs w:val="24"/>
                <w:lang w:eastAsia="cs-CZ"/>
              </w:rPr>
              <w:t xml:space="preserve">Nápad + </w:t>
            </w:r>
            <w:r w:rsidR="00102E29" w:rsidRPr="00730B1E">
              <w:rPr>
                <w:rFonts w:eastAsia="Times New Roman"/>
                <w:b/>
                <w:bCs/>
                <w:szCs w:val="24"/>
                <w:lang w:eastAsia="cs-CZ"/>
              </w:rPr>
              <w:t>obživlé věci</w:t>
            </w:r>
          </w:p>
        </w:tc>
        <w:tc>
          <w:tcPr>
            <w:tcW w:w="197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28B2B91" w14:textId="77777777" w:rsidR="00314C72" w:rsidRPr="00730B1E" w:rsidRDefault="00314C72" w:rsidP="00314C72">
            <w:pPr>
              <w:spacing w:line="240" w:lineRule="auto"/>
              <w:jc w:val="center"/>
              <w:rPr>
                <w:rFonts w:eastAsia="Times New Roman"/>
                <w:b/>
                <w:bCs/>
                <w:szCs w:val="24"/>
                <w:lang w:eastAsia="cs-CZ"/>
              </w:rPr>
            </w:pPr>
            <w:r w:rsidRPr="00730B1E">
              <w:rPr>
                <w:rFonts w:eastAsia="Times New Roman"/>
                <w:b/>
                <w:bCs/>
                <w:szCs w:val="24"/>
                <w:lang w:eastAsia="cs-CZ"/>
              </w:rPr>
              <w:t>Vyřízeno</w:t>
            </w:r>
          </w:p>
        </w:tc>
        <w:tc>
          <w:tcPr>
            <w:tcW w:w="1762" w:type="dxa"/>
            <w:gridSpan w:val="2"/>
            <w:tcBorders>
              <w:top w:val="nil"/>
              <w:left w:val="nil"/>
              <w:bottom w:val="double" w:sz="6" w:space="0" w:color="auto"/>
              <w:right w:val="nil"/>
            </w:tcBorders>
            <w:shd w:val="clear" w:color="auto" w:fill="auto"/>
            <w:noWrap/>
            <w:vAlign w:val="center"/>
            <w:hideMark/>
          </w:tcPr>
          <w:p w14:paraId="20132A87" w14:textId="77777777" w:rsidR="00314C72" w:rsidRPr="00730B1E" w:rsidRDefault="00314C72" w:rsidP="00314C72">
            <w:pPr>
              <w:spacing w:line="240" w:lineRule="auto"/>
              <w:jc w:val="center"/>
              <w:rPr>
                <w:rFonts w:eastAsia="Times New Roman"/>
                <w:b/>
                <w:bCs/>
                <w:szCs w:val="24"/>
                <w:lang w:eastAsia="cs-CZ"/>
              </w:rPr>
            </w:pPr>
            <w:r w:rsidRPr="00730B1E">
              <w:rPr>
                <w:rFonts w:eastAsia="Times New Roman"/>
                <w:b/>
                <w:bCs/>
                <w:szCs w:val="24"/>
                <w:lang w:eastAsia="cs-CZ"/>
              </w:rPr>
              <w:t>Nevyřízeno</w:t>
            </w:r>
          </w:p>
        </w:tc>
      </w:tr>
      <w:tr w:rsidR="00B64E96" w:rsidRPr="00730B1E" w14:paraId="14CE4C5B" w14:textId="77777777" w:rsidTr="00314C72">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46AD0A4" w14:textId="77777777" w:rsidR="00314C72" w:rsidRPr="00730B1E" w:rsidRDefault="00314C72" w:rsidP="00314C72">
            <w:pPr>
              <w:spacing w:line="240" w:lineRule="auto"/>
              <w:jc w:val="left"/>
              <w:rPr>
                <w:rFonts w:eastAsia="Times New Roman"/>
                <w:szCs w:val="24"/>
                <w:lang w:eastAsia="cs-CZ"/>
              </w:rPr>
            </w:pPr>
            <w:r w:rsidRPr="00730B1E">
              <w:rPr>
                <w:rFonts w:eastAsia="Times New Roman"/>
                <w:szCs w:val="24"/>
                <w:lang w:eastAsia="cs-CZ"/>
              </w:rPr>
              <w:t>VS Praha</w:t>
            </w:r>
          </w:p>
        </w:tc>
        <w:tc>
          <w:tcPr>
            <w:tcW w:w="1017" w:type="dxa"/>
            <w:tcBorders>
              <w:top w:val="single" w:sz="4" w:space="0" w:color="auto"/>
              <w:left w:val="nil"/>
              <w:bottom w:val="single" w:sz="4" w:space="0" w:color="auto"/>
              <w:right w:val="nil"/>
            </w:tcBorders>
            <w:shd w:val="clear" w:color="auto" w:fill="auto"/>
            <w:noWrap/>
            <w:vAlign w:val="bottom"/>
            <w:hideMark/>
          </w:tcPr>
          <w:p w14:paraId="10D2C4D9" w14:textId="1D9D8E8D" w:rsidR="00314C72" w:rsidRPr="00730B1E" w:rsidRDefault="00314C72" w:rsidP="00314C72">
            <w:pPr>
              <w:spacing w:line="240" w:lineRule="auto"/>
              <w:jc w:val="center"/>
              <w:rPr>
                <w:rFonts w:eastAsia="Times New Roman"/>
                <w:szCs w:val="24"/>
                <w:lang w:eastAsia="cs-CZ"/>
              </w:rPr>
            </w:pPr>
            <w:r w:rsidRPr="00730B1E">
              <w:rPr>
                <w:rFonts w:eastAsia="Times New Roman"/>
                <w:szCs w:val="24"/>
                <w:lang w:eastAsia="cs-CZ"/>
              </w:rPr>
              <w:t>31,91</w:t>
            </w:r>
          </w:p>
        </w:tc>
        <w:tc>
          <w:tcPr>
            <w:tcW w:w="943" w:type="dxa"/>
            <w:tcBorders>
              <w:top w:val="single" w:sz="4" w:space="0" w:color="auto"/>
              <w:left w:val="nil"/>
              <w:bottom w:val="single" w:sz="4" w:space="0" w:color="auto"/>
              <w:right w:val="nil"/>
            </w:tcBorders>
            <w:shd w:val="clear" w:color="auto" w:fill="auto"/>
            <w:noWrap/>
            <w:vAlign w:val="center"/>
            <w:hideMark/>
          </w:tcPr>
          <w:p w14:paraId="00D68530" w14:textId="77777777" w:rsidR="00314C72" w:rsidRPr="00730B1E" w:rsidRDefault="00314C72" w:rsidP="00314C72">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c>
          <w:tcPr>
            <w:tcW w:w="1035" w:type="dxa"/>
            <w:tcBorders>
              <w:top w:val="single" w:sz="4" w:space="0" w:color="auto"/>
              <w:left w:val="single" w:sz="4" w:space="0" w:color="auto"/>
              <w:bottom w:val="single" w:sz="4" w:space="0" w:color="auto"/>
              <w:right w:val="nil"/>
            </w:tcBorders>
            <w:shd w:val="clear" w:color="auto" w:fill="auto"/>
            <w:noWrap/>
            <w:vAlign w:val="bottom"/>
            <w:hideMark/>
          </w:tcPr>
          <w:p w14:paraId="40C0396F" w14:textId="029EEDBE" w:rsidR="00314C72" w:rsidRPr="00730B1E" w:rsidRDefault="00314C72" w:rsidP="00314C72">
            <w:pPr>
              <w:spacing w:line="240" w:lineRule="auto"/>
              <w:jc w:val="center"/>
              <w:rPr>
                <w:rFonts w:eastAsia="Times New Roman"/>
                <w:szCs w:val="24"/>
                <w:lang w:eastAsia="cs-CZ"/>
              </w:rPr>
            </w:pPr>
            <w:r w:rsidRPr="00730B1E">
              <w:rPr>
                <w:rFonts w:eastAsia="Times New Roman"/>
                <w:szCs w:val="24"/>
                <w:lang w:eastAsia="cs-CZ"/>
              </w:rPr>
              <w:t>31,25</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14:paraId="29683D9B" w14:textId="77777777" w:rsidR="00314C72" w:rsidRPr="00730B1E" w:rsidRDefault="00314C72" w:rsidP="00314C72">
            <w:pPr>
              <w:spacing w:line="240" w:lineRule="auto"/>
              <w:jc w:val="center"/>
              <w:rPr>
                <w:rFonts w:eastAsia="Times New Roman"/>
                <w:sz w:val="20"/>
                <w:szCs w:val="20"/>
                <w:lang w:eastAsia="cs-CZ"/>
              </w:rPr>
            </w:pPr>
            <w:r w:rsidRPr="00730B1E">
              <w:rPr>
                <w:rFonts w:eastAsia="Times New Roman"/>
                <w:sz w:val="20"/>
                <w:szCs w:val="20"/>
                <w:lang w:eastAsia="cs-CZ"/>
              </w:rPr>
              <w:t xml:space="preserve">+5 %  </w:t>
            </w:r>
          </w:p>
        </w:tc>
        <w:tc>
          <w:tcPr>
            <w:tcW w:w="819" w:type="dxa"/>
            <w:tcBorders>
              <w:top w:val="single" w:sz="4" w:space="0" w:color="auto"/>
              <w:left w:val="nil"/>
              <w:bottom w:val="single" w:sz="4" w:space="0" w:color="auto"/>
              <w:right w:val="nil"/>
            </w:tcBorders>
            <w:shd w:val="clear" w:color="auto" w:fill="auto"/>
            <w:noWrap/>
            <w:vAlign w:val="bottom"/>
            <w:hideMark/>
          </w:tcPr>
          <w:p w14:paraId="1F101FEE" w14:textId="4DD6A03B" w:rsidR="00314C72" w:rsidRPr="00730B1E" w:rsidRDefault="00314C72" w:rsidP="00314C72">
            <w:pPr>
              <w:spacing w:line="240" w:lineRule="auto"/>
              <w:jc w:val="center"/>
              <w:rPr>
                <w:rFonts w:eastAsia="Times New Roman"/>
                <w:szCs w:val="24"/>
                <w:lang w:eastAsia="cs-CZ"/>
              </w:rPr>
            </w:pPr>
            <w:r w:rsidRPr="00730B1E">
              <w:rPr>
                <w:rFonts w:eastAsia="Times New Roman"/>
                <w:szCs w:val="24"/>
                <w:lang w:eastAsia="cs-CZ"/>
              </w:rPr>
              <w:t>4,32</w:t>
            </w:r>
          </w:p>
        </w:tc>
        <w:tc>
          <w:tcPr>
            <w:tcW w:w="943" w:type="dxa"/>
            <w:tcBorders>
              <w:top w:val="single" w:sz="4" w:space="0" w:color="auto"/>
              <w:left w:val="nil"/>
              <w:bottom w:val="single" w:sz="4" w:space="0" w:color="auto"/>
              <w:right w:val="nil"/>
            </w:tcBorders>
            <w:shd w:val="clear" w:color="auto" w:fill="auto"/>
            <w:noWrap/>
            <w:vAlign w:val="center"/>
            <w:hideMark/>
          </w:tcPr>
          <w:p w14:paraId="48A59EEA" w14:textId="77777777" w:rsidR="00314C72" w:rsidRPr="00730B1E" w:rsidRDefault="00314C72" w:rsidP="00314C72">
            <w:pPr>
              <w:spacing w:line="240" w:lineRule="auto"/>
              <w:jc w:val="center"/>
              <w:rPr>
                <w:rFonts w:eastAsia="Times New Roman"/>
                <w:sz w:val="20"/>
                <w:szCs w:val="20"/>
                <w:lang w:eastAsia="cs-CZ"/>
              </w:rPr>
            </w:pPr>
            <w:r w:rsidRPr="00730B1E">
              <w:rPr>
                <w:rFonts w:eastAsia="Times New Roman"/>
                <w:sz w:val="20"/>
                <w:szCs w:val="20"/>
                <w:lang w:eastAsia="cs-CZ"/>
              </w:rPr>
              <w:t xml:space="preserve">+9 %  </w:t>
            </w:r>
          </w:p>
        </w:tc>
      </w:tr>
      <w:tr w:rsidR="00B64E96" w:rsidRPr="00730B1E" w14:paraId="3640931F" w14:textId="77777777" w:rsidTr="00314C72">
        <w:trPr>
          <w:trHeight w:val="330"/>
        </w:trPr>
        <w:tc>
          <w:tcPr>
            <w:tcW w:w="2020" w:type="dxa"/>
            <w:tcBorders>
              <w:top w:val="nil"/>
              <w:left w:val="nil"/>
              <w:bottom w:val="nil"/>
              <w:right w:val="nil"/>
            </w:tcBorders>
            <w:shd w:val="clear" w:color="auto" w:fill="auto"/>
            <w:noWrap/>
            <w:vAlign w:val="bottom"/>
            <w:hideMark/>
          </w:tcPr>
          <w:p w14:paraId="4953EE43" w14:textId="77777777" w:rsidR="00314C72" w:rsidRPr="00730B1E" w:rsidRDefault="00314C72" w:rsidP="00314C72">
            <w:pPr>
              <w:spacing w:line="240" w:lineRule="auto"/>
              <w:jc w:val="left"/>
              <w:rPr>
                <w:rFonts w:eastAsia="Times New Roman"/>
                <w:szCs w:val="24"/>
                <w:lang w:eastAsia="cs-CZ"/>
              </w:rPr>
            </w:pPr>
            <w:r w:rsidRPr="00730B1E">
              <w:rPr>
                <w:rFonts w:eastAsia="Times New Roman"/>
                <w:szCs w:val="24"/>
                <w:lang w:eastAsia="cs-CZ"/>
              </w:rPr>
              <w:t>VS Olomouc</w:t>
            </w:r>
          </w:p>
        </w:tc>
        <w:tc>
          <w:tcPr>
            <w:tcW w:w="1017" w:type="dxa"/>
            <w:tcBorders>
              <w:top w:val="nil"/>
              <w:left w:val="nil"/>
              <w:bottom w:val="nil"/>
              <w:right w:val="nil"/>
            </w:tcBorders>
            <w:shd w:val="clear" w:color="auto" w:fill="auto"/>
            <w:noWrap/>
            <w:vAlign w:val="bottom"/>
            <w:hideMark/>
          </w:tcPr>
          <w:p w14:paraId="33E86AD0" w14:textId="1ED919F6" w:rsidR="00314C72" w:rsidRPr="00730B1E" w:rsidRDefault="00314C72" w:rsidP="00314C72">
            <w:pPr>
              <w:spacing w:line="240" w:lineRule="auto"/>
              <w:jc w:val="center"/>
              <w:rPr>
                <w:rFonts w:eastAsia="Times New Roman"/>
                <w:szCs w:val="24"/>
                <w:lang w:eastAsia="cs-CZ"/>
              </w:rPr>
            </w:pPr>
            <w:r w:rsidRPr="00730B1E">
              <w:rPr>
                <w:rFonts w:eastAsia="Times New Roman"/>
                <w:szCs w:val="24"/>
                <w:lang w:eastAsia="cs-CZ"/>
              </w:rPr>
              <w:t>25,89</w:t>
            </w:r>
          </w:p>
        </w:tc>
        <w:tc>
          <w:tcPr>
            <w:tcW w:w="943" w:type="dxa"/>
            <w:tcBorders>
              <w:top w:val="nil"/>
              <w:left w:val="nil"/>
              <w:bottom w:val="nil"/>
              <w:right w:val="nil"/>
            </w:tcBorders>
            <w:shd w:val="clear" w:color="auto" w:fill="auto"/>
            <w:noWrap/>
            <w:vAlign w:val="center"/>
            <w:hideMark/>
          </w:tcPr>
          <w:p w14:paraId="76568BAB" w14:textId="77777777" w:rsidR="00314C72" w:rsidRPr="00730B1E" w:rsidRDefault="00314C72" w:rsidP="00314C72">
            <w:pPr>
              <w:spacing w:line="240" w:lineRule="auto"/>
              <w:jc w:val="center"/>
              <w:rPr>
                <w:rFonts w:eastAsia="Times New Roman"/>
                <w:sz w:val="20"/>
                <w:szCs w:val="20"/>
                <w:lang w:eastAsia="cs-CZ"/>
              </w:rPr>
            </w:pPr>
            <w:r w:rsidRPr="00730B1E">
              <w:rPr>
                <w:rFonts w:eastAsia="Times New Roman"/>
                <w:sz w:val="20"/>
                <w:szCs w:val="20"/>
                <w:lang w:eastAsia="cs-CZ"/>
              </w:rPr>
              <w:t xml:space="preserve">-15 %  </w:t>
            </w:r>
          </w:p>
        </w:tc>
        <w:tc>
          <w:tcPr>
            <w:tcW w:w="1035" w:type="dxa"/>
            <w:tcBorders>
              <w:top w:val="nil"/>
              <w:left w:val="single" w:sz="4" w:space="0" w:color="auto"/>
              <w:bottom w:val="nil"/>
              <w:right w:val="nil"/>
            </w:tcBorders>
            <w:shd w:val="clear" w:color="auto" w:fill="auto"/>
            <w:noWrap/>
            <w:vAlign w:val="bottom"/>
            <w:hideMark/>
          </w:tcPr>
          <w:p w14:paraId="713924B7" w14:textId="0215B780" w:rsidR="00314C72" w:rsidRPr="00730B1E" w:rsidRDefault="00314C72" w:rsidP="00314C72">
            <w:pPr>
              <w:spacing w:line="240" w:lineRule="auto"/>
              <w:jc w:val="center"/>
              <w:rPr>
                <w:rFonts w:eastAsia="Times New Roman"/>
                <w:szCs w:val="24"/>
                <w:lang w:eastAsia="cs-CZ"/>
              </w:rPr>
            </w:pPr>
            <w:r w:rsidRPr="00730B1E">
              <w:rPr>
                <w:rFonts w:eastAsia="Times New Roman"/>
                <w:szCs w:val="24"/>
                <w:lang w:eastAsia="cs-CZ"/>
              </w:rPr>
              <w:t>27,11</w:t>
            </w:r>
          </w:p>
        </w:tc>
        <w:tc>
          <w:tcPr>
            <w:tcW w:w="943" w:type="dxa"/>
            <w:tcBorders>
              <w:top w:val="nil"/>
              <w:left w:val="nil"/>
              <w:bottom w:val="nil"/>
              <w:right w:val="single" w:sz="4" w:space="0" w:color="auto"/>
            </w:tcBorders>
            <w:shd w:val="clear" w:color="auto" w:fill="auto"/>
            <w:noWrap/>
            <w:vAlign w:val="center"/>
            <w:hideMark/>
          </w:tcPr>
          <w:p w14:paraId="38427B97" w14:textId="77777777" w:rsidR="00314C72" w:rsidRPr="00730B1E" w:rsidRDefault="00314C72" w:rsidP="00314C72">
            <w:pPr>
              <w:spacing w:line="240" w:lineRule="auto"/>
              <w:jc w:val="center"/>
              <w:rPr>
                <w:rFonts w:eastAsia="Times New Roman"/>
                <w:sz w:val="20"/>
                <w:szCs w:val="20"/>
                <w:lang w:eastAsia="cs-CZ"/>
              </w:rPr>
            </w:pPr>
            <w:r w:rsidRPr="00730B1E">
              <w:rPr>
                <w:rFonts w:eastAsia="Times New Roman"/>
                <w:sz w:val="20"/>
                <w:szCs w:val="20"/>
                <w:lang w:eastAsia="cs-CZ"/>
              </w:rPr>
              <w:t xml:space="preserve">-10 %  </w:t>
            </w:r>
          </w:p>
        </w:tc>
        <w:tc>
          <w:tcPr>
            <w:tcW w:w="819" w:type="dxa"/>
            <w:tcBorders>
              <w:top w:val="nil"/>
              <w:left w:val="nil"/>
              <w:bottom w:val="nil"/>
              <w:right w:val="nil"/>
            </w:tcBorders>
            <w:shd w:val="clear" w:color="auto" w:fill="auto"/>
            <w:noWrap/>
            <w:vAlign w:val="bottom"/>
            <w:hideMark/>
          </w:tcPr>
          <w:p w14:paraId="698C141D" w14:textId="679F1A1C" w:rsidR="00314C72" w:rsidRPr="00730B1E" w:rsidRDefault="00314C72" w:rsidP="00314C72">
            <w:pPr>
              <w:spacing w:line="240" w:lineRule="auto"/>
              <w:jc w:val="center"/>
              <w:rPr>
                <w:rFonts w:eastAsia="Times New Roman"/>
                <w:szCs w:val="24"/>
                <w:lang w:eastAsia="cs-CZ"/>
              </w:rPr>
            </w:pPr>
            <w:r w:rsidRPr="00730B1E">
              <w:rPr>
                <w:rFonts w:eastAsia="Times New Roman"/>
                <w:szCs w:val="24"/>
                <w:lang w:eastAsia="cs-CZ"/>
              </w:rPr>
              <w:t>4,26</w:t>
            </w:r>
          </w:p>
        </w:tc>
        <w:tc>
          <w:tcPr>
            <w:tcW w:w="943" w:type="dxa"/>
            <w:tcBorders>
              <w:top w:val="nil"/>
              <w:left w:val="nil"/>
              <w:bottom w:val="nil"/>
              <w:right w:val="nil"/>
            </w:tcBorders>
            <w:shd w:val="clear" w:color="auto" w:fill="auto"/>
            <w:noWrap/>
            <w:vAlign w:val="center"/>
            <w:hideMark/>
          </w:tcPr>
          <w:p w14:paraId="3DEC8895" w14:textId="77777777" w:rsidR="00314C72" w:rsidRPr="00730B1E" w:rsidRDefault="00314C72" w:rsidP="00314C72">
            <w:pPr>
              <w:spacing w:line="240" w:lineRule="auto"/>
              <w:jc w:val="center"/>
              <w:rPr>
                <w:rFonts w:eastAsia="Times New Roman"/>
                <w:sz w:val="20"/>
                <w:szCs w:val="20"/>
                <w:lang w:eastAsia="cs-CZ"/>
              </w:rPr>
            </w:pPr>
            <w:r w:rsidRPr="00730B1E">
              <w:rPr>
                <w:rFonts w:eastAsia="Times New Roman"/>
                <w:sz w:val="20"/>
                <w:szCs w:val="20"/>
                <w:lang w:eastAsia="cs-CZ"/>
              </w:rPr>
              <w:t xml:space="preserve">-21 %  </w:t>
            </w:r>
          </w:p>
        </w:tc>
      </w:tr>
      <w:tr w:rsidR="00B64E96" w:rsidRPr="00730B1E" w14:paraId="25E1E7D1" w14:textId="77777777" w:rsidTr="00314C72">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6658E1AE" w14:textId="77777777" w:rsidR="00314C72" w:rsidRPr="00730B1E" w:rsidRDefault="00314C72" w:rsidP="00314C72">
            <w:pPr>
              <w:spacing w:line="240" w:lineRule="auto"/>
              <w:jc w:val="left"/>
              <w:rPr>
                <w:rFonts w:eastAsia="Times New Roman"/>
                <w:b/>
                <w:bCs/>
                <w:szCs w:val="24"/>
                <w:lang w:eastAsia="cs-CZ"/>
              </w:rPr>
            </w:pPr>
            <w:r w:rsidRPr="00730B1E">
              <w:rPr>
                <w:rFonts w:eastAsia="Times New Roman"/>
                <w:b/>
                <w:bCs/>
                <w:szCs w:val="24"/>
                <w:lang w:eastAsia="cs-CZ"/>
              </w:rPr>
              <w:t>Celkem ČR</w:t>
            </w:r>
          </w:p>
        </w:tc>
        <w:tc>
          <w:tcPr>
            <w:tcW w:w="1017" w:type="dxa"/>
            <w:tcBorders>
              <w:top w:val="double" w:sz="6" w:space="0" w:color="auto"/>
              <w:left w:val="nil"/>
              <w:bottom w:val="double" w:sz="6" w:space="0" w:color="auto"/>
              <w:right w:val="nil"/>
            </w:tcBorders>
            <w:shd w:val="clear" w:color="auto" w:fill="auto"/>
            <w:noWrap/>
            <w:vAlign w:val="bottom"/>
            <w:hideMark/>
          </w:tcPr>
          <w:p w14:paraId="7AD6ACBE" w14:textId="3403BE25" w:rsidR="00314C72" w:rsidRPr="00730B1E" w:rsidRDefault="00314C72" w:rsidP="00314C72">
            <w:pPr>
              <w:spacing w:line="240" w:lineRule="auto"/>
              <w:jc w:val="center"/>
              <w:rPr>
                <w:rFonts w:eastAsia="Times New Roman"/>
                <w:b/>
                <w:bCs/>
                <w:szCs w:val="24"/>
                <w:lang w:eastAsia="cs-CZ"/>
              </w:rPr>
            </w:pPr>
            <w:r w:rsidRPr="00730B1E">
              <w:rPr>
                <w:rFonts w:eastAsia="Times New Roman"/>
                <w:b/>
                <w:bCs/>
                <w:szCs w:val="24"/>
                <w:lang w:eastAsia="cs-CZ"/>
              </w:rPr>
              <w:t>30,10</w:t>
            </w:r>
          </w:p>
        </w:tc>
        <w:tc>
          <w:tcPr>
            <w:tcW w:w="943" w:type="dxa"/>
            <w:tcBorders>
              <w:top w:val="double" w:sz="6" w:space="0" w:color="auto"/>
              <w:left w:val="nil"/>
              <w:bottom w:val="double" w:sz="6" w:space="0" w:color="auto"/>
              <w:right w:val="nil"/>
            </w:tcBorders>
            <w:shd w:val="clear" w:color="auto" w:fill="auto"/>
            <w:noWrap/>
            <w:vAlign w:val="center"/>
            <w:hideMark/>
          </w:tcPr>
          <w:p w14:paraId="18AE01BE" w14:textId="77777777" w:rsidR="00314C72" w:rsidRPr="00730B1E" w:rsidRDefault="00314C72" w:rsidP="00314C72">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+1 %  </w:t>
            </w:r>
          </w:p>
        </w:tc>
        <w:tc>
          <w:tcPr>
            <w:tcW w:w="1035" w:type="dxa"/>
            <w:tcBorders>
              <w:top w:val="double" w:sz="6" w:space="0" w:color="auto"/>
              <w:left w:val="single" w:sz="4" w:space="0" w:color="auto"/>
              <w:bottom w:val="double" w:sz="6" w:space="0" w:color="auto"/>
              <w:right w:val="nil"/>
            </w:tcBorders>
            <w:shd w:val="clear" w:color="auto" w:fill="auto"/>
            <w:noWrap/>
            <w:vAlign w:val="bottom"/>
            <w:hideMark/>
          </w:tcPr>
          <w:p w14:paraId="66858E4B" w14:textId="07901F9E" w:rsidR="00314C72" w:rsidRPr="00730B1E" w:rsidRDefault="00314C72" w:rsidP="00314C72">
            <w:pPr>
              <w:spacing w:line="240" w:lineRule="auto"/>
              <w:jc w:val="center"/>
              <w:rPr>
                <w:rFonts w:eastAsia="Times New Roman"/>
                <w:b/>
                <w:bCs/>
                <w:szCs w:val="24"/>
                <w:lang w:eastAsia="cs-CZ"/>
              </w:rPr>
            </w:pPr>
            <w:r w:rsidRPr="00730B1E">
              <w:rPr>
                <w:rFonts w:eastAsia="Times New Roman"/>
                <w:b/>
                <w:bCs/>
                <w:szCs w:val="24"/>
                <w:lang w:eastAsia="cs-CZ"/>
              </w:rPr>
              <w:t>30,00</w:t>
            </w:r>
          </w:p>
        </w:tc>
        <w:tc>
          <w:tcPr>
            <w:tcW w:w="943" w:type="dxa"/>
            <w:tcBorders>
              <w:top w:val="double" w:sz="6" w:space="0" w:color="auto"/>
              <w:left w:val="nil"/>
              <w:bottom w:val="double" w:sz="6" w:space="0" w:color="auto"/>
              <w:right w:val="single" w:sz="4" w:space="0" w:color="auto"/>
            </w:tcBorders>
            <w:shd w:val="clear" w:color="auto" w:fill="auto"/>
            <w:noWrap/>
            <w:vAlign w:val="center"/>
            <w:hideMark/>
          </w:tcPr>
          <w:p w14:paraId="2CB0BCE6" w14:textId="77777777" w:rsidR="00314C72" w:rsidRPr="00730B1E" w:rsidRDefault="00314C72" w:rsidP="00314C72">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+0 %  </w:t>
            </w:r>
          </w:p>
        </w:tc>
        <w:tc>
          <w:tcPr>
            <w:tcW w:w="819" w:type="dxa"/>
            <w:tcBorders>
              <w:top w:val="double" w:sz="6" w:space="0" w:color="auto"/>
              <w:left w:val="nil"/>
              <w:bottom w:val="double" w:sz="6" w:space="0" w:color="auto"/>
              <w:right w:val="nil"/>
            </w:tcBorders>
            <w:shd w:val="clear" w:color="auto" w:fill="auto"/>
            <w:noWrap/>
            <w:vAlign w:val="bottom"/>
            <w:hideMark/>
          </w:tcPr>
          <w:p w14:paraId="134B7B61" w14:textId="5579FC81" w:rsidR="00314C72" w:rsidRPr="00730B1E" w:rsidRDefault="00314C72" w:rsidP="00314C72">
            <w:pPr>
              <w:spacing w:line="240" w:lineRule="auto"/>
              <w:jc w:val="center"/>
              <w:rPr>
                <w:rFonts w:eastAsia="Times New Roman"/>
                <w:b/>
                <w:bCs/>
                <w:szCs w:val="24"/>
                <w:lang w:eastAsia="cs-CZ"/>
              </w:rPr>
            </w:pPr>
            <w:r w:rsidRPr="00730B1E">
              <w:rPr>
                <w:rFonts w:eastAsia="Times New Roman"/>
                <w:b/>
                <w:bCs/>
                <w:szCs w:val="24"/>
                <w:lang w:eastAsia="cs-CZ"/>
              </w:rPr>
              <w:t>4,30</w:t>
            </w:r>
          </w:p>
        </w:tc>
        <w:tc>
          <w:tcPr>
            <w:tcW w:w="943" w:type="dxa"/>
            <w:tcBorders>
              <w:top w:val="double" w:sz="6" w:space="0" w:color="auto"/>
              <w:left w:val="nil"/>
              <w:bottom w:val="double" w:sz="6" w:space="0" w:color="auto"/>
              <w:right w:val="nil"/>
            </w:tcBorders>
            <w:shd w:val="clear" w:color="auto" w:fill="auto"/>
            <w:noWrap/>
            <w:vAlign w:val="center"/>
            <w:hideMark/>
          </w:tcPr>
          <w:p w14:paraId="51C8F814" w14:textId="77777777" w:rsidR="00314C72" w:rsidRPr="00730B1E" w:rsidRDefault="00314C72" w:rsidP="00314C72">
            <w:pPr>
              <w:spacing w:line="240" w:lineRule="auto"/>
              <w:jc w:val="center"/>
              <w:rPr>
                <w:rFonts w:eastAsia="Times New Roman"/>
                <w:b/>
                <w:bCs/>
                <w:sz w:val="20"/>
                <w:szCs w:val="20"/>
                <w:lang w:eastAsia="cs-CZ"/>
              </w:rPr>
            </w:pPr>
            <w:r w:rsidRPr="00730B1E">
              <w:rPr>
                <w:rFonts w:eastAsia="Times New Roman"/>
                <w:b/>
                <w:bCs/>
                <w:sz w:val="20"/>
                <w:szCs w:val="20"/>
                <w:lang w:eastAsia="cs-CZ"/>
              </w:rPr>
              <w:t xml:space="preserve">-3 %  </w:t>
            </w:r>
          </w:p>
        </w:tc>
      </w:tr>
      <w:tr w:rsidR="00B64E96" w:rsidRPr="00730B1E" w14:paraId="20889992" w14:textId="77777777" w:rsidTr="00314C72">
        <w:trPr>
          <w:trHeight w:val="330"/>
        </w:trPr>
        <w:tc>
          <w:tcPr>
            <w:tcW w:w="2020" w:type="dxa"/>
            <w:tcBorders>
              <w:top w:val="nil"/>
              <w:left w:val="nil"/>
              <w:bottom w:val="nil"/>
              <w:right w:val="nil"/>
            </w:tcBorders>
            <w:shd w:val="clear" w:color="auto" w:fill="auto"/>
            <w:noWrap/>
            <w:vAlign w:val="bottom"/>
            <w:hideMark/>
          </w:tcPr>
          <w:p w14:paraId="6686FA84" w14:textId="77777777" w:rsidR="00314C72" w:rsidRPr="00730B1E" w:rsidRDefault="00314C72" w:rsidP="00314C72">
            <w:pPr>
              <w:spacing w:line="240" w:lineRule="auto"/>
              <w:jc w:val="center"/>
              <w:rPr>
                <w:rFonts w:eastAsia="Times New Roman"/>
                <w:b/>
                <w:bCs/>
                <w:sz w:val="20"/>
                <w:szCs w:val="20"/>
                <w:lang w:eastAsia="cs-CZ"/>
              </w:rPr>
            </w:pPr>
          </w:p>
        </w:tc>
        <w:tc>
          <w:tcPr>
            <w:tcW w:w="1017" w:type="dxa"/>
            <w:tcBorders>
              <w:top w:val="nil"/>
              <w:left w:val="nil"/>
              <w:bottom w:val="nil"/>
              <w:right w:val="nil"/>
            </w:tcBorders>
            <w:shd w:val="clear" w:color="auto" w:fill="auto"/>
            <w:noWrap/>
            <w:vAlign w:val="bottom"/>
            <w:hideMark/>
          </w:tcPr>
          <w:p w14:paraId="63457FA1" w14:textId="77777777" w:rsidR="00314C72" w:rsidRPr="00DF07F3" w:rsidRDefault="00314C72" w:rsidP="00314C72">
            <w:pPr>
              <w:spacing w:line="240" w:lineRule="auto"/>
              <w:jc w:val="left"/>
              <w:rPr>
                <w:sz w:val="20"/>
              </w:rPr>
            </w:pPr>
          </w:p>
        </w:tc>
        <w:tc>
          <w:tcPr>
            <w:tcW w:w="943" w:type="dxa"/>
            <w:tcBorders>
              <w:top w:val="nil"/>
              <w:left w:val="nil"/>
              <w:bottom w:val="nil"/>
              <w:right w:val="nil"/>
            </w:tcBorders>
            <w:shd w:val="clear" w:color="auto" w:fill="auto"/>
            <w:noWrap/>
            <w:vAlign w:val="bottom"/>
            <w:hideMark/>
          </w:tcPr>
          <w:p w14:paraId="7C3E2FFB" w14:textId="77777777" w:rsidR="00314C72" w:rsidRPr="00DF07F3" w:rsidRDefault="00314C72" w:rsidP="00314C72">
            <w:pPr>
              <w:spacing w:line="240" w:lineRule="auto"/>
              <w:jc w:val="left"/>
              <w:rPr>
                <w:sz w:val="20"/>
              </w:rPr>
            </w:pPr>
          </w:p>
        </w:tc>
        <w:tc>
          <w:tcPr>
            <w:tcW w:w="1035" w:type="dxa"/>
            <w:tcBorders>
              <w:top w:val="nil"/>
              <w:left w:val="nil"/>
              <w:bottom w:val="nil"/>
              <w:right w:val="nil"/>
            </w:tcBorders>
            <w:shd w:val="clear" w:color="auto" w:fill="auto"/>
            <w:noWrap/>
            <w:vAlign w:val="bottom"/>
            <w:hideMark/>
          </w:tcPr>
          <w:p w14:paraId="78C3B0FB" w14:textId="77777777" w:rsidR="00314C72" w:rsidRPr="00DF07F3" w:rsidRDefault="00314C72" w:rsidP="00314C72">
            <w:pPr>
              <w:spacing w:line="240" w:lineRule="auto"/>
              <w:jc w:val="left"/>
              <w:rPr>
                <w:sz w:val="20"/>
              </w:rPr>
            </w:pPr>
          </w:p>
        </w:tc>
        <w:tc>
          <w:tcPr>
            <w:tcW w:w="943" w:type="dxa"/>
            <w:tcBorders>
              <w:top w:val="nil"/>
              <w:left w:val="nil"/>
              <w:bottom w:val="nil"/>
              <w:right w:val="nil"/>
            </w:tcBorders>
            <w:shd w:val="clear" w:color="auto" w:fill="auto"/>
            <w:noWrap/>
            <w:vAlign w:val="bottom"/>
            <w:hideMark/>
          </w:tcPr>
          <w:p w14:paraId="066996AE" w14:textId="77777777" w:rsidR="00314C72" w:rsidRPr="00DF07F3" w:rsidRDefault="00314C72" w:rsidP="00314C72">
            <w:pPr>
              <w:spacing w:line="240" w:lineRule="auto"/>
              <w:jc w:val="left"/>
              <w:rPr>
                <w:sz w:val="20"/>
              </w:rPr>
            </w:pPr>
          </w:p>
        </w:tc>
        <w:tc>
          <w:tcPr>
            <w:tcW w:w="819" w:type="dxa"/>
            <w:tcBorders>
              <w:top w:val="nil"/>
              <w:left w:val="nil"/>
              <w:bottom w:val="nil"/>
              <w:right w:val="nil"/>
            </w:tcBorders>
            <w:shd w:val="clear" w:color="auto" w:fill="auto"/>
            <w:noWrap/>
            <w:vAlign w:val="bottom"/>
            <w:hideMark/>
          </w:tcPr>
          <w:p w14:paraId="1BC650AE" w14:textId="77777777" w:rsidR="00314C72" w:rsidRPr="00DF07F3" w:rsidRDefault="00314C72" w:rsidP="00314C72">
            <w:pPr>
              <w:spacing w:line="240" w:lineRule="auto"/>
              <w:jc w:val="left"/>
              <w:rPr>
                <w:sz w:val="20"/>
              </w:rPr>
            </w:pPr>
          </w:p>
        </w:tc>
        <w:tc>
          <w:tcPr>
            <w:tcW w:w="943" w:type="dxa"/>
            <w:tcBorders>
              <w:top w:val="nil"/>
              <w:left w:val="nil"/>
              <w:bottom w:val="nil"/>
              <w:right w:val="nil"/>
            </w:tcBorders>
            <w:shd w:val="clear" w:color="auto" w:fill="auto"/>
            <w:noWrap/>
            <w:vAlign w:val="bottom"/>
            <w:hideMark/>
          </w:tcPr>
          <w:p w14:paraId="2211D0EB" w14:textId="77777777" w:rsidR="00314C72" w:rsidRPr="00DF07F3" w:rsidRDefault="00314C72" w:rsidP="00314C72">
            <w:pPr>
              <w:spacing w:line="240" w:lineRule="auto"/>
              <w:jc w:val="left"/>
              <w:rPr>
                <w:sz w:val="20"/>
              </w:rPr>
            </w:pPr>
          </w:p>
        </w:tc>
      </w:tr>
    </w:tbl>
    <w:p w14:paraId="4C9F7AE9" w14:textId="5C70E3B5" w:rsidR="007E57C7" w:rsidRPr="00730B1E" w:rsidRDefault="00B5164A" w:rsidP="00B5164A">
      <w:pPr>
        <w:pStyle w:val="Nadpis3"/>
        <w:numPr>
          <w:ilvl w:val="2"/>
          <w:numId w:val="1"/>
        </w:numPr>
        <w:rPr>
          <w:color w:val="auto"/>
          <w:lang w:eastAsia="cs-CZ"/>
        </w:rPr>
      </w:pPr>
      <w:bookmarkStart w:id="1492" w:name="_Toc169250878"/>
      <w:bookmarkStart w:id="1493" w:name="_Toc174080914"/>
      <w:r w:rsidRPr="00730B1E">
        <w:rPr>
          <w:color w:val="auto"/>
          <w:lang w:eastAsia="cs-CZ"/>
        </w:rPr>
        <w:t>Disposition time</w:t>
      </w:r>
      <w:bookmarkEnd w:id="1492"/>
      <w:bookmarkEnd w:id="1493"/>
    </w:p>
    <w:p w14:paraId="6AAC9E93" w14:textId="0334EE81" w:rsidR="001F4EAB" w:rsidRPr="00730B1E" w:rsidRDefault="001F4EAB" w:rsidP="001F4EAB">
      <w:pPr>
        <w:pStyle w:val="OdstavecASR"/>
      </w:pPr>
      <w:bookmarkStart w:id="1494" w:name="_Toc515871290"/>
      <w:r w:rsidRPr="00730B1E">
        <w:rPr>
          <w:lang w:eastAsia="cs-CZ"/>
        </w:rPr>
        <w:t>Disposition time</w:t>
      </w:r>
      <w:bookmarkEnd w:id="1494"/>
      <w:r w:rsidRPr="00730B1E">
        <w:rPr>
          <w:lang w:eastAsia="cs-CZ"/>
        </w:rPr>
        <w:t xml:space="preserve"> (dispoziční čas)</w:t>
      </w:r>
      <w:r w:rsidRPr="00730B1E">
        <w:t xml:space="preserve"> opět potvrzuje to, co ukazují předchozí podkapitoly. Nejdůležitějším závěrem je, že DT je z dlouhodobého hlediska nízký. U VS v Olomouci je pak DT značně nestabilní; zejména nárůst v letech 2016 a 2018 je velmi výrazný, což plyne z dlouhodobě velmi malého počtu nevyřízených věcí. U VS v Praze je DT v posledních letech pozoruhodně vyrovnaný.</w:t>
      </w:r>
    </w:p>
    <w:p w14:paraId="226A2416" w14:textId="5CF71989" w:rsidR="001F4EAB" w:rsidRPr="00730B1E" w:rsidRDefault="001F4EAB">
      <w:pPr>
        <w:spacing w:after="160" w:line="259" w:lineRule="auto"/>
        <w:jc w:val="left"/>
      </w:pPr>
      <w:r w:rsidRPr="00730B1E">
        <w:br w:type="page"/>
      </w:r>
    </w:p>
    <w:p w14:paraId="30C2038D" w14:textId="7A641431" w:rsidR="001F4EAB" w:rsidRPr="00730B1E" w:rsidRDefault="001F4EAB" w:rsidP="001F4EAB">
      <w:pPr>
        <w:pStyle w:val="Podnadpis"/>
        <w:numPr>
          <w:ilvl w:val="0"/>
          <w:numId w:val="0"/>
        </w:numPr>
        <w:rPr>
          <w:color w:val="auto"/>
        </w:rPr>
      </w:pPr>
      <w:bookmarkStart w:id="1495" w:name="_Toc43841471"/>
      <w:bookmarkStart w:id="1496" w:name="_Toc75952274"/>
      <w:bookmarkStart w:id="1497" w:name="_Toc106106731"/>
      <w:bookmarkStart w:id="1498" w:name="_Toc109802055"/>
      <w:bookmarkStart w:id="1499" w:name="_Toc144104205"/>
      <w:bookmarkStart w:id="1500" w:name="_Toc169251018"/>
      <w:bookmarkStart w:id="1501" w:name="_Toc174080704"/>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99</w:t>
      </w:r>
      <w:r w:rsidRPr="00730B1E">
        <w:rPr>
          <w:noProof/>
          <w:color w:val="auto"/>
        </w:rPr>
        <w:fldChar w:fldCharType="end"/>
      </w:r>
      <w:r w:rsidRPr="00730B1E">
        <w:rPr>
          <w:color w:val="auto"/>
        </w:rPr>
        <w:t>: VS – DT trestního odvolacího řízení v letech 2015–20</w:t>
      </w:r>
      <w:bookmarkEnd w:id="1495"/>
      <w:r w:rsidRPr="00730B1E">
        <w:rPr>
          <w:color w:val="auto"/>
        </w:rPr>
        <w:t>2</w:t>
      </w:r>
      <w:bookmarkEnd w:id="1496"/>
      <w:bookmarkEnd w:id="1497"/>
      <w:bookmarkEnd w:id="1498"/>
      <w:bookmarkEnd w:id="1499"/>
      <w:r w:rsidRPr="00730B1E">
        <w:rPr>
          <w:color w:val="auto"/>
        </w:rPr>
        <w:t>3</w:t>
      </w:r>
      <w:bookmarkEnd w:id="1500"/>
      <w:bookmarkEnd w:id="1501"/>
    </w:p>
    <w:p w14:paraId="71DC8F89" w14:textId="454AF03D" w:rsidR="007E57C7" w:rsidRPr="00730B1E" w:rsidRDefault="001F4EAB">
      <w:pPr>
        <w:spacing w:after="160" w:line="259" w:lineRule="auto"/>
        <w:jc w:val="left"/>
        <w:rPr>
          <w:rFonts w:eastAsia="Times New Roman"/>
          <w:b/>
          <w:bCs/>
          <w:lang w:eastAsia="cs-CZ"/>
        </w:rPr>
      </w:pPr>
      <w:r w:rsidRPr="00730B1E">
        <w:rPr>
          <w:rFonts w:eastAsia="Times New Roman"/>
          <w:b/>
          <w:bCs/>
          <w:noProof/>
          <w:lang w:eastAsia="cs-CZ"/>
        </w:rPr>
        <w:drawing>
          <wp:inline distT="0" distB="0" distL="0" distR="0" wp14:anchorId="5CF19C44" wp14:editId="5DA60642">
            <wp:extent cx="5029200" cy="3657600"/>
            <wp:effectExtent l="0" t="0" r="0" b="0"/>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2AFAD2D" w14:textId="77777777" w:rsidR="001F4EAB" w:rsidRPr="00730B1E" w:rsidRDefault="001F4EAB" w:rsidP="001F4EAB">
      <w:pPr>
        <w:pStyle w:val="OdstavecASR"/>
      </w:pPr>
      <w:r w:rsidRPr="00730B1E">
        <w:t>Situaci v této agendě lze shrnout tak, že ani jeden ze soudů dlouhodobě nevykazuje problém s jejím vyřizováním a oba soudy ji vyřizují přibližně stejně rychle. O něco lepší ukazatele nyní vykazuje spíše VS Praha. Data v některých obdobích vykazují určité výkyvy, které jsou způsobeny tím, že počet pozorování (např. počet pravomocně skončených věcí) je malý.</w:t>
      </w:r>
    </w:p>
    <w:p w14:paraId="72C4A08E" w14:textId="20AE6B02" w:rsidR="001F4EAB" w:rsidRPr="00730B1E" w:rsidRDefault="001F4EAB">
      <w:pPr>
        <w:spacing w:after="160" w:line="259" w:lineRule="auto"/>
        <w:jc w:val="left"/>
        <w:rPr>
          <w:rFonts w:eastAsia="Times New Roman"/>
          <w:b/>
          <w:bCs/>
          <w:lang w:eastAsia="cs-CZ"/>
        </w:rPr>
      </w:pPr>
      <w:r w:rsidRPr="00730B1E">
        <w:rPr>
          <w:rFonts w:eastAsia="Times New Roman"/>
          <w:b/>
          <w:bCs/>
          <w:lang w:eastAsia="cs-CZ"/>
        </w:rPr>
        <w:br w:type="page"/>
      </w:r>
    </w:p>
    <w:p w14:paraId="47BF655B" w14:textId="5DB2E3EE" w:rsidR="008430BD" w:rsidRPr="00730B1E" w:rsidRDefault="008430BD" w:rsidP="008430BD">
      <w:pPr>
        <w:pStyle w:val="Nadpis2"/>
        <w:numPr>
          <w:ilvl w:val="1"/>
          <w:numId w:val="1"/>
        </w:numPr>
        <w:spacing w:before="120"/>
        <w:rPr>
          <w:color w:val="auto"/>
        </w:rPr>
      </w:pPr>
      <w:bookmarkStart w:id="1502" w:name="_Toc106092802"/>
      <w:bookmarkStart w:id="1503" w:name="_Toc487791293"/>
      <w:bookmarkStart w:id="1504" w:name="_Toc515871291"/>
      <w:bookmarkStart w:id="1505" w:name="_Toc169250879"/>
      <w:bookmarkStart w:id="1506" w:name="_Toc174080915"/>
      <w:r w:rsidRPr="00730B1E">
        <w:rPr>
          <w:color w:val="auto"/>
        </w:rPr>
        <w:lastRenderedPageBreak/>
        <w:t xml:space="preserve">Insolvenční agenda – II. </w:t>
      </w:r>
      <w:bookmarkEnd w:id="1502"/>
      <w:r w:rsidR="001A69D3" w:rsidRPr="00730B1E">
        <w:rPr>
          <w:color w:val="auto"/>
        </w:rPr>
        <w:t>S</w:t>
      </w:r>
      <w:r w:rsidRPr="00730B1E">
        <w:rPr>
          <w:color w:val="auto"/>
        </w:rPr>
        <w:t>tupeň</w:t>
      </w:r>
      <w:bookmarkEnd w:id="1503"/>
      <w:bookmarkEnd w:id="1504"/>
      <w:bookmarkEnd w:id="1505"/>
      <w:bookmarkEnd w:id="1506"/>
    </w:p>
    <w:p w14:paraId="28A68118" w14:textId="77777777" w:rsidR="001F4EAB" w:rsidRPr="00730B1E" w:rsidRDefault="001F4EAB" w:rsidP="001F4EAB">
      <w:pPr>
        <w:pStyle w:val="OdstavecASR"/>
      </w:pPr>
      <w:r w:rsidRPr="00730B1E">
        <w:t>Vrchní soudy vyřizují také insolvenční agendu v druhém stupni, to znamená především odvolání podaná proti rozhodnutí prvostupňových krajských insolvenčních soudů v rejstříku INS. Dále jsou do této agendy zahrnuta řízení o podjatosti, řízení o přikázání věci a řízení o příslušnosti vztahující se k insolvenčnímu řízení. Počet napadlých věcí v těchto agendách se však pohybuje v řádech jednotek. V insolvenční agendě nejsou k dispozici délky řízení</w:t>
      </w:r>
      <w:r w:rsidRPr="00730B1E">
        <w:rPr>
          <w:rStyle w:val="Znakapoznpodarou"/>
        </w:rPr>
        <w:footnoteReference w:id="12"/>
      </w:r>
      <w:r w:rsidRPr="00730B1E">
        <w:t xml:space="preserve"> a nelze ani provést přepočet na jednoho soudce</w:t>
      </w:r>
      <w:r w:rsidRPr="00730B1E">
        <w:rPr>
          <w:rStyle w:val="Znakapoznpodarou"/>
        </w:rPr>
        <w:footnoteReference w:id="13"/>
      </w:r>
      <w:r w:rsidRPr="00730B1E">
        <w:t>.</w:t>
      </w:r>
    </w:p>
    <w:p w14:paraId="601641D6" w14:textId="63D1A824" w:rsidR="008430BD" w:rsidRPr="00730B1E" w:rsidRDefault="008430BD" w:rsidP="008430BD">
      <w:pPr>
        <w:pStyle w:val="Nadpis3"/>
        <w:numPr>
          <w:ilvl w:val="2"/>
          <w:numId w:val="1"/>
        </w:numPr>
        <w:rPr>
          <w:color w:val="auto"/>
          <w:lang w:eastAsia="cs-CZ"/>
        </w:rPr>
      </w:pPr>
      <w:bookmarkStart w:id="1507" w:name="_Toc515871292"/>
      <w:bookmarkStart w:id="1508" w:name="_Toc106092803"/>
      <w:bookmarkStart w:id="1509" w:name="_Toc169250880"/>
      <w:bookmarkStart w:id="1510" w:name="_Toc174080916"/>
      <w:r w:rsidRPr="00730B1E">
        <w:rPr>
          <w:color w:val="auto"/>
          <w:lang w:eastAsia="cs-CZ"/>
        </w:rPr>
        <w:t>Vyřizování věcí</w:t>
      </w:r>
      <w:bookmarkEnd w:id="1507"/>
      <w:bookmarkEnd w:id="1508"/>
      <w:bookmarkEnd w:id="1509"/>
      <w:bookmarkEnd w:id="1510"/>
    </w:p>
    <w:p w14:paraId="3CEB09DA" w14:textId="39047E16" w:rsidR="00AA0637" w:rsidRPr="00730B1E" w:rsidRDefault="00716C43" w:rsidP="00AA0637">
      <w:pPr>
        <w:pStyle w:val="OdstavecASR"/>
      </w:pPr>
      <w:r w:rsidRPr="00730B1E">
        <w:t xml:space="preserve">Do roku 2014 vykazovaly </w:t>
      </w:r>
      <w:r w:rsidR="00AA0637" w:rsidRPr="00730B1E">
        <w:t xml:space="preserve">soudy </w:t>
      </w:r>
      <w:r w:rsidRPr="00730B1E">
        <w:t>významný</w:t>
      </w:r>
      <w:r w:rsidR="00AA0637" w:rsidRPr="00730B1E">
        <w:t xml:space="preserve"> nárůst v nápadu i počtu vyřízených a nevyřízených věcí</w:t>
      </w:r>
      <w:r w:rsidRPr="00730B1E">
        <w:t xml:space="preserve">. Opačný trend pak panoval v letech </w:t>
      </w:r>
      <w:r w:rsidR="00AA0637" w:rsidRPr="00730B1E">
        <w:t xml:space="preserve">2015 až 2020. Důvody jsou stejné jako v případě insolvenční agendy u prvostupňových soudů, tedy skutečnost, že rejstřík vznikl v roce 2008 a logicky trvá několik let, než se nápad ustálí. U odvolání dojde ke stabilizaci s určitým zpožděním oproti prvostupňové agendě. U VS v Praze začal nápad klesat v roce 2015, u VS v Olomouci došlo k poklesu až v roce 2017. </w:t>
      </w:r>
      <w:r w:rsidRPr="00730B1E">
        <w:t>P</w:t>
      </w:r>
      <w:r w:rsidR="00AA0637" w:rsidRPr="00730B1E">
        <w:t xml:space="preserve">okles v počtu příchozích věcí v letech 2017 a 2018 je </w:t>
      </w:r>
      <w:r w:rsidRPr="00730B1E">
        <w:t xml:space="preserve">přitom </w:t>
      </w:r>
      <w:r w:rsidR="00AA0637" w:rsidRPr="00730B1E">
        <w:t>opravdu vysoký</w:t>
      </w:r>
      <w:r w:rsidRPr="00730B1E">
        <w:t xml:space="preserve"> – p</w:t>
      </w:r>
      <w:r w:rsidR="00AA0637" w:rsidRPr="00730B1E">
        <w:t>očet příchozích věcí v roce 2018 byl u VS v Praze ve srovnání s rokem 2016 o 24 % nižší, u VS v Olomouci pak dokonce o 47 %. V roce 2019 počet příchozích věcí stagnoval a byl nižší než počet věcí vyřízených. U obou soudů tedy došlo k poklesu v počtu nevyřízených věcí. V roce 2020 pozorujeme u obou soudů nemalý pokles počtu příchozích, a tedy i vyřízených věcí. Ten plyne z poklesu v počtu prvostupňových věcí. V roce 2021 počet příchozích i vyřízených věcí u VS v Olomouci stagnoval. Počet nevyřízených věcí vzrostl téměř na dvojnásobek, ale v absolutních číslech se jedná pouze o necelých 50 věcí. U VS v Praze je vidět, že počet příchozích i vyřízených věcí se vrátil na úroveň roku 2019.</w:t>
      </w:r>
    </w:p>
    <w:p w14:paraId="1FE5D713" w14:textId="2A099B35" w:rsidR="00AA0637" w:rsidRPr="00730B1E" w:rsidRDefault="00AA0637" w:rsidP="00AA0637">
      <w:pPr>
        <w:pStyle w:val="OdstavecASR"/>
      </w:pPr>
      <w:r w:rsidRPr="00730B1E">
        <w:t xml:space="preserve">V roce 2022 se VS v Praze podařilo udržet počet vyřízených věcí, ale počet příchozích věcí klesl. To vedlo k citelnému poklesu v počtu nevyřízených věcí. U VS v Olomouci je vývoj jiný – stoupl počet příchozích (cca o 11 %), ale velmi výrazně i vyřízených věcí (o 22 %). Proto se u tohoto vrchního soudu počet nevyřízených věcí v roce 2022 </w:t>
      </w:r>
      <w:r w:rsidR="00716C43" w:rsidRPr="00730B1E">
        <w:t xml:space="preserve">oproti roku </w:t>
      </w:r>
      <w:r w:rsidRPr="00730B1E">
        <w:t>2021 výrazně snížil.</w:t>
      </w:r>
    </w:p>
    <w:p w14:paraId="1645E209" w14:textId="0611CD19" w:rsidR="003048D9" w:rsidRPr="00730B1E" w:rsidRDefault="003048D9" w:rsidP="00AA0637">
      <w:pPr>
        <w:pStyle w:val="OdstavecASR"/>
      </w:pPr>
      <w:r w:rsidRPr="00730B1E">
        <w:t>V roce 2023 prudce klesl počet příchozích i vyřízených věcí u VS v Praze (asi o čtvrtinu). Počet příchozích věcí převýšil počet věcí vyřízených. U VS v Olomouci rovněž došlo k poklesu příchozích a vyřízených věcí, i když pokles byl mírnější. Nelze to říct s</w:t>
      </w:r>
      <w:r w:rsidR="00C1557D" w:rsidRPr="00730B1E">
        <w:t> </w:t>
      </w:r>
      <w:r w:rsidRPr="00730B1E">
        <w:t>určitostí</w:t>
      </w:r>
      <w:r w:rsidR="00C1557D" w:rsidRPr="00730B1E">
        <w:t>,</w:t>
      </w:r>
      <w:r w:rsidRPr="00730B1E">
        <w:t xml:space="preserve"> ale může </w:t>
      </w:r>
      <w:r w:rsidR="00716C43" w:rsidRPr="00730B1E">
        <w:t xml:space="preserve">jít </w:t>
      </w:r>
      <w:r w:rsidRPr="00730B1E">
        <w:t xml:space="preserve">jen </w:t>
      </w:r>
      <w:r w:rsidR="00716C43" w:rsidRPr="00730B1E">
        <w:t>o </w:t>
      </w:r>
      <w:r w:rsidRPr="00730B1E">
        <w:t xml:space="preserve">náhodný výkyv. Ani jeden ze soudů v posledních letech nevykázal </w:t>
      </w:r>
      <w:r w:rsidR="00716C43" w:rsidRPr="00730B1E">
        <w:t xml:space="preserve">jasně definovatelný </w:t>
      </w:r>
      <w:r w:rsidRPr="00730B1E">
        <w:t xml:space="preserve">trend. </w:t>
      </w:r>
    </w:p>
    <w:p w14:paraId="71C0132A" w14:textId="77777777" w:rsidR="00AA0637" w:rsidRPr="00730B1E" w:rsidRDefault="00AA0637" w:rsidP="00AA0637">
      <w:pPr>
        <w:pStyle w:val="OdstavecASR"/>
      </w:pPr>
    </w:p>
    <w:p w14:paraId="7CB4E2E0" w14:textId="050DB27E" w:rsidR="00AA0637" w:rsidRPr="00730B1E" w:rsidRDefault="00AA0637" w:rsidP="00AA0637">
      <w:pPr>
        <w:pStyle w:val="Podnadpis"/>
        <w:numPr>
          <w:ilvl w:val="0"/>
          <w:numId w:val="0"/>
        </w:numPr>
        <w:rPr>
          <w:color w:val="auto"/>
        </w:rPr>
      </w:pPr>
      <w:bookmarkStart w:id="1511" w:name="_Ref43837240"/>
      <w:bookmarkStart w:id="1512" w:name="_Ref43837233"/>
      <w:bookmarkStart w:id="1513" w:name="_Toc43841472"/>
      <w:bookmarkStart w:id="1514" w:name="_Toc75952275"/>
      <w:bookmarkStart w:id="1515" w:name="_Toc106106732"/>
      <w:bookmarkStart w:id="1516" w:name="_Toc109802056"/>
      <w:bookmarkStart w:id="1517" w:name="_Toc144104206"/>
      <w:bookmarkStart w:id="1518" w:name="_Toc169251019"/>
      <w:bookmarkStart w:id="1519" w:name="_Toc174080705"/>
      <w:r w:rsidRPr="00730B1E">
        <w:rPr>
          <w:color w:val="auto"/>
        </w:rPr>
        <w:lastRenderedPageBreak/>
        <w:t xml:space="preserve">Graf </w:t>
      </w:r>
      <w:r w:rsidRPr="00730B1E">
        <w:rPr>
          <w:color w:val="auto"/>
        </w:rPr>
        <w:fldChar w:fldCharType="begin"/>
      </w:r>
      <w:r w:rsidRPr="00730B1E">
        <w:rPr>
          <w:noProof/>
          <w:color w:val="auto"/>
        </w:rPr>
        <w:instrText xml:space="preserve"> SEQ Graf \* ARABIC </w:instrText>
      </w:r>
      <w:r w:rsidRPr="00730B1E">
        <w:rPr>
          <w:color w:val="auto"/>
        </w:rPr>
        <w:fldChar w:fldCharType="separate"/>
      </w:r>
      <w:r w:rsidR="00056825">
        <w:rPr>
          <w:noProof/>
          <w:color w:val="auto"/>
        </w:rPr>
        <w:t>100</w:t>
      </w:r>
      <w:r w:rsidRPr="00730B1E">
        <w:rPr>
          <w:color w:val="auto"/>
        </w:rPr>
        <w:fldChar w:fldCharType="end"/>
      </w:r>
      <w:bookmarkEnd w:id="1511"/>
      <w:r w:rsidRPr="00730B1E">
        <w:rPr>
          <w:color w:val="auto"/>
        </w:rPr>
        <w:t>: VS – vyřizování insolvenční agendy v letech 201</w:t>
      </w:r>
      <w:r w:rsidR="006E0F15" w:rsidRPr="00730B1E">
        <w:rPr>
          <w:color w:val="auto"/>
        </w:rPr>
        <w:t>5</w:t>
      </w:r>
      <w:r w:rsidRPr="00730B1E">
        <w:rPr>
          <w:color w:val="auto"/>
        </w:rPr>
        <w:t>–20</w:t>
      </w:r>
      <w:bookmarkEnd w:id="1512"/>
      <w:bookmarkEnd w:id="1513"/>
      <w:r w:rsidRPr="00730B1E">
        <w:rPr>
          <w:color w:val="auto"/>
        </w:rPr>
        <w:t>2</w:t>
      </w:r>
      <w:bookmarkEnd w:id="1514"/>
      <w:bookmarkEnd w:id="1515"/>
      <w:bookmarkEnd w:id="1516"/>
      <w:bookmarkEnd w:id="1517"/>
      <w:r w:rsidR="006E0F15" w:rsidRPr="00730B1E">
        <w:rPr>
          <w:color w:val="auto"/>
        </w:rPr>
        <w:t>3</w:t>
      </w:r>
      <w:bookmarkEnd w:id="1518"/>
      <w:bookmarkEnd w:id="1519"/>
    </w:p>
    <w:p w14:paraId="1807C247" w14:textId="44CC8166" w:rsidR="00AA0637" w:rsidRPr="00730B1E" w:rsidRDefault="00AA0637" w:rsidP="00AA0637">
      <w:pPr>
        <w:pStyle w:val="OdstavecASR"/>
      </w:pPr>
      <w:r w:rsidRPr="00730B1E">
        <w:rPr>
          <w:noProof/>
          <w:lang w:eastAsia="cs-CZ"/>
        </w:rPr>
        <w:drawing>
          <wp:inline distT="0" distB="0" distL="0" distR="0" wp14:anchorId="5E3C3621" wp14:editId="6AD692D9">
            <wp:extent cx="5029200" cy="3657600"/>
            <wp:effectExtent l="0" t="0" r="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340F0A4" w14:textId="77777777" w:rsidR="003048D9" w:rsidRPr="00730B1E" w:rsidRDefault="003048D9" w:rsidP="00AA0637">
      <w:pPr>
        <w:pStyle w:val="OdstavecASR"/>
      </w:pPr>
    </w:p>
    <w:p w14:paraId="08E223A8" w14:textId="5B92C49F" w:rsidR="007879E7" w:rsidRPr="00730B1E" w:rsidRDefault="008430BD" w:rsidP="008430BD">
      <w:pPr>
        <w:pStyle w:val="Nadpis3"/>
        <w:numPr>
          <w:ilvl w:val="2"/>
          <w:numId w:val="1"/>
        </w:numPr>
        <w:rPr>
          <w:color w:val="auto"/>
          <w:lang w:eastAsia="cs-CZ"/>
        </w:rPr>
      </w:pPr>
      <w:bookmarkStart w:id="1520" w:name="_Toc515871293"/>
      <w:bookmarkStart w:id="1521" w:name="_Toc106092804"/>
      <w:bookmarkStart w:id="1522" w:name="_Toc169250881"/>
      <w:bookmarkStart w:id="1523" w:name="_Toc174080917"/>
      <w:r w:rsidRPr="00730B1E">
        <w:rPr>
          <w:color w:val="auto"/>
          <w:lang w:eastAsia="cs-CZ"/>
        </w:rPr>
        <w:t>Disposition time</w:t>
      </w:r>
      <w:bookmarkEnd w:id="1520"/>
      <w:r w:rsidRPr="00730B1E">
        <w:rPr>
          <w:color w:val="auto"/>
          <w:lang w:eastAsia="cs-CZ"/>
        </w:rPr>
        <w:t xml:space="preserve"> (dispoziční čas)</w:t>
      </w:r>
      <w:bookmarkEnd w:id="1521"/>
      <w:bookmarkEnd w:id="1522"/>
      <w:bookmarkEnd w:id="1523"/>
    </w:p>
    <w:p w14:paraId="42F23791" w14:textId="2C8013E8" w:rsidR="003048D9" w:rsidRPr="00730B1E" w:rsidRDefault="003048D9" w:rsidP="003048D9">
      <w:pPr>
        <w:pStyle w:val="Podnadpis"/>
        <w:numPr>
          <w:ilvl w:val="0"/>
          <w:numId w:val="0"/>
        </w:numPr>
        <w:rPr>
          <w:color w:val="auto"/>
        </w:rPr>
      </w:pPr>
      <w:bookmarkStart w:id="1524" w:name="_Toc515871420"/>
      <w:bookmarkStart w:id="1525" w:name="_Toc11135151"/>
      <w:bookmarkStart w:id="1526" w:name="_Toc43841473"/>
      <w:bookmarkStart w:id="1527" w:name="_Toc75952276"/>
      <w:bookmarkStart w:id="1528" w:name="_Toc106106733"/>
      <w:bookmarkStart w:id="1529" w:name="_Toc109802057"/>
      <w:bookmarkStart w:id="1530" w:name="_Toc144104207"/>
      <w:bookmarkStart w:id="1531" w:name="_Toc169251020"/>
      <w:bookmarkStart w:id="1532" w:name="_Toc17408070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101</w:t>
      </w:r>
      <w:r w:rsidRPr="00730B1E">
        <w:rPr>
          <w:color w:val="auto"/>
        </w:rPr>
        <w:fldChar w:fldCharType="end"/>
      </w:r>
      <w:r w:rsidRPr="00730B1E">
        <w:rPr>
          <w:color w:val="auto"/>
        </w:rPr>
        <w:t>: VS – DT v insolvenční agendě v letech 201</w:t>
      </w:r>
      <w:r w:rsidR="00FE1961" w:rsidRPr="00730B1E">
        <w:rPr>
          <w:color w:val="auto"/>
        </w:rPr>
        <w:t>5</w:t>
      </w:r>
      <w:r w:rsidRPr="00730B1E">
        <w:rPr>
          <w:color w:val="auto"/>
        </w:rPr>
        <w:t>–20</w:t>
      </w:r>
      <w:bookmarkEnd w:id="1524"/>
      <w:bookmarkEnd w:id="1525"/>
      <w:bookmarkEnd w:id="1526"/>
      <w:r w:rsidRPr="00730B1E">
        <w:rPr>
          <w:color w:val="auto"/>
        </w:rPr>
        <w:t>2</w:t>
      </w:r>
      <w:bookmarkEnd w:id="1527"/>
      <w:bookmarkEnd w:id="1528"/>
      <w:bookmarkEnd w:id="1529"/>
      <w:bookmarkEnd w:id="1530"/>
      <w:r w:rsidR="00FE1961" w:rsidRPr="00730B1E">
        <w:rPr>
          <w:color w:val="auto"/>
        </w:rPr>
        <w:t>3</w:t>
      </w:r>
      <w:bookmarkEnd w:id="1531"/>
      <w:bookmarkEnd w:id="1532"/>
    </w:p>
    <w:p w14:paraId="04C6352A" w14:textId="1933DA5D" w:rsidR="003048D9" w:rsidRPr="00730B1E" w:rsidRDefault="00FE1961" w:rsidP="003048D9">
      <w:pPr>
        <w:rPr>
          <w:lang w:eastAsia="cs-CZ"/>
        </w:rPr>
      </w:pPr>
      <w:r w:rsidRPr="00730B1E">
        <w:rPr>
          <w:noProof/>
          <w:lang w:eastAsia="cs-CZ"/>
        </w:rPr>
        <w:drawing>
          <wp:inline distT="0" distB="0" distL="0" distR="0" wp14:anchorId="68B7EADB" wp14:editId="44B2C4C7">
            <wp:extent cx="5029200" cy="3657600"/>
            <wp:effectExtent l="0" t="0" r="0" b="0"/>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D554CAF" w14:textId="77777777" w:rsidR="00FE1961" w:rsidRPr="00730B1E" w:rsidRDefault="00FE1961" w:rsidP="003048D9">
      <w:pPr>
        <w:rPr>
          <w:lang w:eastAsia="cs-CZ"/>
        </w:rPr>
      </w:pPr>
    </w:p>
    <w:p w14:paraId="0868B950" w14:textId="775CA701" w:rsidR="00FE1961" w:rsidRPr="00730B1E" w:rsidRDefault="00FE1961" w:rsidP="00FE1961">
      <w:pPr>
        <w:pStyle w:val="OdstavecASR"/>
      </w:pPr>
      <w:r w:rsidRPr="00730B1E">
        <w:lastRenderedPageBreak/>
        <w:t>Z dat je patrný zřetelný klesající trend u VS v</w:t>
      </w:r>
      <w:r w:rsidR="0002058C" w:rsidRPr="00730B1E">
        <w:t> </w:t>
      </w:r>
      <w:r w:rsidRPr="00730B1E">
        <w:t>Praze</w:t>
      </w:r>
      <w:r w:rsidR="0002058C" w:rsidRPr="00730B1E">
        <w:t xml:space="preserve"> v letech 2014 až 2017</w:t>
      </w:r>
      <w:r w:rsidRPr="00730B1E">
        <w:t xml:space="preserve"> vyplývající z výše popsaných změn v počtu nevyřízených věcí. U VS v Olomouci došlo také k obrovskému poklesu v</w:t>
      </w:r>
      <w:r w:rsidR="0002058C" w:rsidRPr="00730B1E">
        <w:t> </w:t>
      </w:r>
      <w:r w:rsidRPr="00730B1E">
        <w:t>DT</w:t>
      </w:r>
      <w:r w:rsidR="0002058C" w:rsidRPr="00730B1E">
        <w:t xml:space="preserve"> v roce 2017</w:t>
      </w:r>
      <w:r w:rsidRPr="00730B1E">
        <w:t xml:space="preserve">. Pokles v obou případech plyne z poklesu v počtu nevyřízených věcí a ten zase plyne především ze snížení nápadu. Vzhledem k poměrně velkým změnám v počtu vyřízených a nevyřízených věcí je DT v této agendě proměnlivý. </w:t>
      </w:r>
    </w:p>
    <w:p w14:paraId="3499E8D6" w14:textId="77777777" w:rsidR="00FE1961" w:rsidRPr="00730B1E" w:rsidRDefault="00FE1961" w:rsidP="00FE1961">
      <w:pPr>
        <w:pStyle w:val="OdstavecASR"/>
      </w:pPr>
      <w:r w:rsidRPr="00730B1E">
        <w:t>Ačkoliv není pro tuto agendu k dispozici mnoho dat, můžeme dojít k závěru, že z dlouhodobého (statistického) hlediska je vyřizování věcí pro oba soudy bezproblémové, a to i díky výraznému poklesu v počtu příchozích věcí v letech 2017 a 2018.</w:t>
      </w:r>
    </w:p>
    <w:p w14:paraId="5CA50B1D" w14:textId="77777777" w:rsidR="00FE1961" w:rsidRPr="00730B1E" w:rsidRDefault="00FE1961" w:rsidP="003048D9">
      <w:pPr>
        <w:rPr>
          <w:lang w:eastAsia="cs-CZ"/>
        </w:rPr>
      </w:pPr>
    </w:p>
    <w:p w14:paraId="7E117B30" w14:textId="24AC586C" w:rsidR="008430BD" w:rsidRPr="00730B1E" w:rsidRDefault="008430BD" w:rsidP="000624CC">
      <w:pPr>
        <w:pStyle w:val="Nadpis2"/>
        <w:pageBreakBefore/>
        <w:numPr>
          <w:ilvl w:val="1"/>
          <w:numId w:val="1"/>
        </w:numPr>
        <w:spacing w:before="120"/>
        <w:ind w:left="578" w:hanging="578"/>
        <w:rPr>
          <w:color w:val="auto"/>
        </w:rPr>
      </w:pPr>
      <w:bookmarkStart w:id="1533" w:name="_Toc106092805"/>
      <w:bookmarkStart w:id="1534" w:name="_Toc169250882"/>
      <w:bookmarkStart w:id="1535" w:name="_Toc174080918"/>
      <w:r w:rsidRPr="00730B1E">
        <w:rPr>
          <w:color w:val="auto"/>
        </w:rPr>
        <w:lastRenderedPageBreak/>
        <w:t xml:space="preserve">Incidenční spory – II. </w:t>
      </w:r>
      <w:r w:rsidR="00804DB6" w:rsidRPr="00730B1E">
        <w:rPr>
          <w:color w:val="auto"/>
        </w:rPr>
        <w:t>S</w:t>
      </w:r>
      <w:r w:rsidRPr="00730B1E">
        <w:rPr>
          <w:color w:val="auto"/>
        </w:rPr>
        <w:t>tupeň</w:t>
      </w:r>
      <w:bookmarkEnd w:id="1533"/>
      <w:bookmarkEnd w:id="1534"/>
      <w:bookmarkEnd w:id="1535"/>
    </w:p>
    <w:p w14:paraId="7E0EFFCF" w14:textId="77777777" w:rsidR="003266A8" w:rsidRPr="00730B1E" w:rsidRDefault="003266A8" w:rsidP="003266A8">
      <w:r w:rsidRPr="00730B1E">
        <w:t>Stejně jako ve většině ostatních agend i v incidenčních sporech je možné podat odvolání. Prvostupňovou agendu vyřizují krajské soudy a odvolací (druhostupňová) agenda tedy napadá na soudy vrchní.</w:t>
      </w:r>
    </w:p>
    <w:p w14:paraId="20789226" w14:textId="77777777" w:rsidR="003266A8" w:rsidRPr="00730B1E" w:rsidRDefault="003266A8" w:rsidP="003266A8">
      <w:r w:rsidRPr="00730B1E">
        <w:t>Délku řízení je možné zjistit ze statistických listů civilních a vyřizování věcí je opět možno zjistit z výkazů. U této agendy tedy budeme zkoumat délky řízení, vyřizování věcí a disposition time.</w:t>
      </w:r>
    </w:p>
    <w:p w14:paraId="736FC104" w14:textId="77777777" w:rsidR="008430BD" w:rsidRPr="00730B1E" w:rsidRDefault="008430BD" w:rsidP="008430BD">
      <w:pPr>
        <w:pStyle w:val="Nadpis3"/>
        <w:numPr>
          <w:ilvl w:val="2"/>
          <w:numId w:val="1"/>
        </w:numPr>
        <w:rPr>
          <w:color w:val="auto"/>
        </w:rPr>
      </w:pPr>
      <w:bookmarkStart w:id="1536" w:name="_Toc43903107"/>
      <w:bookmarkStart w:id="1537" w:name="_Toc106092806"/>
      <w:bookmarkStart w:id="1538" w:name="_Toc169250883"/>
      <w:bookmarkStart w:id="1539" w:name="_Toc174080919"/>
      <w:r w:rsidRPr="00730B1E">
        <w:rPr>
          <w:color w:val="auto"/>
        </w:rPr>
        <w:t>Délka řízení</w:t>
      </w:r>
      <w:bookmarkEnd w:id="1536"/>
      <w:bookmarkEnd w:id="1537"/>
      <w:bookmarkEnd w:id="1538"/>
      <w:bookmarkEnd w:id="1539"/>
    </w:p>
    <w:p w14:paraId="321B23C0" w14:textId="4668C101" w:rsidR="003266A8" w:rsidRPr="00730B1E" w:rsidRDefault="003266A8" w:rsidP="003266A8">
      <w:pPr>
        <w:pStyle w:val="Podnadpis"/>
        <w:numPr>
          <w:ilvl w:val="0"/>
          <w:numId w:val="0"/>
        </w:numPr>
        <w:rPr>
          <w:color w:val="auto"/>
        </w:rPr>
      </w:pPr>
      <w:bookmarkStart w:id="1540" w:name="_Toc43841474"/>
      <w:bookmarkStart w:id="1541" w:name="_Toc75952277"/>
      <w:bookmarkStart w:id="1542" w:name="_Toc106106734"/>
      <w:bookmarkStart w:id="1543" w:name="_Toc109802058"/>
      <w:bookmarkStart w:id="1544" w:name="_Toc144104208"/>
      <w:bookmarkStart w:id="1545" w:name="_Toc169251021"/>
      <w:bookmarkStart w:id="1546" w:name="_Toc17408070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102</w:t>
      </w:r>
      <w:r w:rsidRPr="00730B1E">
        <w:rPr>
          <w:color w:val="auto"/>
        </w:rPr>
        <w:fldChar w:fldCharType="end"/>
      </w:r>
      <w:r w:rsidRPr="00730B1E">
        <w:rPr>
          <w:color w:val="auto"/>
        </w:rPr>
        <w:t>: VS – délka odvolacího řízení incidenčních sporů v letech 2014–20</w:t>
      </w:r>
      <w:bookmarkEnd w:id="1540"/>
      <w:r w:rsidRPr="00730B1E">
        <w:rPr>
          <w:color w:val="auto"/>
        </w:rPr>
        <w:t>2</w:t>
      </w:r>
      <w:bookmarkEnd w:id="1541"/>
      <w:bookmarkEnd w:id="1542"/>
      <w:bookmarkEnd w:id="1543"/>
      <w:bookmarkEnd w:id="1544"/>
      <w:r w:rsidRPr="00730B1E">
        <w:rPr>
          <w:color w:val="auto"/>
        </w:rPr>
        <w:t>3</w:t>
      </w:r>
      <w:bookmarkEnd w:id="1545"/>
      <w:bookmarkEnd w:id="1546"/>
    </w:p>
    <w:p w14:paraId="53408DA1" w14:textId="0A3E563D" w:rsidR="003266A8" w:rsidRPr="00730B1E" w:rsidRDefault="00966888" w:rsidP="003266A8">
      <w:r w:rsidRPr="00730B1E">
        <w:rPr>
          <w:noProof/>
          <w:lang w:eastAsia="cs-CZ"/>
        </w:rPr>
        <w:drawing>
          <wp:inline distT="0" distB="0" distL="0" distR="0" wp14:anchorId="49E79AB1" wp14:editId="78AFC5A5">
            <wp:extent cx="5029200" cy="3657600"/>
            <wp:effectExtent l="0" t="0" r="0" b="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88AF59C" w14:textId="77777777" w:rsidR="00966888" w:rsidRPr="00730B1E" w:rsidRDefault="00966888" w:rsidP="003266A8"/>
    <w:p w14:paraId="17A42967" w14:textId="73EE77DF" w:rsidR="00966888" w:rsidRPr="00730B1E" w:rsidRDefault="00966888" w:rsidP="00966888">
      <w:r w:rsidRPr="00730B1E">
        <w:t>Z grafu lze vyčíst následující</w:t>
      </w:r>
      <w:r w:rsidR="007051C0" w:rsidRPr="00730B1E">
        <w:t xml:space="preserve"> závěry</w:t>
      </w:r>
      <w:r w:rsidRPr="00730B1E">
        <w:t>:</w:t>
      </w:r>
    </w:p>
    <w:p w14:paraId="0FD5056D" w14:textId="23AD93F4" w:rsidR="00966888" w:rsidRPr="00730B1E" w:rsidRDefault="00966888" w:rsidP="00A94F8F">
      <w:pPr>
        <w:pStyle w:val="OdstavecASR"/>
        <w:numPr>
          <w:ilvl w:val="0"/>
          <w:numId w:val="19"/>
        </w:numPr>
      </w:pPr>
      <w:r w:rsidRPr="00730B1E">
        <w:t>VS v Praze má výrazně vyšší délky řízení. Rozdíl je ale mnohem větší u průměru a 90. percentilu než u mediánu. To naznačuje, že VS v Olomouci má mnohem méně extrémních hodnot než VS v Praze, tedy velmi dlouhých řízení. Tento závěr potvrzuje i histogram níže. VS v Olomouci téměř nevykazuje řízení s délkou řízení větší než 300 dnů, zatímco VS v Praze taková řízení vykazuje v nemalém množství.</w:t>
      </w:r>
    </w:p>
    <w:p w14:paraId="7A3DD221" w14:textId="78320477" w:rsidR="00966888" w:rsidRPr="00730B1E" w:rsidRDefault="00966888" w:rsidP="00A94F8F">
      <w:pPr>
        <w:pStyle w:val="OdstavecASR"/>
        <w:numPr>
          <w:ilvl w:val="0"/>
          <w:numId w:val="19"/>
        </w:numPr>
      </w:pPr>
      <w:r w:rsidRPr="00730B1E">
        <w:t>Délka řízení u VS v Olomouci výrazně klesla v roce 2017</w:t>
      </w:r>
      <w:r w:rsidR="007051C0" w:rsidRPr="00730B1E">
        <w:t>;</w:t>
      </w:r>
      <w:r w:rsidRPr="00730B1E">
        <w:t xml:space="preserve"> u VS v Praze </w:t>
      </w:r>
      <w:r w:rsidR="007051C0" w:rsidRPr="00730B1E">
        <w:t>k významnému poklesu došlo v roce 2019</w:t>
      </w:r>
      <w:r w:rsidRPr="00730B1E">
        <w:t>.</w:t>
      </w:r>
    </w:p>
    <w:p w14:paraId="30B32A49" w14:textId="6A789AF8" w:rsidR="00966888" w:rsidRPr="00730B1E" w:rsidRDefault="00966888" w:rsidP="00A94F8F">
      <w:pPr>
        <w:pStyle w:val="OdstavecASR"/>
        <w:numPr>
          <w:ilvl w:val="0"/>
          <w:numId w:val="19"/>
        </w:numPr>
      </w:pPr>
      <w:r w:rsidRPr="00730B1E">
        <w:t>V absolutních číslech jsou délky řízení nízké podobně jako u ostatních odvolacích agend a jsou tedy výrazně nižší než u agendy prvostupňové.</w:t>
      </w:r>
    </w:p>
    <w:p w14:paraId="6469F461" w14:textId="46C86B15" w:rsidR="00966888" w:rsidRPr="00730B1E" w:rsidRDefault="00966888" w:rsidP="00A94F8F">
      <w:pPr>
        <w:pStyle w:val="OdstavecASR"/>
        <w:numPr>
          <w:ilvl w:val="0"/>
          <w:numId w:val="19"/>
        </w:numPr>
      </w:pPr>
      <w:r w:rsidRPr="00730B1E">
        <w:t>Za povšimnutí rovněž stojí fakt, že u VS v</w:t>
      </w:r>
      <w:r w:rsidR="007051C0" w:rsidRPr="00730B1E">
        <w:t> </w:t>
      </w:r>
      <w:r w:rsidRPr="00730B1E">
        <w:t>Olomouci je velmi vyrovnaná mediánová a průměrná délka řízení. V roce 2014 byl medián dokonce vyšší než průměr. To opět ukazuje na nepřítomnost extrémních hodnot.</w:t>
      </w:r>
    </w:p>
    <w:p w14:paraId="7EF357C2" w14:textId="095E68CA" w:rsidR="00966888" w:rsidRPr="00730B1E" w:rsidRDefault="00966888" w:rsidP="00966888">
      <w:pPr>
        <w:pStyle w:val="Podnadpis"/>
        <w:numPr>
          <w:ilvl w:val="0"/>
          <w:numId w:val="0"/>
        </w:numPr>
        <w:rPr>
          <w:color w:val="auto"/>
        </w:rPr>
      </w:pPr>
      <w:bookmarkStart w:id="1547" w:name="_Toc43841475"/>
      <w:bookmarkStart w:id="1548" w:name="_Toc75952278"/>
      <w:bookmarkStart w:id="1549" w:name="_Toc106106735"/>
      <w:bookmarkStart w:id="1550" w:name="_Toc109802059"/>
      <w:bookmarkStart w:id="1551" w:name="_Toc144104209"/>
      <w:bookmarkStart w:id="1552" w:name="_Toc169251022"/>
      <w:bookmarkStart w:id="1553" w:name="_Toc174080708"/>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103</w:t>
      </w:r>
      <w:r w:rsidRPr="00730B1E">
        <w:rPr>
          <w:color w:val="auto"/>
        </w:rPr>
        <w:fldChar w:fldCharType="end"/>
      </w:r>
      <w:r w:rsidRPr="00730B1E">
        <w:rPr>
          <w:color w:val="auto"/>
        </w:rPr>
        <w:t>: VS – distribuce délek odvolacího řízení v</w:t>
      </w:r>
      <w:r w:rsidR="007051C0" w:rsidRPr="00730B1E">
        <w:rPr>
          <w:color w:val="auto"/>
        </w:rPr>
        <w:t> </w:t>
      </w:r>
      <w:r w:rsidRPr="00730B1E">
        <w:rPr>
          <w:color w:val="auto"/>
        </w:rPr>
        <w:t>incidenčních sporech</w:t>
      </w:r>
      <w:bookmarkEnd w:id="1547"/>
      <w:bookmarkEnd w:id="1548"/>
      <w:bookmarkEnd w:id="1549"/>
      <w:bookmarkEnd w:id="1550"/>
      <w:bookmarkEnd w:id="1551"/>
      <w:bookmarkEnd w:id="1552"/>
      <w:bookmarkEnd w:id="1553"/>
    </w:p>
    <w:p w14:paraId="2DFE71E6" w14:textId="3740D036" w:rsidR="00966888" w:rsidRPr="00730B1E" w:rsidRDefault="00984F8A" w:rsidP="00966888">
      <w:pPr>
        <w:pStyle w:val="OdstavecASR"/>
      </w:pPr>
      <w:r w:rsidRPr="00730B1E">
        <w:rPr>
          <w:noProof/>
          <w:lang w:eastAsia="cs-CZ"/>
        </w:rPr>
        <w:drawing>
          <wp:inline distT="0" distB="0" distL="0" distR="0" wp14:anchorId="6E52225F" wp14:editId="3440DBE6">
            <wp:extent cx="5029200" cy="3657600"/>
            <wp:effectExtent l="0" t="0" r="0" b="0"/>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C940670" w14:textId="77777777" w:rsidR="008430BD" w:rsidRPr="00730B1E" w:rsidRDefault="008430BD" w:rsidP="008430BD">
      <w:pPr>
        <w:pStyle w:val="Nadpis3"/>
        <w:numPr>
          <w:ilvl w:val="2"/>
          <w:numId w:val="1"/>
        </w:numPr>
        <w:rPr>
          <w:color w:val="auto"/>
          <w:lang w:eastAsia="cs-CZ"/>
        </w:rPr>
      </w:pPr>
      <w:bookmarkStart w:id="1554" w:name="_Toc106092807"/>
      <w:bookmarkStart w:id="1555" w:name="_Toc169250884"/>
      <w:bookmarkStart w:id="1556" w:name="_Toc174080920"/>
      <w:r w:rsidRPr="00730B1E">
        <w:rPr>
          <w:color w:val="auto"/>
          <w:lang w:eastAsia="cs-CZ"/>
        </w:rPr>
        <w:t>Vyřizování věcí</w:t>
      </w:r>
      <w:bookmarkEnd w:id="1554"/>
      <w:bookmarkEnd w:id="1555"/>
      <w:bookmarkEnd w:id="1556"/>
    </w:p>
    <w:p w14:paraId="009BD9C8" w14:textId="70468608" w:rsidR="00984F8A" w:rsidRPr="00730B1E" w:rsidRDefault="00984F8A" w:rsidP="00984F8A">
      <w:pPr>
        <w:pStyle w:val="Podnadpis"/>
        <w:numPr>
          <w:ilvl w:val="0"/>
          <w:numId w:val="0"/>
        </w:numPr>
        <w:rPr>
          <w:color w:val="auto"/>
        </w:rPr>
      </w:pPr>
      <w:bookmarkStart w:id="1557" w:name="_Toc43841476"/>
      <w:bookmarkStart w:id="1558" w:name="_Toc75952279"/>
      <w:bookmarkStart w:id="1559" w:name="_Toc106106736"/>
      <w:bookmarkStart w:id="1560" w:name="_Toc109802060"/>
      <w:bookmarkStart w:id="1561" w:name="_Toc144104210"/>
      <w:bookmarkStart w:id="1562" w:name="_Toc169251023"/>
      <w:bookmarkStart w:id="1563" w:name="_Toc174080709"/>
      <w:r w:rsidRPr="00730B1E">
        <w:rPr>
          <w:color w:val="auto"/>
        </w:rPr>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104</w:t>
      </w:r>
      <w:r w:rsidRPr="00730B1E">
        <w:rPr>
          <w:noProof/>
          <w:color w:val="auto"/>
        </w:rPr>
        <w:fldChar w:fldCharType="end"/>
      </w:r>
      <w:r w:rsidRPr="00730B1E">
        <w:rPr>
          <w:color w:val="auto"/>
        </w:rPr>
        <w:t>: VS – vyřizování odvolacího řízení v</w:t>
      </w:r>
      <w:r w:rsidR="007051C0" w:rsidRPr="00730B1E">
        <w:rPr>
          <w:color w:val="auto"/>
        </w:rPr>
        <w:t> </w:t>
      </w:r>
      <w:r w:rsidRPr="00730B1E">
        <w:rPr>
          <w:color w:val="auto"/>
        </w:rPr>
        <w:t>incidenčních sporech</w:t>
      </w:r>
      <w:bookmarkEnd w:id="1557"/>
      <w:bookmarkEnd w:id="1558"/>
      <w:bookmarkEnd w:id="1559"/>
      <w:bookmarkEnd w:id="1560"/>
      <w:bookmarkEnd w:id="1561"/>
      <w:bookmarkEnd w:id="1562"/>
      <w:bookmarkEnd w:id="1563"/>
    </w:p>
    <w:p w14:paraId="4A5E42B4" w14:textId="6A08BA7F" w:rsidR="00966888" w:rsidRPr="00730B1E" w:rsidRDefault="00984F8A" w:rsidP="00966888">
      <w:pPr>
        <w:rPr>
          <w:lang w:eastAsia="cs-CZ"/>
        </w:rPr>
      </w:pPr>
      <w:r w:rsidRPr="00730B1E">
        <w:rPr>
          <w:noProof/>
          <w:lang w:eastAsia="cs-CZ"/>
        </w:rPr>
        <w:drawing>
          <wp:inline distT="0" distB="0" distL="0" distR="0" wp14:anchorId="24C7274F" wp14:editId="668A7DCB">
            <wp:extent cx="5029200" cy="3657600"/>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8A05B32" w14:textId="3D3CDD5A" w:rsidR="00984F8A" w:rsidRPr="00730B1E" w:rsidRDefault="00984F8A" w:rsidP="00984F8A">
      <w:pPr>
        <w:pStyle w:val="OdstavecASR"/>
      </w:pPr>
      <w:r w:rsidRPr="00730B1E">
        <w:t>U VS v Praze vidíme, že počet příchozích a vyřízených věcí od roku 201</w:t>
      </w:r>
      <w:r w:rsidR="003D4605" w:rsidRPr="00730B1E">
        <w:t>5</w:t>
      </w:r>
      <w:r w:rsidRPr="00730B1E">
        <w:t xml:space="preserve"> nevykazuje žádný trend a osciluje přibližně mezi 900 a 1 000 věcí. Počet příchozích věcí někdy převyšuje počet vyřízených, </w:t>
      </w:r>
      <w:r w:rsidRPr="00730B1E">
        <w:lastRenderedPageBreak/>
        <w:t xml:space="preserve">jindy je tomu naopak. </w:t>
      </w:r>
      <w:r w:rsidR="003D4605" w:rsidRPr="00730B1E">
        <w:t xml:space="preserve">V posledních letech se </w:t>
      </w:r>
      <w:r w:rsidR="007051C0" w:rsidRPr="00730B1E">
        <w:t xml:space="preserve">nicméně soudu </w:t>
      </w:r>
      <w:r w:rsidR="003D4605" w:rsidRPr="00730B1E">
        <w:t>podařilo snížit počet nevyřízených věcí na úroveň roku 2014.</w:t>
      </w:r>
    </w:p>
    <w:p w14:paraId="5AD74A14" w14:textId="2FABA07B" w:rsidR="00984F8A" w:rsidRPr="00730B1E" w:rsidRDefault="00984F8A" w:rsidP="00984F8A">
      <w:pPr>
        <w:pStyle w:val="OdstavecASR"/>
      </w:pPr>
      <w:r w:rsidRPr="00730B1E">
        <w:t>Opravdu zajímavý je vývoj v počtu příchozích věcí u VS v Olomouci, který vzrostl z 315 v roce 2016 na 1 430 v roce 2019. Jde tedy o nárůst asi o 350 % během tří let.</w:t>
      </w:r>
    </w:p>
    <w:p w14:paraId="1041D4F5" w14:textId="5DD30D4C" w:rsidR="00984F8A" w:rsidRPr="00730B1E" w:rsidRDefault="00984F8A" w:rsidP="00984F8A">
      <w:pPr>
        <w:pStyle w:val="OdstavecASR"/>
      </w:pPr>
      <w:r w:rsidRPr="00730B1E">
        <w:t xml:space="preserve">Za tento nárůst jsou zodpovědné rozsáhlé konkursy velkých společností, které vyřizoval KS v Ostravě, a také úpadky </w:t>
      </w:r>
      <w:r w:rsidR="007051C0" w:rsidRPr="00730B1E">
        <w:t xml:space="preserve">přibližně 50 </w:t>
      </w:r>
      <w:r w:rsidRPr="00730B1E">
        <w:t>společností tvořící</w:t>
      </w:r>
      <w:r w:rsidR="007051C0" w:rsidRPr="00730B1E">
        <w:t>ch</w:t>
      </w:r>
      <w:r w:rsidRPr="00730B1E">
        <w:t xml:space="preserve"> koncern</w:t>
      </w:r>
      <w:r w:rsidR="007051C0" w:rsidRPr="00730B1E">
        <w:t>,</w:t>
      </w:r>
      <w:r w:rsidRPr="00730B1E">
        <w:t xml:space="preserve"> které řešil KS v Brně. V těchto věcech napadlo velké množství incidenčních sporů především v letech 2014 až 2019 (a byly vyřízeny cca o rok až dva později). Ve valné většině bylo podáno odvolání a s určitým zpožděním tak tyto spory napadly u VS v Olomouci. Množství sporů je opravdu velké – i přesto, že VS v Olomouci je výrazně menší než VS v Praze, nápad incidenčních sporů byl u něj v letech 2018 a 2019 vyšší.</w:t>
      </w:r>
    </w:p>
    <w:p w14:paraId="48937FDD" w14:textId="77777777" w:rsidR="00984F8A" w:rsidRPr="00730B1E" w:rsidRDefault="00984F8A" w:rsidP="00984F8A">
      <w:pPr>
        <w:pStyle w:val="OdstavecASR"/>
      </w:pPr>
      <w:r w:rsidRPr="00730B1E">
        <w:t>Dále vidíme, že i přes obrovský nárůst v nápadu se u VS v Olomouci nezvýšil počet nevyřízených věcí a zároveň výrazně klesla vykázaná délka řízení. To ukazuje, že pro tento soud nebylo složité agendu vyřídit, spíše naopak – vyřízení zabralo méně času než jiné incidenční spory.</w:t>
      </w:r>
    </w:p>
    <w:p w14:paraId="5D9D185A" w14:textId="37B5A86E" w:rsidR="00984F8A" w:rsidRPr="00730B1E" w:rsidRDefault="00984F8A" w:rsidP="00984F8A">
      <w:pPr>
        <w:pStyle w:val="OdstavecASR"/>
      </w:pPr>
      <w:r w:rsidRPr="00730B1E">
        <w:t xml:space="preserve">V roce 2020 počet příchozích věcí </w:t>
      </w:r>
      <w:r w:rsidR="00BC08BB" w:rsidRPr="00730B1E">
        <w:t xml:space="preserve">u VS v Olomouci </w:t>
      </w:r>
      <w:r w:rsidRPr="00730B1E">
        <w:t xml:space="preserve">opět klesl přibližně na úroveň roku 2017. Po vyřízení rozsáhlých konkursů se </w:t>
      </w:r>
      <w:r w:rsidR="007051C0" w:rsidRPr="00730B1E">
        <w:t xml:space="preserve">stav agendy postupně vrátil </w:t>
      </w:r>
      <w:r w:rsidRPr="00730B1E">
        <w:t>„do normálu“</w:t>
      </w:r>
      <w:r w:rsidR="007051C0" w:rsidRPr="00730B1E">
        <w:t>, kde setrvává doposud</w:t>
      </w:r>
      <w:r w:rsidRPr="00730B1E">
        <w:t xml:space="preserve">. </w:t>
      </w:r>
    </w:p>
    <w:p w14:paraId="2E776948" w14:textId="46DD4EAA" w:rsidR="008430BD" w:rsidRPr="00730B1E" w:rsidRDefault="008430BD" w:rsidP="008430BD">
      <w:pPr>
        <w:pStyle w:val="Nadpis3"/>
        <w:numPr>
          <w:ilvl w:val="2"/>
          <w:numId w:val="1"/>
        </w:numPr>
        <w:rPr>
          <w:color w:val="auto"/>
          <w:lang w:eastAsia="cs-CZ"/>
        </w:rPr>
      </w:pPr>
      <w:bookmarkStart w:id="1564" w:name="_Toc106092808"/>
      <w:bookmarkStart w:id="1565" w:name="_Toc169250885"/>
      <w:bookmarkStart w:id="1566" w:name="_Toc174080921"/>
      <w:r w:rsidRPr="00730B1E">
        <w:rPr>
          <w:color w:val="auto"/>
          <w:lang w:eastAsia="cs-CZ"/>
        </w:rPr>
        <w:t>Disposition time (dispoziční čas)</w:t>
      </w:r>
      <w:bookmarkEnd w:id="1564"/>
      <w:bookmarkEnd w:id="1565"/>
      <w:bookmarkEnd w:id="1566"/>
    </w:p>
    <w:p w14:paraId="51CE9F3A" w14:textId="5B4811B4" w:rsidR="003D4605" w:rsidRPr="00730B1E" w:rsidRDefault="003D4605" w:rsidP="003D4605">
      <w:pPr>
        <w:pStyle w:val="Podnadpis"/>
        <w:numPr>
          <w:ilvl w:val="0"/>
          <w:numId w:val="0"/>
        </w:numPr>
        <w:rPr>
          <w:color w:val="auto"/>
        </w:rPr>
      </w:pPr>
      <w:bookmarkStart w:id="1567" w:name="_Toc43841477"/>
      <w:bookmarkStart w:id="1568" w:name="_Toc75952280"/>
      <w:bookmarkStart w:id="1569" w:name="_Toc106106737"/>
      <w:bookmarkStart w:id="1570" w:name="_Toc109802061"/>
      <w:bookmarkStart w:id="1571" w:name="_Toc144104211"/>
      <w:bookmarkStart w:id="1572" w:name="_Toc169251024"/>
      <w:bookmarkStart w:id="1573" w:name="_Toc17408071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105</w:t>
      </w:r>
      <w:r w:rsidRPr="00730B1E">
        <w:rPr>
          <w:color w:val="auto"/>
        </w:rPr>
        <w:fldChar w:fldCharType="end"/>
      </w:r>
      <w:r w:rsidRPr="00730B1E">
        <w:rPr>
          <w:color w:val="auto"/>
        </w:rPr>
        <w:t>: VS – DT odvolacího řízení v incidenčních sporech</w:t>
      </w:r>
      <w:bookmarkEnd w:id="1567"/>
      <w:bookmarkEnd w:id="1568"/>
      <w:bookmarkEnd w:id="1569"/>
      <w:bookmarkEnd w:id="1570"/>
      <w:bookmarkEnd w:id="1571"/>
      <w:bookmarkEnd w:id="1572"/>
      <w:bookmarkEnd w:id="1573"/>
    </w:p>
    <w:p w14:paraId="272B98E4" w14:textId="0B0181CB" w:rsidR="003D4605" w:rsidRPr="00730B1E" w:rsidRDefault="003D4605" w:rsidP="003D4605">
      <w:r w:rsidRPr="00730B1E">
        <w:rPr>
          <w:noProof/>
          <w:lang w:eastAsia="cs-CZ"/>
        </w:rPr>
        <w:drawing>
          <wp:inline distT="0" distB="0" distL="0" distR="0" wp14:anchorId="38A6D94E" wp14:editId="48053650">
            <wp:extent cx="5029200" cy="3657600"/>
            <wp:effectExtent l="0" t="0" r="0" b="0"/>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633DEFE" w14:textId="75D11CF7" w:rsidR="003D4605" w:rsidRPr="00730B1E" w:rsidRDefault="003D4605" w:rsidP="003D4605">
      <w:pPr>
        <w:pStyle w:val="OdstavecASR"/>
      </w:pPr>
      <w:r w:rsidRPr="00730B1E">
        <w:rPr>
          <w:lang w:eastAsia="cs-CZ"/>
        </w:rPr>
        <w:t>Disposition time opět odráží výše popsané změny. U VS v Praze dlouhodobě osciloval přibližně mezi 140 a 180. V roce 2023 došlo k razantnímu poklesu díky poklesu v počtu nevyřízených věcí. U VS v Olomouci došlo v letech 20</w:t>
      </w:r>
      <w:r w:rsidR="00BC08BB" w:rsidRPr="00730B1E">
        <w:rPr>
          <w:lang w:eastAsia="cs-CZ"/>
        </w:rPr>
        <w:t>1</w:t>
      </w:r>
      <w:r w:rsidRPr="00730B1E">
        <w:rPr>
          <w:lang w:eastAsia="cs-CZ"/>
        </w:rPr>
        <w:t xml:space="preserve">6 až 2018 k obrovskému poklesu z výše diskutovaných důvodů. Nárůst v letech 2021 je dán </w:t>
      </w:r>
      <w:r w:rsidR="007051C0" w:rsidRPr="00730B1E">
        <w:rPr>
          <w:lang w:eastAsia="cs-CZ"/>
        </w:rPr>
        <w:t>návratem agendy do běžného stavu, především pokud jde o </w:t>
      </w:r>
      <w:r w:rsidRPr="00730B1E">
        <w:rPr>
          <w:lang w:eastAsia="cs-CZ"/>
        </w:rPr>
        <w:t xml:space="preserve">pokles počtu vyřízených věcí. </w:t>
      </w:r>
    </w:p>
    <w:p w14:paraId="0FBA5FDF" w14:textId="2B4634CF" w:rsidR="008430BD" w:rsidRPr="00730B1E" w:rsidRDefault="008430BD" w:rsidP="008430BD">
      <w:pPr>
        <w:pStyle w:val="Nadpis1"/>
        <w:pageBreakBefore/>
        <w:numPr>
          <w:ilvl w:val="0"/>
          <w:numId w:val="1"/>
        </w:numPr>
        <w:spacing w:after="120"/>
        <w:rPr>
          <w:lang w:eastAsia="cs-CZ"/>
        </w:rPr>
      </w:pPr>
      <w:bookmarkStart w:id="1574" w:name="_Toc515871294"/>
      <w:bookmarkStart w:id="1575" w:name="_Toc106092809"/>
      <w:bookmarkStart w:id="1576" w:name="_Toc169250886"/>
      <w:bookmarkStart w:id="1577" w:name="_Toc174080922"/>
      <w:r w:rsidRPr="00730B1E">
        <w:rPr>
          <w:lang w:eastAsia="cs-CZ"/>
        </w:rPr>
        <w:lastRenderedPageBreak/>
        <w:t>Nejvyšší soud</w:t>
      </w:r>
      <w:bookmarkEnd w:id="1574"/>
      <w:bookmarkEnd w:id="1575"/>
      <w:bookmarkEnd w:id="1576"/>
      <w:bookmarkEnd w:id="1577"/>
    </w:p>
    <w:p w14:paraId="1E7D2DCE" w14:textId="77777777" w:rsidR="003D4605" w:rsidRPr="00730B1E" w:rsidRDefault="003D4605" w:rsidP="003D4605">
      <w:pPr>
        <w:pStyle w:val="OdstavecASR"/>
      </w:pPr>
      <w:r w:rsidRPr="00730B1E">
        <w:t>Největší část agendy Nejvyššího soudu (NS) ČR, který sídlí v Brně, tvoří věci, v nichž byl podán mimořádný opravný prostředek proti rozhodnutí odvolacích soudů. Jedná se především o dovolání, a to v občanskoprávním řízení (rejstřík Cdo, dříve také rejstřík Odo), trestním řízení (rejstřík Tdo), insolvenčním řízení (rejstřík NSČR) a incidenčních sporech (rejstřík ICdo). V této zprávě sledujeme také agendu stížností pro porušení zákona (rejstřík Tz), což je další mimořádný opravný prostředek v trestním řízení. Stejně jako u ostatních soudů nechybí v této kapitole ani data týkající se personální situace. Nejvyšší soud rozhoduje i v dalších případech stanovených předpisy upravujícími působnost soudů a řízení před soudem.</w:t>
      </w:r>
      <w:r w:rsidRPr="00730B1E">
        <w:rPr>
          <w:rStyle w:val="Znakapoznpodarou"/>
        </w:rPr>
        <w:footnoteReference w:id="14"/>
      </w:r>
    </w:p>
    <w:p w14:paraId="4353072F" w14:textId="77777777" w:rsidR="003D4605" w:rsidRPr="00730B1E" w:rsidRDefault="003D4605" w:rsidP="003D4605">
      <w:pPr>
        <w:pStyle w:val="OdstavecASR"/>
      </w:pPr>
      <w:r w:rsidRPr="00730B1E">
        <w:t>V případě Nejvyššího soudu uvádí zpráva méně ukazatelů než u soudů nižších stupňů. Jsou pro to dva důvody. Za prvé, délka řízení a některé další statistické ukazatele nejsou k dispozici. Za druhé, soud je pouze jeden a není ho tedy s čím statisticky srovnávat. Přepočet vyřizování na jednoho soudce či výpočet disposition time zde tedy mají mnohem menší smysl než u ostatních soudů.</w:t>
      </w:r>
    </w:p>
    <w:p w14:paraId="63477DA0" w14:textId="77777777" w:rsidR="003D4605" w:rsidRPr="00730B1E" w:rsidRDefault="003D4605" w:rsidP="003D4605">
      <w:pPr>
        <w:pStyle w:val="OdstavecASR"/>
      </w:pPr>
      <w:r w:rsidRPr="00730B1E">
        <w:t>V této zprávě uvádíme základní statistické informace. Další údaje a informace o činnosti NS s rozsáhlým komentářem jsou dostupné v Ročence Nejvyššího soudu.</w:t>
      </w:r>
      <w:r w:rsidRPr="00730B1E">
        <w:rPr>
          <w:rStyle w:val="Znakapoznpodarou"/>
        </w:rPr>
        <w:footnoteReference w:id="15"/>
      </w:r>
    </w:p>
    <w:p w14:paraId="4896EE65" w14:textId="3ED238AD" w:rsidR="008430BD" w:rsidRPr="00730B1E" w:rsidRDefault="008430BD" w:rsidP="008430BD">
      <w:pPr>
        <w:pStyle w:val="Nadpis2"/>
        <w:keepNext w:val="0"/>
        <w:numPr>
          <w:ilvl w:val="1"/>
          <w:numId w:val="1"/>
        </w:numPr>
        <w:spacing w:before="120"/>
        <w:rPr>
          <w:color w:val="auto"/>
          <w:lang w:eastAsia="cs-CZ"/>
        </w:rPr>
      </w:pPr>
      <w:bookmarkStart w:id="1578" w:name="_Toc515871295"/>
      <w:bookmarkStart w:id="1579" w:name="_Toc106092810"/>
      <w:bookmarkStart w:id="1580" w:name="_Toc169250887"/>
      <w:bookmarkStart w:id="1581" w:name="_Toc174080923"/>
      <w:r w:rsidRPr="00730B1E">
        <w:rPr>
          <w:color w:val="auto"/>
          <w:lang w:eastAsia="cs-CZ"/>
        </w:rPr>
        <w:t>Personál</w:t>
      </w:r>
      <w:bookmarkEnd w:id="1578"/>
      <w:bookmarkEnd w:id="1579"/>
      <w:bookmarkEnd w:id="1580"/>
      <w:bookmarkEnd w:id="1581"/>
    </w:p>
    <w:p w14:paraId="2747C87B" w14:textId="77777777" w:rsidR="00B04D39" w:rsidRPr="00730B1E" w:rsidRDefault="00B04D39" w:rsidP="00B04D39">
      <w:pPr>
        <w:pStyle w:val="Nadpis3"/>
        <w:keepNext w:val="0"/>
        <w:numPr>
          <w:ilvl w:val="2"/>
          <w:numId w:val="1"/>
        </w:numPr>
        <w:rPr>
          <w:color w:val="auto"/>
          <w:lang w:eastAsia="cs-CZ"/>
        </w:rPr>
      </w:pPr>
      <w:bookmarkStart w:id="1582" w:name="_Toc515871296"/>
      <w:bookmarkStart w:id="1583" w:name="_Toc106092811"/>
      <w:bookmarkStart w:id="1584" w:name="_Toc169250888"/>
      <w:bookmarkStart w:id="1585" w:name="_Toc174080924"/>
      <w:r w:rsidRPr="00730B1E">
        <w:rPr>
          <w:color w:val="auto"/>
          <w:lang w:eastAsia="cs-CZ"/>
        </w:rPr>
        <w:t>Soudci</w:t>
      </w:r>
      <w:bookmarkEnd w:id="1582"/>
      <w:bookmarkEnd w:id="1583"/>
      <w:bookmarkEnd w:id="1584"/>
      <w:bookmarkEnd w:id="1585"/>
    </w:p>
    <w:p w14:paraId="6B092815" w14:textId="2052371D" w:rsidR="003D4605" w:rsidRPr="00730B1E" w:rsidRDefault="003D4605" w:rsidP="003D4605">
      <w:pPr>
        <w:pStyle w:val="Podnadpis"/>
        <w:rPr>
          <w:color w:val="auto"/>
        </w:rPr>
      </w:pPr>
      <w:bookmarkStart w:id="1586" w:name="_Toc515871421"/>
      <w:bookmarkStart w:id="1587" w:name="_Toc11135152"/>
      <w:bookmarkStart w:id="1588" w:name="_Toc43841478"/>
      <w:bookmarkStart w:id="1589" w:name="_Toc75952281"/>
      <w:bookmarkStart w:id="1590" w:name="_Toc106106738"/>
      <w:bookmarkStart w:id="1591" w:name="_Toc109802062"/>
      <w:bookmarkStart w:id="1592" w:name="_Toc144104212"/>
      <w:bookmarkStart w:id="1593" w:name="_Toc169251025"/>
      <w:bookmarkStart w:id="1594" w:name="_Toc17408071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106</w:t>
      </w:r>
      <w:r w:rsidRPr="00730B1E">
        <w:rPr>
          <w:color w:val="auto"/>
        </w:rPr>
        <w:fldChar w:fldCharType="end"/>
      </w:r>
      <w:r w:rsidRPr="00730B1E">
        <w:rPr>
          <w:color w:val="auto"/>
        </w:rPr>
        <w:t>: NS – počet soudců v letech 201</w:t>
      </w:r>
      <w:r w:rsidR="000624CC" w:rsidRPr="00730B1E">
        <w:rPr>
          <w:color w:val="auto"/>
        </w:rPr>
        <w:t>4</w:t>
      </w:r>
      <w:r w:rsidRPr="00730B1E">
        <w:rPr>
          <w:color w:val="auto"/>
        </w:rPr>
        <w:t>–20</w:t>
      </w:r>
      <w:bookmarkEnd w:id="1586"/>
      <w:bookmarkEnd w:id="1587"/>
      <w:bookmarkEnd w:id="1588"/>
      <w:r w:rsidRPr="00730B1E">
        <w:rPr>
          <w:color w:val="auto"/>
        </w:rPr>
        <w:t>2</w:t>
      </w:r>
      <w:bookmarkEnd w:id="1589"/>
      <w:bookmarkEnd w:id="1590"/>
      <w:bookmarkEnd w:id="1591"/>
      <w:bookmarkEnd w:id="1592"/>
      <w:r w:rsidRPr="00730B1E">
        <w:rPr>
          <w:color w:val="auto"/>
        </w:rPr>
        <w:t>3</w:t>
      </w:r>
      <w:bookmarkEnd w:id="1593"/>
      <w:bookmarkEnd w:id="1594"/>
    </w:p>
    <w:p w14:paraId="3C3E3526" w14:textId="4F7CE4FF" w:rsidR="003D4605" w:rsidRDefault="003D4605" w:rsidP="003D4605">
      <w:r w:rsidRPr="00730B1E">
        <w:rPr>
          <w:noProof/>
          <w:lang w:eastAsia="cs-CZ"/>
        </w:rPr>
        <w:drawing>
          <wp:inline distT="0" distB="0" distL="0" distR="0" wp14:anchorId="6DDF29A5" wp14:editId="538925D3">
            <wp:extent cx="5029200" cy="3657600"/>
            <wp:effectExtent l="0" t="0" r="0" b="0"/>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92FDEF2" w14:textId="77777777" w:rsidR="00056825" w:rsidRPr="00730B1E" w:rsidRDefault="00056825" w:rsidP="00056825">
      <w:pPr>
        <w:pStyle w:val="OdstavecASR"/>
      </w:pPr>
      <w:r w:rsidRPr="00730B1E">
        <w:t xml:space="preserve">Od zvýšení plánovaného počtu v roce 2019 evidenční počet osciluje kolem 70, v předchozích letech byl v průměru cca o tři soudce nižší. Ke změnám dochází prakticky každoročně, byť s různou </w:t>
      </w:r>
      <w:r w:rsidRPr="00730B1E">
        <w:lastRenderedPageBreak/>
        <w:t>intenzitou, což nasvědčuje určité generační obměně. Soud je také dlouhodobě posilován o stážisty z nižších soudů (k 27. 3. 2024 jich zde působilo sedm, pět z nich jakožto soudci občanskoprávního a obchodního kolegia).</w:t>
      </w:r>
    </w:p>
    <w:p w14:paraId="3945D65A" w14:textId="387B3FAD" w:rsidR="003D4605" w:rsidRPr="00730B1E" w:rsidRDefault="003D4605" w:rsidP="003D4605">
      <w:pPr>
        <w:pStyle w:val="Podnadpis"/>
        <w:rPr>
          <w:color w:val="auto"/>
        </w:rPr>
      </w:pPr>
      <w:bookmarkStart w:id="1595" w:name="_Toc515871422"/>
      <w:bookmarkStart w:id="1596" w:name="_Toc11135153"/>
      <w:bookmarkStart w:id="1597" w:name="_Toc43841479"/>
      <w:bookmarkStart w:id="1598" w:name="_Toc75952282"/>
      <w:bookmarkStart w:id="1599" w:name="_Toc106106739"/>
      <w:bookmarkStart w:id="1600" w:name="_Toc109802063"/>
      <w:bookmarkStart w:id="1601" w:name="_Toc144104213"/>
      <w:bookmarkStart w:id="1602" w:name="_Toc169251026"/>
      <w:bookmarkStart w:id="1603" w:name="_Toc17408071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107</w:t>
      </w:r>
      <w:r w:rsidRPr="00730B1E">
        <w:rPr>
          <w:color w:val="auto"/>
        </w:rPr>
        <w:fldChar w:fldCharType="end"/>
      </w:r>
      <w:r w:rsidRPr="00730B1E">
        <w:rPr>
          <w:color w:val="auto"/>
        </w:rPr>
        <w:t>: NS – evidenční počet soudců dle soudních úseků v letech 201</w:t>
      </w:r>
      <w:r w:rsidR="00AC1060" w:rsidRPr="00730B1E">
        <w:rPr>
          <w:color w:val="auto"/>
        </w:rPr>
        <w:t>4</w:t>
      </w:r>
      <w:r w:rsidRPr="00730B1E">
        <w:rPr>
          <w:color w:val="auto"/>
        </w:rPr>
        <w:t>–</w:t>
      </w:r>
      <w:bookmarkEnd w:id="1595"/>
      <w:bookmarkEnd w:id="1596"/>
      <w:r w:rsidRPr="00730B1E">
        <w:rPr>
          <w:color w:val="auto"/>
        </w:rPr>
        <w:t>2</w:t>
      </w:r>
      <w:bookmarkEnd w:id="1597"/>
      <w:r w:rsidRPr="00730B1E">
        <w:rPr>
          <w:color w:val="auto"/>
        </w:rPr>
        <w:t>02</w:t>
      </w:r>
      <w:bookmarkEnd w:id="1598"/>
      <w:bookmarkEnd w:id="1599"/>
      <w:bookmarkEnd w:id="1600"/>
      <w:bookmarkEnd w:id="1601"/>
      <w:r w:rsidRPr="00730B1E">
        <w:rPr>
          <w:color w:val="auto"/>
        </w:rPr>
        <w:t>3</w:t>
      </w:r>
      <w:bookmarkEnd w:id="1602"/>
      <w:bookmarkEnd w:id="1603"/>
    </w:p>
    <w:p w14:paraId="205742C8" w14:textId="7CC81820" w:rsidR="00207C18" w:rsidRPr="00730B1E" w:rsidRDefault="00B04D39" w:rsidP="00207C18">
      <w:pPr>
        <w:rPr>
          <w:lang w:val="en-GB"/>
        </w:rPr>
      </w:pPr>
      <w:r w:rsidRPr="00730B1E">
        <w:rPr>
          <w:noProof/>
          <w:lang w:eastAsia="cs-CZ"/>
        </w:rPr>
        <w:drawing>
          <wp:inline distT="0" distB="0" distL="0" distR="0" wp14:anchorId="08C923B6" wp14:editId="5A7605C4">
            <wp:extent cx="5029200" cy="3657600"/>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784DC414" w14:textId="77777777" w:rsidR="000E4730" w:rsidRPr="00730B1E" w:rsidRDefault="000E4730" w:rsidP="000E4730">
      <w:pPr>
        <w:pStyle w:val="OdstavecASR"/>
      </w:pPr>
    </w:p>
    <w:p w14:paraId="312A84DD" w14:textId="51FF6881" w:rsidR="000E4730" w:rsidRPr="00730B1E" w:rsidRDefault="00AC1060" w:rsidP="000E4730">
      <w:pPr>
        <w:pStyle w:val="OdstavecASR"/>
      </w:pPr>
      <w:r w:rsidRPr="00730B1E">
        <w:t xml:space="preserve">Podobně jako u ostatních soudů je civilní úsek větší, než úsek trestní, v případě NS přibližně dvakrát. Trestní úsek se po výrazném propadu v roce 2019 postupně stabilizoval na hodnoty odpovídající roku 2018, zatímco civilní úsek výrazněji narostl mezi lety 2018 a 2020 a od té doby jeho velikost poklesla </w:t>
      </w:r>
      <w:r w:rsidR="000E4730" w:rsidRPr="00730B1E">
        <w:t xml:space="preserve">Na dalším grafu je stejně jako u ostatních soudů zobrazen vývoj počtu soudců a soudkyň. Od roku 2009 se počet mužů zvyšoval a v roce 2017 došlo k dalšímu významnému růstu. </w:t>
      </w:r>
      <w:r w:rsidR="007D4CBA" w:rsidRPr="00730B1E">
        <w:t>V</w:t>
      </w:r>
      <w:r w:rsidR="000E4730" w:rsidRPr="00730B1E">
        <w:t xml:space="preserve"> roce 2019 se </w:t>
      </w:r>
      <w:r w:rsidR="007D4CBA" w:rsidRPr="00730B1E">
        <w:t>tento trend přerušil</w:t>
      </w:r>
      <w:r w:rsidR="000E4730" w:rsidRPr="00730B1E">
        <w:t xml:space="preserve"> a podíl žen dokonce mírně stoupl</w:t>
      </w:r>
      <w:r w:rsidR="007D4CBA" w:rsidRPr="00730B1E">
        <w:t>, ale v</w:t>
      </w:r>
      <w:r w:rsidR="000E4730" w:rsidRPr="00730B1E">
        <w:t xml:space="preserve"> roce 2020 bylo k soudu jmenováno dalších 5 mužů </w:t>
      </w:r>
      <w:r w:rsidR="007D4CBA" w:rsidRPr="00730B1E">
        <w:t>a</w:t>
      </w:r>
      <w:r w:rsidR="000E4730" w:rsidRPr="00730B1E">
        <w:t xml:space="preserve"> v roce 2022 se nůžky mezi muži a ženami rozevřely nejvíce </w:t>
      </w:r>
      <w:r w:rsidR="001D6BCD" w:rsidRPr="00730B1E">
        <w:t>ve sledovaném období</w:t>
      </w:r>
      <w:r w:rsidR="001A012F" w:rsidRPr="00730B1E">
        <w:t>; snížení rozdílu v roce 2023 je pouze důsledkem snížení počtu mužů.</w:t>
      </w:r>
    </w:p>
    <w:p w14:paraId="4737D74B" w14:textId="52797194" w:rsidR="000E4730" w:rsidRPr="00730B1E" w:rsidRDefault="000E4730" w:rsidP="000E4730">
      <w:pPr>
        <w:pStyle w:val="OdstavecASR"/>
      </w:pPr>
      <w:r w:rsidRPr="00730B1E">
        <w:t>U Nejvyššího soudu tak nejenom pokračuje trend snižování podílu soudkyň s každým dalším článkem soudní soustavy, ale nepoměr se v průběhu času prohlubuje. V roce 202</w:t>
      </w:r>
      <w:r w:rsidR="001D6BCD" w:rsidRPr="00730B1E">
        <w:t>3</w:t>
      </w:r>
      <w:r w:rsidRPr="00730B1E">
        <w:t xml:space="preserve"> byl podíl soudkyň pouze </w:t>
      </w:r>
      <w:r w:rsidR="001D6BCD" w:rsidRPr="00730B1E">
        <w:t>něco přes 17</w:t>
      </w:r>
      <w:r w:rsidRPr="00730B1E">
        <w:t> %.</w:t>
      </w:r>
    </w:p>
    <w:p w14:paraId="725DF2F2" w14:textId="77777777" w:rsidR="00056825" w:rsidRDefault="00056825">
      <w:pPr>
        <w:spacing w:after="160" w:line="259" w:lineRule="auto"/>
        <w:jc w:val="left"/>
        <w:rPr>
          <w:b/>
          <w:bCs/>
        </w:rPr>
      </w:pPr>
      <w:r>
        <w:rPr>
          <w:b/>
          <w:bCs/>
        </w:rPr>
        <w:br w:type="page"/>
      </w:r>
    </w:p>
    <w:p w14:paraId="601A4656" w14:textId="75A5BD59" w:rsidR="003D4605" w:rsidRPr="00730B1E" w:rsidRDefault="00056825" w:rsidP="003D4605">
      <w:pPr>
        <w:pStyle w:val="OdstavecASR"/>
        <w:rPr>
          <w:b/>
          <w:bCs/>
        </w:rPr>
      </w:pPr>
      <w:r>
        <w:rPr>
          <w:b/>
          <w:bCs/>
        </w:rPr>
        <w:lastRenderedPageBreak/>
        <w:t>G</w:t>
      </w:r>
      <w:r w:rsidR="000E4730" w:rsidRPr="00730B1E">
        <w:rPr>
          <w:b/>
          <w:bCs/>
        </w:rPr>
        <w:t>raf 102: NS – evidenční počet soudců dle pohlaví v letech 201</w:t>
      </w:r>
      <w:r w:rsidR="00AC1060" w:rsidRPr="00730B1E">
        <w:rPr>
          <w:b/>
          <w:bCs/>
        </w:rPr>
        <w:t>4</w:t>
      </w:r>
      <w:r w:rsidR="000E4730" w:rsidRPr="00730B1E">
        <w:rPr>
          <w:b/>
          <w:bCs/>
        </w:rPr>
        <w:t>–2023</w:t>
      </w:r>
    </w:p>
    <w:p w14:paraId="1BEB142E" w14:textId="450DF7EA" w:rsidR="001D6BCD" w:rsidRPr="00730B1E" w:rsidRDefault="001D6BCD" w:rsidP="003D4605">
      <w:pPr>
        <w:pStyle w:val="OdstavecASR"/>
        <w:rPr>
          <w:b/>
          <w:bCs/>
        </w:rPr>
      </w:pPr>
      <w:r w:rsidRPr="00730B1E">
        <w:rPr>
          <w:b/>
          <w:bCs/>
          <w:noProof/>
          <w:lang w:eastAsia="cs-CZ"/>
        </w:rPr>
        <w:drawing>
          <wp:inline distT="0" distB="0" distL="0" distR="0" wp14:anchorId="3FF1AA13" wp14:editId="1D1EE398">
            <wp:extent cx="5029200" cy="3657600"/>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14BC866" w14:textId="77777777" w:rsidR="001D6BCD" w:rsidRPr="00730B1E" w:rsidRDefault="001D6BCD" w:rsidP="001D6BCD">
      <w:pPr>
        <w:pStyle w:val="OdstavecASR"/>
      </w:pPr>
    </w:p>
    <w:p w14:paraId="1AA90D96" w14:textId="01BBFECC" w:rsidR="001D6BCD" w:rsidRPr="00730B1E" w:rsidRDefault="001D6BCD" w:rsidP="001D6BCD">
      <w:pPr>
        <w:pStyle w:val="OdstavecASR"/>
      </w:pPr>
      <w:r w:rsidRPr="00730B1E">
        <w:t>Věkovou strukturu soudců zkoumáme i u Nejvyššího soudu. Soudci u Nejvyššího soudu se už v průměru nezdají být starší než soudci u vrchních soudů. I zde však došlo během let ke změnám. Zvyšoval se podíl soudců ve věku 61–70 let a snižoval se podíl soudců mezi 51. a 60. rokem věku. V roce 2020 došlo k nárůstu ve věkové kategorii 41 až 50 let</w:t>
      </w:r>
      <w:r w:rsidR="001A012F" w:rsidRPr="00730B1E">
        <w:t xml:space="preserve"> (jak bylo zmíněno výše, šlo výlučně o muže)</w:t>
      </w:r>
      <w:r w:rsidRPr="00730B1E">
        <w:t xml:space="preserve">. V roce 2021 </w:t>
      </w:r>
      <w:r w:rsidR="001A012F" w:rsidRPr="00730B1E">
        <w:t>dále narostl</w:t>
      </w:r>
      <w:r w:rsidRPr="00730B1E">
        <w:t xml:space="preserve"> podíl soudců ve věkové skupině 41 až 50 let. Lze tedy říct, že se </w:t>
      </w:r>
      <w:r w:rsidR="00AC1060" w:rsidRPr="00730B1E">
        <w:t xml:space="preserve">v </w:t>
      </w:r>
      <w:r w:rsidRPr="00730B1E">
        <w:t>těchto letech zvýšil podíl mladších soudců u Nejvyššího soudu</w:t>
      </w:r>
      <w:r w:rsidR="00AC1060" w:rsidRPr="00730B1E">
        <w:t>.</w:t>
      </w:r>
      <w:r w:rsidRPr="00730B1E">
        <w:t xml:space="preserve"> </w:t>
      </w:r>
      <w:r w:rsidR="00AC1060" w:rsidRPr="00730B1E">
        <w:t xml:space="preserve">V </w:t>
      </w:r>
      <w:r w:rsidRPr="00730B1E">
        <w:t>roce 2022 se tento trend zatím zastavil.</w:t>
      </w:r>
      <w:r w:rsidR="00AC1060" w:rsidRPr="00730B1E">
        <w:t xml:space="preserve"> V roce 2023 zůstal poměr mezi věkovými skupinami v zásadě neměnný. </w:t>
      </w:r>
    </w:p>
    <w:p w14:paraId="39845C26" w14:textId="1025AA2B" w:rsidR="001D6BCD" w:rsidRPr="00730B1E" w:rsidRDefault="001D6BCD">
      <w:pPr>
        <w:spacing w:after="160" w:line="259" w:lineRule="auto"/>
        <w:jc w:val="left"/>
        <w:rPr>
          <w:lang w:eastAsia="cs-CZ"/>
        </w:rPr>
      </w:pPr>
      <w:r w:rsidRPr="00730B1E">
        <w:rPr>
          <w:lang w:eastAsia="cs-CZ"/>
        </w:rPr>
        <w:br w:type="page"/>
      </w:r>
    </w:p>
    <w:p w14:paraId="0FFDF629" w14:textId="5DDB46D6" w:rsidR="003D4605" w:rsidRPr="00DF07F3" w:rsidRDefault="001D6BCD" w:rsidP="00DF07F3">
      <w:pPr>
        <w:pStyle w:val="Podnadpis"/>
        <w:numPr>
          <w:ilvl w:val="0"/>
          <w:numId w:val="0"/>
        </w:numPr>
        <w:rPr>
          <w:color w:val="auto"/>
        </w:rPr>
      </w:pPr>
      <w:bookmarkStart w:id="1604" w:name="_Toc515871424"/>
      <w:bookmarkStart w:id="1605" w:name="_Toc11135155"/>
      <w:bookmarkStart w:id="1606" w:name="_Toc43841481"/>
      <w:bookmarkStart w:id="1607" w:name="_Toc75952284"/>
      <w:bookmarkStart w:id="1608" w:name="_Toc106106740"/>
      <w:bookmarkStart w:id="1609" w:name="_Toc109802064"/>
      <w:bookmarkStart w:id="1610" w:name="_Toc144104215"/>
      <w:bookmarkStart w:id="1611" w:name="_Toc169251027"/>
      <w:bookmarkStart w:id="1612" w:name="_Toc174080713"/>
      <w:r w:rsidRPr="00DF07F3">
        <w:rPr>
          <w:color w:val="auto"/>
        </w:rPr>
        <w:lastRenderedPageBreak/>
        <w:t xml:space="preserve">Graf </w:t>
      </w:r>
      <w:r w:rsidRPr="00DF07F3">
        <w:rPr>
          <w:color w:val="auto"/>
        </w:rPr>
        <w:fldChar w:fldCharType="begin"/>
      </w:r>
      <w:r w:rsidRPr="00DF07F3">
        <w:rPr>
          <w:color w:val="auto"/>
        </w:rPr>
        <w:instrText xml:space="preserve"> SEQ Graf \* ARABIC </w:instrText>
      </w:r>
      <w:r w:rsidRPr="00DF07F3">
        <w:rPr>
          <w:color w:val="auto"/>
        </w:rPr>
        <w:fldChar w:fldCharType="separate"/>
      </w:r>
      <w:r w:rsidR="00056825">
        <w:rPr>
          <w:noProof/>
          <w:color w:val="auto"/>
        </w:rPr>
        <w:t>108</w:t>
      </w:r>
      <w:r w:rsidRPr="00DF07F3">
        <w:rPr>
          <w:color w:val="auto"/>
        </w:rPr>
        <w:fldChar w:fldCharType="end"/>
      </w:r>
      <w:r w:rsidRPr="00DF07F3">
        <w:rPr>
          <w:color w:val="auto"/>
        </w:rPr>
        <w:t>: NS – věková struktura soudců v letech 2008–20</w:t>
      </w:r>
      <w:bookmarkEnd w:id="1604"/>
      <w:bookmarkEnd w:id="1605"/>
      <w:bookmarkEnd w:id="1606"/>
      <w:r w:rsidRPr="00DF07F3">
        <w:rPr>
          <w:color w:val="auto"/>
        </w:rPr>
        <w:t>2</w:t>
      </w:r>
      <w:bookmarkEnd w:id="1607"/>
      <w:bookmarkEnd w:id="1608"/>
      <w:bookmarkEnd w:id="1609"/>
      <w:bookmarkEnd w:id="1610"/>
      <w:r w:rsidRPr="00DF07F3">
        <w:rPr>
          <w:color w:val="auto"/>
        </w:rPr>
        <w:t>3</w:t>
      </w:r>
      <w:bookmarkEnd w:id="1611"/>
      <w:bookmarkEnd w:id="1612"/>
    </w:p>
    <w:p w14:paraId="50A86BD8" w14:textId="1F1CB4CB" w:rsidR="001D6BCD" w:rsidRPr="00730B1E" w:rsidRDefault="001D6BCD" w:rsidP="003D4605">
      <w:pPr>
        <w:rPr>
          <w:b/>
          <w:bCs/>
          <w:lang w:eastAsia="cs-CZ"/>
        </w:rPr>
      </w:pPr>
      <w:r w:rsidRPr="00730B1E">
        <w:rPr>
          <w:b/>
          <w:bCs/>
          <w:noProof/>
          <w:lang w:eastAsia="cs-CZ"/>
        </w:rPr>
        <w:drawing>
          <wp:inline distT="0" distB="0" distL="0" distR="0" wp14:anchorId="6D26896A" wp14:editId="21464047">
            <wp:extent cx="5029200" cy="3657600"/>
            <wp:effectExtent l="0" t="0" r="0" b="0"/>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CCF3BF8" w14:textId="77777777" w:rsidR="001D6BCD" w:rsidRPr="00730B1E" w:rsidRDefault="001D6BCD" w:rsidP="003D4605">
      <w:pPr>
        <w:rPr>
          <w:b/>
          <w:bCs/>
          <w:lang w:eastAsia="cs-CZ"/>
        </w:rPr>
      </w:pPr>
    </w:p>
    <w:p w14:paraId="7B92934B" w14:textId="510649CA" w:rsidR="007E57C7" w:rsidRPr="00730B1E" w:rsidRDefault="00280D2F" w:rsidP="00280D2F">
      <w:pPr>
        <w:pStyle w:val="Nadpis3"/>
        <w:numPr>
          <w:ilvl w:val="2"/>
          <w:numId w:val="1"/>
        </w:numPr>
        <w:rPr>
          <w:color w:val="auto"/>
          <w:lang w:eastAsia="cs-CZ"/>
        </w:rPr>
      </w:pPr>
      <w:bookmarkStart w:id="1613" w:name="_Toc515871297"/>
      <w:bookmarkStart w:id="1614" w:name="_Toc106092812"/>
      <w:bookmarkStart w:id="1615" w:name="_Toc109801423"/>
      <w:bookmarkStart w:id="1616" w:name="_Toc169250889"/>
      <w:bookmarkStart w:id="1617" w:name="_Toc174080925"/>
      <w:r w:rsidRPr="00730B1E">
        <w:rPr>
          <w:color w:val="auto"/>
          <w:lang w:eastAsia="cs-CZ"/>
        </w:rPr>
        <w:t>Zaměstnanci ve výkonu</w:t>
      </w:r>
      <w:bookmarkEnd w:id="1613"/>
      <w:bookmarkEnd w:id="1614"/>
      <w:bookmarkEnd w:id="1615"/>
      <w:bookmarkEnd w:id="1616"/>
      <w:bookmarkEnd w:id="1617"/>
    </w:p>
    <w:p w14:paraId="4ED004BF" w14:textId="5314A53C" w:rsidR="00D262A2" w:rsidRPr="00730B1E" w:rsidRDefault="00D262A2" w:rsidP="00D262A2">
      <w:pPr>
        <w:pStyle w:val="OdstavecASR"/>
      </w:pPr>
      <w:r w:rsidRPr="00730B1E">
        <w:t>Diametrálně odlišná povaha rozhodovací činnosti Nejvyššího soudu oproti soudům nižších stupňů (téměř vždy se rozhoduje bez jednání, řeší se téměř výhradně složité právní otázky) se nutně odráží i ve zcela odlišné struktuře zaměstnanců ve výkonu</w:t>
      </w:r>
      <w:r w:rsidR="00DD035D" w:rsidRPr="00730B1E">
        <w:t xml:space="preserve">, která je dlouhodobě </w:t>
      </w:r>
      <w:r w:rsidR="001A012F" w:rsidRPr="00730B1E">
        <w:t>stabilní</w:t>
      </w:r>
      <w:r w:rsidRPr="00730B1E">
        <w:t xml:space="preserve">. </w:t>
      </w:r>
      <w:r w:rsidR="001A012F" w:rsidRPr="00730B1E">
        <w:t>V</w:t>
      </w:r>
      <w:r w:rsidR="00DD035D" w:rsidRPr="00730B1E">
        <w:t xml:space="preserve">e </w:t>
      </w:r>
      <w:r w:rsidRPr="00730B1E">
        <w:t xml:space="preserve">srovnání s předchozím rokem se </w:t>
      </w:r>
      <w:r w:rsidR="001A012F" w:rsidRPr="00730B1E">
        <w:t xml:space="preserve">takřka nezměnil ani </w:t>
      </w:r>
      <w:r w:rsidRPr="00730B1E">
        <w:t>počet zaměstnanců ve v</w:t>
      </w:r>
      <w:r w:rsidR="00795A21" w:rsidRPr="00730B1E">
        <w:t>ýkonu</w:t>
      </w:r>
      <w:r w:rsidR="001A012F" w:rsidRPr="00730B1E">
        <w:t>;</w:t>
      </w:r>
      <w:r w:rsidRPr="00730B1E">
        <w:t xml:space="preserve"> </w:t>
      </w:r>
      <w:r w:rsidR="001A012F" w:rsidRPr="00730B1E">
        <w:t>došlo</w:t>
      </w:r>
      <w:r w:rsidRPr="00730B1E">
        <w:t xml:space="preserve"> jen </w:t>
      </w:r>
      <w:r w:rsidR="001A012F" w:rsidRPr="00730B1E">
        <w:t>k mírnému poklesu počtu</w:t>
      </w:r>
      <w:r w:rsidRPr="00730B1E">
        <w:t xml:space="preserve"> asistentů o 7</w:t>
      </w:r>
      <w:r w:rsidR="001A012F" w:rsidRPr="00730B1E">
        <w:t>, ale může se jednat o jednorázový výkyv</w:t>
      </w:r>
      <w:r w:rsidRPr="00730B1E">
        <w:t>.</w:t>
      </w:r>
    </w:p>
    <w:p w14:paraId="35118E75" w14:textId="5D1444E0" w:rsidR="00D262A2" w:rsidRPr="00DF07F3" w:rsidRDefault="00D262A2" w:rsidP="00DF07F3">
      <w:pPr>
        <w:pStyle w:val="Podnadpis"/>
        <w:numPr>
          <w:ilvl w:val="0"/>
          <w:numId w:val="0"/>
        </w:numPr>
        <w:rPr>
          <w:color w:val="auto"/>
        </w:rPr>
      </w:pPr>
      <w:bookmarkStart w:id="1618" w:name="_Toc515871505"/>
      <w:bookmarkStart w:id="1619" w:name="_Toc11133271"/>
      <w:bookmarkStart w:id="1620" w:name="_Toc43931253"/>
      <w:bookmarkStart w:id="1621" w:name="_Toc75952387"/>
      <w:bookmarkStart w:id="1622" w:name="_Toc106106840"/>
      <w:bookmarkStart w:id="1623" w:name="_Toc109802163"/>
      <w:bookmarkStart w:id="1624" w:name="_Toc144104322"/>
      <w:bookmarkStart w:id="1625" w:name="_Toc169251136"/>
      <w:bookmarkStart w:id="1626" w:name="_Toc174080822"/>
      <w:r w:rsidRPr="00DF07F3">
        <w:rPr>
          <w:color w:val="auto"/>
        </w:rPr>
        <w:t xml:space="preserve">Tabulka </w:t>
      </w:r>
      <w:r w:rsidRPr="00DF07F3">
        <w:rPr>
          <w:color w:val="auto"/>
        </w:rPr>
        <w:fldChar w:fldCharType="begin"/>
      </w:r>
      <w:r w:rsidRPr="00DF07F3">
        <w:rPr>
          <w:color w:val="auto"/>
        </w:rPr>
        <w:instrText xml:space="preserve"> SEQ Tabulka \* ARABIC </w:instrText>
      </w:r>
      <w:r w:rsidRPr="00DF07F3">
        <w:rPr>
          <w:color w:val="auto"/>
        </w:rPr>
        <w:fldChar w:fldCharType="separate"/>
      </w:r>
      <w:r w:rsidR="00056825">
        <w:rPr>
          <w:noProof/>
          <w:color w:val="auto"/>
        </w:rPr>
        <w:t>79</w:t>
      </w:r>
      <w:r w:rsidRPr="00DF07F3">
        <w:rPr>
          <w:color w:val="auto"/>
        </w:rPr>
        <w:fldChar w:fldCharType="end"/>
      </w:r>
      <w:r w:rsidRPr="00DF07F3">
        <w:rPr>
          <w:color w:val="auto"/>
        </w:rPr>
        <w:t>: NS – počet zaměstnanců ve výkonu</w:t>
      </w:r>
      <w:bookmarkEnd w:id="1618"/>
      <w:bookmarkEnd w:id="1619"/>
      <w:bookmarkEnd w:id="1620"/>
      <w:bookmarkEnd w:id="1621"/>
      <w:bookmarkEnd w:id="1622"/>
      <w:bookmarkEnd w:id="1623"/>
      <w:bookmarkEnd w:id="1624"/>
      <w:bookmarkEnd w:id="1625"/>
      <w:bookmarkEnd w:id="1626"/>
      <w:r w:rsidRPr="00DF07F3">
        <w:rPr>
          <w:color w:val="auto"/>
        </w:rPr>
        <w:t xml:space="preserve"> </w:t>
      </w:r>
    </w:p>
    <w:tbl>
      <w:tblPr>
        <w:tblW w:w="5120" w:type="dxa"/>
        <w:tblCellMar>
          <w:left w:w="0" w:type="dxa"/>
          <w:right w:w="0" w:type="dxa"/>
        </w:tblCellMar>
        <w:tblLook w:val="04A0" w:firstRow="1" w:lastRow="0" w:firstColumn="1" w:lastColumn="0" w:noHBand="0" w:noVBand="1"/>
      </w:tblPr>
      <w:tblGrid>
        <w:gridCol w:w="3680"/>
        <w:gridCol w:w="1440"/>
      </w:tblGrid>
      <w:tr w:rsidR="00B64E96" w:rsidRPr="00730B1E" w14:paraId="5A0CCA44" w14:textId="77777777" w:rsidTr="00AC1060">
        <w:trPr>
          <w:trHeight w:val="345"/>
        </w:trPr>
        <w:tc>
          <w:tcPr>
            <w:tcW w:w="36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3E7F53C9" w14:textId="1F0B1E01" w:rsidR="00D262A2" w:rsidRPr="00730B1E" w:rsidRDefault="00AA3C01" w:rsidP="00DF07F3">
            <w:pPr>
              <w:spacing w:line="240" w:lineRule="auto"/>
              <w:jc w:val="center"/>
              <w:rPr>
                <w:rFonts w:eastAsia="Times New Roman"/>
                <w:b/>
                <w:bCs/>
              </w:rPr>
            </w:pPr>
            <w:r w:rsidRPr="00730B1E">
              <w:rPr>
                <w:b/>
                <w:bCs/>
              </w:rPr>
              <w:t>Funkce</w:t>
            </w:r>
          </w:p>
        </w:tc>
        <w:tc>
          <w:tcPr>
            <w:tcW w:w="144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35BE2135" w14:textId="77777777" w:rsidR="00D262A2" w:rsidRPr="00730B1E" w:rsidRDefault="00D262A2">
            <w:pPr>
              <w:jc w:val="center"/>
              <w:rPr>
                <w:b/>
                <w:bCs/>
              </w:rPr>
            </w:pPr>
            <w:r w:rsidRPr="00730B1E">
              <w:rPr>
                <w:b/>
                <w:bCs/>
              </w:rPr>
              <w:t>Počet osob</w:t>
            </w:r>
          </w:p>
        </w:tc>
      </w:tr>
      <w:tr w:rsidR="00B64E96" w:rsidRPr="00730B1E" w14:paraId="002CF9F4" w14:textId="77777777" w:rsidTr="00AC1060">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7B86EA4" w14:textId="77777777" w:rsidR="00D262A2" w:rsidRPr="00730B1E" w:rsidRDefault="00D262A2" w:rsidP="00AC1060">
            <w:pPr>
              <w:ind w:left="57"/>
              <w:jc w:val="left"/>
            </w:pPr>
            <w:r w:rsidRPr="00730B1E">
              <w:t>Asistent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9795E8C" w14:textId="77777777" w:rsidR="00D262A2" w:rsidRPr="00730B1E" w:rsidRDefault="00D262A2">
            <w:pPr>
              <w:jc w:val="center"/>
            </w:pPr>
            <w:r w:rsidRPr="00730B1E">
              <w:t>150</w:t>
            </w:r>
          </w:p>
        </w:tc>
      </w:tr>
      <w:tr w:rsidR="00B64E96" w:rsidRPr="00730B1E" w14:paraId="5F77E574" w14:textId="77777777" w:rsidTr="00AC1060">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87DB7FE" w14:textId="77777777" w:rsidR="00D262A2" w:rsidRPr="00730B1E" w:rsidRDefault="00D262A2" w:rsidP="00AC1060">
            <w:pPr>
              <w:ind w:left="57"/>
              <w:jc w:val="left"/>
            </w:pPr>
            <w:r w:rsidRPr="00730B1E">
              <w:t>Vedoucí kanceláře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A086782" w14:textId="77777777" w:rsidR="00D262A2" w:rsidRPr="00730B1E" w:rsidRDefault="00D262A2">
            <w:pPr>
              <w:jc w:val="center"/>
            </w:pPr>
            <w:r w:rsidRPr="00730B1E">
              <w:t>7</w:t>
            </w:r>
          </w:p>
        </w:tc>
      </w:tr>
      <w:tr w:rsidR="00B64E96" w:rsidRPr="00730B1E" w14:paraId="4954991D" w14:textId="77777777" w:rsidTr="00AC1060">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AA7D51" w14:textId="77777777" w:rsidR="00D262A2" w:rsidRPr="00730B1E" w:rsidRDefault="00D262A2" w:rsidP="00AC1060">
            <w:pPr>
              <w:ind w:left="57"/>
              <w:jc w:val="left"/>
            </w:pPr>
            <w:r w:rsidRPr="00730B1E">
              <w:t>Protokolující úředník</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8964EAA" w14:textId="77777777" w:rsidR="00D262A2" w:rsidRPr="00730B1E" w:rsidRDefault="00D262A2">
            <w:pPr>
              <w:jc w:val="center"/>
            </w:pPr>
            <w:r w:rsidRPr="00730B1E">
              <w:t>9</w:t>
            </w:r>
          </w:p>
        </w:tc>
      </w:tr>
      <w:tr w:rsidR="00B64E96" w:rsidRPr="00730B1E" w14:paraId="08DA26FC" w14:textId="77777777" w:rsidTr="00AC1060">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4D82C0B4" w14:textId="77777777" w:rsidR="00D262A2" w:rsidRPr="00730B1E" w:rsidRDefault="00D262A2" w:rsidP="00AC1060">
            <w:pPr>
              <w:ind w:left="57"/>
              <w:jc w:val="left"/>
            </w:pPr>
            <w:r w:rsidRPr="00730B1E">
              <w:t>Zapisovatelka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C27AB0F" w14:textId="77777777" w:rsidR="00D262A2" w:rsidRPr="00730B1E" w:rsidRDefault="00D262A2">
            <w:pPr>
              <w:jc w:val="center"/>
            </w:pPr>
            <w:r w:rsidRPr="00730B1E">
              <w:t>13</w:t>
            </w:r>
          </w:p>
        </w:tc>
      </w:tr>
      <w:tr w:rsidR="00B64E96" w:rsidRPr="00730B1E" w14:paraId="618BC634" w14:textId="77777777" w:rsidTr="00AC1060">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34163E6E" w14:textId="088ADCC4" w:rsidR="00D262A2" w:rsidRPr="00730B1E" w:rsidRDefault="00D262A2" w:rsidP="00AC1060">
            <w:pPr>
              <w:ind w:left="57"/>
              <w:jc w:val="left"/>
              <w:rPr>
                <w:b/>
                <w:bCs/>
              </w:rPr>
            </w:pPr>
            <w:r w:rsidRPr="00730B1E">
              <w:rPr>
                <w:b/>
                <w:bCs/>
              </w:rPr>
              <w:t xml:space="preserve">Celkem </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5465D43B" w14:textId="77777777" w:rsidR="00D262A2" w:rsidRPr="00730B1E" w:rsidRDefault="00D262A2">
            <w:pPr>
              <w:jc w:val="center"/>
              <w:rPr>
                <w:b/>
                <w:bCs/>
              </w:rPr>
            </w:pPr>
            <w:r w:rsidRPr="00730B1E">
              <w:rPr>
                <w:b/>
                <w:bCs/>
              </w:rPr>
              <w:t>178</w:t>
            </w:r>
          </w:p>
        </w:tc>
      </w:tr>
      <w:tr w:rsidR="00B64E96" w:rsidRPr="00730B1E" w14:paraId="7D9743CA" w14:textId="77777777" w:rsidTr="00D262A2">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3FB2E0" w14:textId="77777777" w:rsidR="00D262A2" w:rsidRPr="00730B1E" w:rsidRDefault="00D262A2">
            <w:pPr>
              <w:jc w:val="center"/>
              <w:rPr>
                <w:b/>
                <w:bCs/>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BE0A21" w14:textId="77777777" w:rsidR="00D262A2" w:rsidRPr="00730B1E" w:rsidRDefault="00D262A2">
            <w:pPr>
              <w:rPr>
                <w:sz w:val="20"/>
                <w:szCs w:val="20"/>
              </w:rPr>
            </w:pPr>
          </w:p>
        </w:tc>
      </w:tr>
    </w:tbl>
    <w:p w14:paraId="7949AF62" w14:textId="2F10983E" w:rsidR="007E57C7" w:rsidRPr="00730B1E" w:rsidRDefault="00D262A2">
      <w:pPr>
        <w:spacing w:after="160" w:line="259" w:lineRule="auto"/>
        <w:jc w:val="left"/>
        <w:rPr>
          <w:rFonts w:eastAsia="Times New Roman"/>
          <w:b/>
          <w:bCs/>
          <w:lang w:eastAsia="cs-CZ"/>
        </w:rPr>
      </w:pPr>
      <w:r w:rsidRPr="00730B1E">
        <w:rPr>
          <w:b/>
          <w:bCs/>
          <w:lang w:eastAsia="cs-CZ"/>
        </w:rPr>
        <w:t xml:space="preserve"> </w:t>
      </w:r>
      <w:r w:rsidR="007E57C7" w:rsidRPr="00730B1E">
        <w:rPr>
          <w:b/>
          <w:bCs/>
          <w:lang w:eastAsia="cs-CZ"/>
        </w:rPr>
        <w:br w:type="page"/>
      </w:r>
    </w:p>
    <w:p w14:paraId="3F847EC7" w14:textId="20CD94AE" w:rsidR="008430BD" w:rsidRPr="00730B1E" w:rsidRDefault="008430BD" w:rsidP="008430BD">
      <w:pPr>
        <w:pStyle w:val="Nadpis2"/>
        <w:numPr>
          <w:ilvl w:val="1"/>
          <w:numId w:val="1"/>
        </w:numPr>
        <w:spacing w:before="120"/>
        <w:rPr>
          <w:color w:val="auto"/>
          <w:lang w:eastAsia="cs-CZ"/>
        </w:rPr>
      </w:pPr>
      <w:bookmarkStart w:id="1627" w:name="_Toc515871298"/>
      <w:bookmarkStart w:id="1628" w:name="_Toc106092813"/>
      <w:bookmarkStart w:id="1629" w:name="_Toc169250890"/>
      <w:bookmarkStart w:id="1630" w:name="_Toc174080926"/>
      <w:r w:rsidRPr="00730B1E">
        <w:rPr>
          <w:color w:val="auto"/>
          <w:lang w:eastAsia="cs-CZ"/>
        </w:rPr>
        <w:lastRenderedPageBreak/>
        <w:t>Civilní dovolací agenda</w:t>
      </w:r>
      <w:bookmarkEnd w:id="1627"/>
      <w:bookmarkEnd w:id="1628"/>
      <w:bookmarkEnd w:id="1629"/>
      <w:bookmarkEnd w:id="1630"/>
    </w:p>
    <w:p w14:paraId="7E5AC35F" w14:textId="77777777" w:rsidR="0075179C" w:rsidRPr="00730B1E" w:rsidRDefault="0075179C" w:rsidP="0075179C">
      <w:pPr>
        <w:pStyle w:val="OdstavecASR"/>
      </w:pPr>
      <w:r w:rsidRPr="00730B1E">
        <w:t>Již výše jsme uvedli, že se jedná o rejstřík Cdo, dříve též rejstřík Odo.</w:t>
      </w:r>
    </w:p>
    <w:p w14:paraId="4066CDE9" w14:textId="6CE4127C" w:rsidR="001F6075" w:rsidRPr="00730B1E" w:rsidRDefault="008430BD" w:rsidP="00FB2C4D">
      <w:pPr>
        <w:pStyle w:val="Nadpis3"/>
        <w:numPr>
          <w:ilvl w:val="2"/>
          <w:numId w:val="1"/>
        </w:numPr>
        <w:rPr>
          <w:color w:val="auto"/>
          <w:lang w:eastAsia="cs-CZ"/>
        </w:rPr>
      </w:pPr>
      <w:bookmarkStart w:id="1631" w:name="_Toc515871299"/>
      <w:bookmarkStart w:id="1632" w:name="_Toc41546389"/>
      <w:bookmarkStart w:id="1633" w:name="_Toc106092814"/>
      <w:bookmarkStart w:id="1634" w:name="_Toc169250891"/>
      <w:bookmarkStart w:id="1635" w:name="_Toc515871425"/>
      <w:bookmarkStart w:id="1636" w:name="_Toc11135156"/>
      <w:bookmarkStart w:id="1637" w:name="_Toc174080927"/>
      <w:r w:rsidRPr="00730B1E">
        <w:rPr>
          <w:color w:val="auto"/>
          <w:lang w:eastAsia="cs-CZ"/>
        </w:rPr>
        <w:t>Vyřizování věcí</w:t>
      </w:r>
      <w:bookmarkEnd w:id="1631"/>
      <w:bookmarkEnd w:id="1632"/>
      <w:bookmarkEnd w:id="1633"/>
      <w:bookmarkEnd w:id="1634"/>
      <w:bookmarkEnd w:id="1637"/>
    </w:p>
    <w:p w14:paraId="516E6ED0" w14:textId="4FA4ABCB" w:rsidR="0056793E" w:rsidRPr="00730B1E" w:rsidRDefault="001A012F" w:rsidP="0056793E">
      <w:pPr>
        <w:pStyle w:val="OdstavecASR"/>
      </w:pPr>
      <w:r w:rsidRPr="00730B1E">
        <w:t xml:space="preserve">Počínaje rokem </w:t>
      </w:r>
      <w:r w:rsidR="0056793E" w:rsidRPr="00730B1E">
        <w:t>2013 došlo k</w:t>
      </w:r>
      <w:r w:rsidRPr="00730B1E">
        <w:t xml:space="preserve"> několikaletému </w:t>
      </w:r>
      <w:r w:rsidR="0056793E" w:rsidRPr="00730B1E">
        <w:t xml:space="preserve">růstu nápadu. Lze </w:t>
      </w:r>
      <w:r w:rsidRPr="00730B1E">
        <w:t>jej</w:t>
      </w:r>
      <w:r w:rsidR="0056793E" w:rsidRPr="00730B1E">
        <w:t xml:space="preserve"> přisoudit tomu, že dne 1. 1. 2013 nabyla účinnosti novela (zákon č. 404/2012 Sb.), kterou byla rozšířena objektivní přípustnost dovolání v civilních věcech. Soudu se ale podařilo úspěšně reagovat a výrazně zvýšil počet vyřízených věcí, čímž se mu podařilo zabránit výraznému růstu v počtu nevyřízených věcí. V roce 2017 se rostoucí trend v nápadu téměř zastavil</w:t>
      </w:r>
      <w:r w:rsidRPr="00730B1E">
        <w:t xml:space="preserve"> a v letech </w:t>
      </w:r>
      <w:r w:rsidR="0056793E" w:rsidRPr="00730B1E">
        <w:t>2018</w:t>
      </w:r>
      <w:r w:rsidRPr="00730B1E">
        <w:t>-2021</w:t>
      </w:r>
      <w:r w:rsidR="0056793E" w:rsidRPr="00730B1E">
        <w:t xml:space="preserve"> došlo k markantnímu poklesu v počtu příchozích věcí. Za tímto enormním poklesem zřejmě stojí velká novela civilního procesního práva (zákon č. 296/2017 Sb.), která nabyla účinnosti dne 30. 9. 2017. Kromě jiných legislativních úprav si tato novela dala za cíl odbřemenit dovolací soud, což se </w:t>
      </w:r>
      <w:r w:rsidR="00D179E7" w:rsidRPr="00730B1E">
        <w:t xml:space="preserve">zjevně </w:t>
      </w:r>
      <w:r w:rsidR="0056793E" w:rsidRPr="00730B1E">
        <w:t>podařilo.</w:t>
      </w:r>
    </w:p>
    <w:p w14:paraId="025E6B9D" w14:textId="63A4167E" w:rsidR="004C0597" w:rsidRPr="00730B1E" w:rsidRDefault="00D179E7" w:rsidP="0056793E">
      <w:pPr>
        <w:pStyle w:val="OdstavecASR"/>
      </w:pPr>
      <w:r w:rsidRPr="00730B1E">
        <w:t xml:space="preserve">Výrazný pokles nápadu </w:t>
      </w:r>
      <w:r w:rsidR="0056793E" w:rsidRPr="00730B1E">
        <w:t xml:space="preserve">se projevil v poklesu v počtu vyřízených věcí (mezi příchozími a vyřízenými věcmi je logicky velmi silná závislost). Počet vyřízených věcí ale </w:t>
      </w:r>
      <w:r w:rsidRPr="00730B1E">
        <w:t xml:space="preserve">v </w:t>
      </w:r>
      <w:r w:rsidR="0056793E" w:rsidRPr="00730B1E">
        <w:t xml:space="preserve">letech 2018 až 2021 </w:t>
      </w:r>
      <w:r w:rsidRPr="00730B1E">
        <w:t xml:space="preserve">převyšoval </w:t>
      </w:r>
      <w:r w:rsidR="0056793E" w:rsidRPr="00730B1E">
        <w:t>počet věcí příchozích</w:t>
      </w:r>
      <w:r w:rsidRPr="00730B1E">
        <w:t xml:space="preserve"> a d</w:t>
      </w:r>
      <w:r w:rsidR="0056793E" w:rsidRPr="00730B1E">
        <w:t xml:space="preserve">ošlo tedy k poklesu počtu nevyřízených věcí. Od roku 2017 do roku 2021 </w:t>
      </w:r>
      <w:r w:rsidRPr="00730B1E">
        <w:t>tak</w:t>
      </w:r>
      <w:r w:rsidR="0056793E" w:rsidRPr="00730B1E">
        <w:t xml:space="preserve"> klesl počet nevyřízených věcí z 2 884 na 1 569, tedy o 46 %. V roce 2022 se počet příchozích věcí zvýšil poprvé od roku 2017, a to o 31, počet vyřízených a nevyřízených věcí stoupnul shodně o 20.</w:t>
      </w:r>
      <w:r w:rsidR="004C0597" w:rsidRPr="00730B1E">
        <w:t xml:space="preserve"> V roce 2023 se může </w:t>
      </w:r>
      <w:r w:rsidR="00D97685" w:rsidRPr="00730B1E">
        <w:t>zdát,</w:t>
      </w:r>
      <w:r w:rsidR="004C0597" w:rsidRPr="00730B1E">
        <w:t xml:space="preserve"> že trend se opět obrací</w:t>
      </w:r>
      <w:r w:rsidR="00D97685" w:rsidRPr="00730B1E">
        <w:t xml:space="preserve"> –</w:t>
      </w:r>
      <w:r w:rsidR="004C0597" w:rsidRPr="00730B1E">
        <w:t xml:space="preserve"> počet příchozích věcí narostl, i když jen mírně.</w:t>
      </w:r>
      <w:r w:rsidRPr="00730B1E">
        <w:t xml:space="preserve"> Nárůst nicméně odpovídá i nárůst</w:t>
      </w:r>
      <w:r w:rsidR="00795A21" w:rsidRPr="00730B1E">
        <w:t>u</w:t>
      </w:r>
      <w:r w:rsidRPr="00730B1E">
        <w:t xml:space="preserve"> počtu věcí vyřízených</w:t>
      </w:r>
      <w:r w:rsidR="00795A21" w:rsidRPr="00730B1E">
        <w:t>.</w:t>
      </w:r>
      <w:r w:rsidRPr="00730B1E">
        <w:t xml:space="preserve"> </w:t>
      </w:r>
    </w:p>
    <w:p w14:paraId="75E49CF9" w14:textId="6924BA1B" w:rsidR="0056793E" w:rsidRPr="00730B1E" w:rsidRDefault="0056793E" w:rsidP="0056793E">
      <w:pPr>
        <w:pStyle w:val="Podnadpis"/>
        <w:rPr>
          <w:color w:val="auto"/>
        </w:rPr>
      </w:pPr>
      <w:bookmarkStart w:id="1638" w:name="_Toc43841482"/>
      <w:bookmarkStart w:id="1639" w:name="_Toc75952285"/>
      <w:bookmarkStart w:id="1640" w:name="_Toc106106741"/>
      <w:bookmarkStart w:id="1641" w:name="_Toc109802065"/>
      <w:bookmarkStart w:id="1642" w:name="_Toc144104216"/>
      <w:bookmarkStart w:id="1643" w:name="_Toc169251028"/>
      <w:bookmarkStart w:id="1644" w:name="_Toc17408071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109</w:t>
      </w:r>
      <w:r w:rsidRPr="00730B1E">
        <w:rPr>
          <w:noProof/>
          <w:color w:val="auto"/>
        </w:rPr>
        <w:fldChar w:fldCharType="end"/>
      </w:r>
      <w:r w:rsidRPr="00730B1E">
        <w:rPr>
          <w:color w:val="auto"/>
        </w:rPr>
        <w:t>: NS – vyřizování civilní dovolací agendy v letech 2014–20</w:t>
      </w:r>
      <w:bookmarkEnd w:id="1638"/>
      <w:r w:rsidRPr="00730B1E">
        <w:rPr>
          <w:color w:val="auto"/>
        </w:rPr>
        <w:t>2</w:t>
      </w:r>
      <w:bookmarkEnd w:id="1639"/>
      <w:bookmarkEnd w:id="1640"/>
      <w:bookmarkEnd w:id="1641"/>
      <w:bookmarkEnd w:id="1642"/>
      <w:r w:rsidRPr="00730B1E">
        <w:rPr>
          <w:color w:val="auto"/>
        </w:rPr>
        <w:t>3</w:t>
      </w:r>
      <w:bookmarkEnd w:id="1643"/>
      <w:bookmarkEnd w:id="1644"/>
    </w:p>
    <w:p w14:paraId="3CAFCC80" w14:textId="7B632FBA" w:rsidR="0056793E" w:rsidRPr="00730B1E" w:rsidRDefault="00A52779" w:rsidP="0056793E">
      <w:pPr>
        <w:rPr>
          <w:lang w:eastAsia="cs-CZ"/>
        </w:rPr>
      </w:pPr>
      <w:r w:rsidRPr="00730B1E">
        <w:rPr>
          <w:noProof/>
          <w:lang w:eastAsia="cs-CZ"/>
        </w:rPr>
        <w:drawing>
          <wp:inline distT="0" distB="0" distL="0" distR="0" wp14:anchorId="77C7CF62" wp14:editId="0289CBFC">
            <wp:extent cx="5029200" cy="3657600"/>
            <wp:effectExtent l="0" t="0" r="0" b="0"/>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37CD8E8" w14:textId="1A26D300" w:rsidR="008430BD" w:rsidRPr="00730B1E" w:rsidRDefault="008430BD" w:rsidP="008430BD">
      <w:pPr>
        <w:pStyle w:val="Nadpis2"/>
        <w:pageBreakBefore/>
        <w:numPr>
          <w:ilvl w:val="1"/>
          <w:numId w:val="1"/>
        </w:numPr>
        <w:spacing w:before="120"/>
        <w:rPr>
          <w:color w:val="auto"/>
        </w:rPr>
      </w:pPr>
      <w:bookmarkStart w:id="1645" w:name="_Toc515871300"/>
      <w:bookmarkStart w:id="1646" w:name="_Toc106092815"/>
      <w:bookmarkStart w:id="1647" w:name="_Toc169250892"/>
      <w:bookmarkStart w:id="1648" w:name="_Toc174080928"/>
      <w:bookmarkEnd w:id="1635"/>
      <w:bookmarkEnd w:id="1636"/>
      <w:r w:rsidRPr="00730B1E">
        <w:rPr>
          <w:color w:val="auto"/>
        </w:rPr>
        <w:lastRenderedPageBreak/>
        <w:t>Trestní dovolací agenda</w:t>
      </w:r>
      <w:bookmarkEnd w:id="1645"/>
      <w:bookmarkEnd w:id="1646"/>
      <w:bookmarkEnd w:id="1647"/>
      <w:bookmarkEnd w:id="1648"/>
    </w:p>
    <w:p w14:paraId="22A9F9EC" w14:textId="77777777" w:rsidR="004C0597" w:rsidRPr="00730B1E" w:rsidRDefault="004C0597" w:rsidP="004C0597">
      <w:r w:rsidRPr="00730B1E">
        <w:t>Jak již bylo řečeno, jedná se o rejstřík Tdo.</w:t>
      </w:r>
    </w:p>
    <w:p w14:paraId="07855AD8" w14:textId="653392A8" w:rsidR="004C0597" w:rsidRPr="00730B1E" w:rsidRDefault="004C0597" w:rsidP="004C0597">
      <w:pPr>
        <w:pStyle w:val="Nadpis3"/>
        <w:numPr>
          <w:ilvl w:val="2"/>
          <w:numId w:val="1"/>
        </w:numPr>
        <w:rPr>
          <w:color w:val="auto"/>
          <w:lang w:eastAsia="cs-CZ"/>
        </w:rPr>
      </w:pPr>
      <w:bookmarkStart w:id="1649" w:name="_Toc515871301"/>
      <w:bookmarkStart w:id="1650" w:name="_Toc106092816"/>
      <w:bookmarkStart w:id="1651" w:name="_Toc169250893"/>
      <w:bookmarkStart w:id="1652" w:name="_Toc174080929"/>
      <w:r w:rsidRPr="00730B1E">
        <w:rPr>
          <w:color w:val="auto"/>
          <w:lang w:eastAsia="cs-CZ"/>
        </w:rPr>
        <w:t>Vyřizování věcí</w:t>
      </w:r>
      <w:bookmarkEnd w:id="1649"/>
      <w:bookmarkEnd w:id="1650"/>
      <w:bookmarkEnd w:id="1651"/>
      <w:bookmarkEnd w:id="1652"/>
    </w:p>
    <w:p w14:paraId="4E7E3E4A" w14:textId="4ADF75C0" w:rsidR="004C0597" w:rsidRPr="00730B1E" w:rsidRDefault="004C0597" w:rsidP="004C0597">
      <w:pPr>
        <w:pStyle w:val="Podnadpis"/>
        <w:numPr>
          <w:ilvl w:val="0"/>
          <w:numId w:val="0"/>
        </w:numPr>
        <w:rPr>
          <w:color w:val="auto"/>
        </w:rPr>
      </w:pPr>
      <w:bookmarkStart w:id="1653" w:name="_Toc515871426"/>
      <w:bookmarkStart w:id="1654" w:name="_Toc11135157"/>
      <w:bookmarkStart w:id="1655" w:name="_Toc43841483"/>
      <w:bookmarkStart w:id="1656" w:name="_Toc75952286"/>
      <w:bookmarkStart w:id="1657" w:name="_Toc106106742"/>
      <w:bookmarkStart w:id="1658" w:name="_Toc109802066"/>
      <w:bookmarkStart w:id="1659" w:name="_Toc144104217"/>
      <w:bookmarkStart w:id="1660" w:name="_Toc169251029"/>
      <w:bookmarkStart w:id="1661" w:name="_Toc174080715"/>
      <w:r w:rsidRPr="00730B1E">
        <w:rPr>
          <w:color w:val="auto"/>
        </w:rPr>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110</w:t>
      </w:r>
      <w:r w:rsidRPr="00730B1E">
        <w:rPr>
          <w:noProof/>
          <w:color w:val="auto"/>
        </w:rPr>
        <w:fldChar w:fldCharType="end"/>
      </w:r>
      <w:r w:rsidRPr="00730B1E">
        <w:rPr>
          <w:color w:val="auto"/>
        </w:rPr>
        <w:t>: NS – vyřizování trestní dovolací agendy v letech 2015–20</w:t>
      </w:r>
      <w:bookmarkEnd w:id="1653"/>
      <w:bookmarkEnd w:id="1654"/>
      <w:bookmarkEnd w:id="1655"/>
      <w:r w:rsidRPr="00730B1E">
        <w:rPr>
          <w:color w:val="auto"/>
        </w:rPr>
        <w:t>2</w:t>
      </w:r>
      <w:bookmarkEnd w:id="1656"/>
      <w:bookmarkEnd w:id="1657"/>
      <w:bookmarkEnd w:id="1658"/>
      <w:bookmarkEnd w:id="1659"/>
      <w:r w:rsidRPr="00730B1E">
        <w:rPr>
          <w:color w:val="auto"/>
        </w:rPr>
        <w:t>3</w:t>
      </w:r>
      <w:bookmarkEnd w:id="1660"/>
      <w:bookmarkEnd w:id="1661"/>
    </w:p>
    <w:p w14:paraId="1C50E2D6" w14:textId="64DEA21E" w:rsidR="004C0597" w:rsidRPr="00730B1E" w:rsidRDefault="00A52779" w:rsidP="004C0597">
      <w:r w:rsidRPr="00730B1E">
        <w:rPr>
          <w:noProof/>
          <w:lang w:eastAsia="cs-CZ"/>
        </w:rPr>
        <w:drawing>
          <wp:inline distT="0" distB="0" distL="0" distR="0" wp14:anchorId="5B8B0F7A" wp14:editId="20AB40B8">
            <wp:extent cx="5029200" cy="3657600"/>
            <wp:effectExtent l="0" t="0" r="0"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B60CB49" w14:textId="147DA1AE" w:rsidR="004C0597" w:rsidRPr="00730B1E" w:rsidRDefault="004C0597" w:rsidP="004C0597">
      <w:pPr>
        <w:pStyle w:val="OdstavecASR"/>
      </w:pPr>
      <w:r w:rsidRPr="00730B1E">
        <w:t>Trestní kolegium čelí mnohem menším změnám v nápadu než kolegium občanskoprávní a obchodní. V letech 2020 až 2022 došlo k poklesu v počtu příchozích věcí, který je na poměry této agendy poměrně výrazný. To lze připsat především poklesu druhostupňové trestní agendy u krajských soudů, která zase plyne z poklesu prvostupňové agendy u soudů okresních. Počet nevyřízených věcí je v poměru k nápadu a k vyřízeným věcem stabilní a stále velmi nízký.</w:t>
      </w:r>
    </w:p>
    <w:p w14:paraId="7433BC60" w14:textId="77777777" w:rsidR="004C0597" w:rsidRPr="00730B1E" w:rsidRDefault="004C0597" w:rsidP="004C0597"/>
    <w:p w14:paraId="6B8D3152" w14:textId="77777777" w:rsidR="004C0597" w:rsidRPr="00730B1E" w:rsidRDefault="004C0597" w:rsidP="004C0597"/>
    <w:p w14:paraId="431D7EBE" w14:textId="77777777" w:rsidR="004C0597" w:rsidRPr="00730B1E" w:rsidRDefault="004C0597">
      <w:pPr>
        <w:spacing w:after="160" w:line="259" w:lineRule="auto"/>
        <w:jc w:val="left"/>
        <w:rPr>
          <w:rFonts w:eastAsiaTheme="majorEastAsia" w:cstheme="majorBidi"/>
          <w:b/>
          <w:sz w:val="28"/>
          <w:szCs w:val="26"/>
        </w:rPr>
      </w:pPr>
      <w:bookmarkStart w:id="1662" w:name="_Toc487791304"/>
      <w:bookmarkStart w:id="1663" w:name="_Toc515871302"/>
      <w:bookmarkStart w:id="1664" w:name="_Toc106092817"/>
      <w:r w:rsidRPr="00730B1E">
        <w:br w:type="page"/>
      </w:r>
    </w:p>
    <w:p w14:paraId="35A390A6" w14:textId="1E050F02" w:rsidR="000D5CA7" w:rsidRPr="00730B1E" w:rsidRDefault="008430BD" w:rsidP="008430BD">
      <w:pPr>
        <w:pStyle w:val="Nadpis2"/>
        <w:numPr>
          <w:ilvl w:val="1"/>
          <w:numId w:val="1"/>
        </w:numPr>
        <w:spacing w:before="120"/>
        <w:rPr>
          <w:color w:val="auto"/>
        </w:rPr>
      </w:pPr>
      <w:bookmarkStart w:id="1665" w:name="_Toc169250894"/>
      <w:bookmarkStart w:id="1666" w:name="_Toc174080930"/>
      <w:r w:rsidRPr="00730B1E">
        <w:rPr>
          <w:color w:val="auto"/>
        </w:rPr>
        <w:lastRenderedPageBreak/>
        <w:t>Stížnosti pro porušení zákona</w:t>
      </w:r>
      <w:bookmarkEnd w:id="1662"/>
      <w:bookmarkEnd w:id="1663"/>
      <w:bookmarkEnd w:id="1664"/>
      <w:bookmarkEnd w:id="1665"/>
      <w:bookmarkEnd w:id="1666"/>
    </w:p>
    <w:p w14:paraId="70547C31" w14:textId="77777777" w:rsidR="004C0597" w:rsidRPr="00730B1E" w:rsidRDefault="004C0597" w:rsidP="004C0597">
      <w:pPr>
        <w:pStyle w:val="OdstavecASR"/>
      </w:pPr>
      <w:r w:rsidRPr="00730B1E">
        <w:t>Popis této agendy lze najít v seznamu použitých pojmů (příloha). Jedná se o rejstřík označený jako Tz. Agendu vyřizuje trestní kolegium Nejvyššího soudu.</w:t>
      </w:r>
    </w:p>
    <w:p w14:paraId="73E5EB59" w14:textId="6C9FC96A" w:rsidR="008430BD" w:rsidRPr="00730B1E" w:rsidRDefault="000D5CA7" w:rsidP="000D5CA7">
      <w:pPr>
        <w:pStyle w:val="Nadpis3"/>
        <w:numPr>
          <w:ilvl w:val="2"/>
          <w:numId w:val="1"/>
        </w:numPr>
        <w:rPr>
          <w:color w:val="auto"/>
          <w:lang w:eastAsia="cs-CZ"/>
        </w:rPr>
      </w:pPr>
      <w:bookmarkStart w:id="1667" w:name="_Toc169250895"/>
      <w:bookmarkStart w:id="1668" w:name="_Toc174080931"/>
      <w:r w:rsidRPr="00730B1E">
        <w:rPr>
          <w:color w:val="auto"/>
          <w:lang w:eastAsia="cs-CZ"/>
        </w:rPr>
        <w:t>Vyřizování věcí</w:t>
      </w:r>
      <w:bookmarkEnd w:id="1667"/>
      <w:bookmarkEnd w:id="1668"/>
    </w:p>
    <w:p w14:paraId="60E15836" w14:textId="08ECE415" w:rsidR="004C0597" w:rsidRPr="00730B1E" w:rsidRDefault="004C0597" w:rsidP="004C0597">
      <w:pPr>
        <w:pStyle w:val="Podnadpis"/>
        <w:numPr>
          <w:ilvl w:val="0"/>
          <w:numId w:val="0"/>
        </w:numPr>
        <w:rPr>
          <w:color w:val="auto"/>
        </w:rPr>
      </w:pPr>
      <w:bookmarkStart w:id="1669" w:name="_Toc515871427"/>
      <w:bookmarkStart w:id="1670" w:name="_Toc11135158"/>
      <w:bookmarkStart w:id="1671" w:name="_Toc43841484"/>
      <w:bookmarkStart w:id="1672" w:name="_Toc75952287"/>
      <w:bookmarkStart w:id="1673" w:name="_Toc106106743"/>
      <w:bookmarkStart w:id="1674" w:name="_Toc109802067"/>
      <w:bookmarkStart w:id="1675" w:name="_Toc144104218"/>
      <w:bookmarkStart w:id="1676" w:name="_Toc169251030"/>
      <w:bookmarkStart w:id="1677" w:name="_Toc17408071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111</w:t>
      </w:r>
      <w:r w:rsidRPr="00730B1E">
        <w:rPr>
          <w:color w:val="auto"/>
        </w:rPr>
        <w:fldChar w:fldCharType="end"/>
      </w:r>
      <w:r w:rsidRPr="00730B1E">
        <w:rPr>
          <w:color w:val="auto"/>
        </w:rPr>
        <w:t>: NS – vyřizování stížností pro porušení zákona v letech 2014–20</w:t>
      </w:r>
      <w:bookmarkEnd w:id="1669"/>
      <w:bookmarkEnd w:id="1670"/>
      <w:bookmarkEnd w:id="1671"/>
      <w:r w:rsidRPr="00730B1E">
        <w:rPr>
          <w:color w:val="auto"/>
        </w:rPr>
        <w:t>2</w:t>
      </w:r>
      <w:bookmarkEnd w:id="1672"/>
      <w:bookmarkEnd w:id="1673"/>
      <w:bookmarkEnd w:id="1674"/>
      <w:bookmarkEnd w:id="1675"/>
      <w:r w:rsidRPr="00730B1E">
        <w:rPr>
          <w:color w:val="auto"/>
        </w:rPr>
        <w:t>3</w:t>
      </w:r>
      <w:bookmarkEnd w:id="1676"/>
      <w:bookmarkEnd w:id="1677"/>
    </w:p>
    <w:p w14:paraId="4F8D7669" w14:textId="3E07D343" w:rsidR="004C0597" w:rsidRPr="00730B1E" w:rsidRDefault="004C0597" w:rsidP="004C0597">
      <w:r w:rsidRPr="00730B1E">
        <w:rPr>
          <w:noProof/>
          <w:lang w:eastAsia="cs-CZ"/>
        </w:rPr>
        <w:drawing>
          <wp:inline distT="0" distB="0" distL="0" distR="0" wp14:anchorId="76C10B13" wp14:editId="7A30D27C">
            <wp:extent cx="5029200" cy="3657600"/>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C702A78" w14:textId="39D37A8B" w:rsidR="004C0597" w:rsidRPr="00730B1E" w:rsidRDefault="004C0597" w:rsidP="004C0597">
      <w:pPr>
        <w:pStyle w:val="OdstavecASR"/>
      </w:pPr>
      <w:r w:rsidRPr="00730B1E">
        <w:t>Oproti agendě dovolání, především dovolání v občanskoprávních a obchodních věcech, je tato agenda velmi malá. Z toho také plyne velká variabilita. U takto malých čísel je možné, aby se v jeden rok „sešlo“ větší množství pravomocných rozhodnutí, proti kterým ministr spravedlnosti považuje za vhodné podat stížnost pro porušení zákona. V absolutních číslech se ale jedná o změny malé. Určité změny mohou také plynout ze střídání ministrů spravedlnosti, kteří mohou klást větší či menší důraz na určitou problematiku. Jak již bylo řečeno, nápad v agendě je značně volatilní. Jak je z grafu patrné, jedná se nicméně o agendu, kterou soud vyřizuje bez jakýchkoliv problémů.</w:t>
      </w:r>
      <w:r w:rsidR="00D179E7" w:rsidRPr="00730B1E">
        <w:t xml:space="preserve"> Za pozornost stojí prudký nárůst v letech 2021 a 2022, za nímž</w:t>
      </w:r>
      <w:r w:rsidR="00623A47" w:rsidRPr="00730B1E">
        <w:t xml:space="preserve"> stojí</w:t>
      </w:r>
      <w:r w:rsidR="00D179E7" w:rsidRPr="00730B1E">
        <w:t xml:space="preserve"> stížnosti pro porušení zákona odůvodněné nesprávnou právní kvalifikací trestných činů krádeže, k nimž došlo v období vyhlášení nouzového stavu souvisejícího s pandemií onemocnění COVID-19.</w:t>
      </w:r>
    </w:p>
    <w:p w14:paraId="15D62DE8" w14:textId="0C05D1C6" w:rsidR="004C0597" w:rsidRPr="00730B1E" w:rsidRDefault="004C0597">
      <w:pPr>
        <w:spacing w:after="160" w:line="259" w:lineRule="auto"/>
        <w:jc w:val="left"/>
        <w:rPr>
          <w:lang w:eastAsia="cs-CZ"/>
        </w:rPr>
      </w:pPr>
      <w:r w:rsidRPr="00730B1E">
        <w:rPr>
          <w:lang w:eastAsia="cs-CZ"/>
        </w:rPr>
        <w:br w:type="page"/>
      </w:r>
    </w:p>
    <w:p w14:paraId="7112EA32" w14:textId="592DE151" w:rsidR="008430BD" w:rsidRPr="00730B1E" w:rsidRDefault="008430BD" w:rsidP="008430BD">
      <w:pPr>
        <w:pStyle w:val="Nadpis2"/>
        <w:numPr>
          <w:ilvl w:val="1"/>
          <w:numId w:val="1"/>
        </w:numPr>
        <w:spacing w:before="120"/>
        <w:rPr>
          <w:color w:val="auto"/>
        </w:rPr>
      </w:pPr>
      <w:bookmarkStart w:id="1678" w:name="_Toc515871304"/>
      <w:bookmarkStart w:id="1679" w:name="_Toc106092819"/>
      <w:bookmarkStart w:id="1680" w:name="_Toc169250896"/>
      <w:bookmarkStart w:id="1681" w:name="_Toc174080932"/>
      <w:r w:rsidRPr="00730B1E">
        <w:rPr>
          <w:color w:val="auto"/>
        </w:rPr>
        <w:lastRenderedPageBreak/>
        <w:t>Insolvenční agenda</w:t>
      </w:r>
      <w:bookmarkEnd w:id="1678"/>
      <w:bookmarkEnd w:id="1679"/>
      <w:bookmarkEnd w:id="1680"/>
      <w:bookmarkEnd w:id="1681"/>
    </w:p>
    <w:p w14:paraId="3671E9F9" w14:textId="77777777" w:rsidR="004C0597" w:rsidRPr="00730B1E" w:rsidRDefault="004C0597" w:rsidP="004C0597">
      <w:pPr>
        <w:pStyle w:val="OdstavecASR"/>
      </w:pPr>
      <w:r w:rsidRPr="00730B1E">
        <w:t>Jedná se o rejstřík NS ČR – věci předložené soudu k rozhodnutí v insolvenčním řízení (dovolání, příslušnost soudů a vyloučení soudců v insolvenčním řízení). Rejstřík spadá pod civilní úsek Nejvyššího soudu, tedy občanskoprávní a obchodní kolegium.</w:t>
      </w:r>
    </w:p>
    <w:p w14:paraId="0E4BF926" w14:textId="5687DD99" w:rsidR="001D2088" w:rsidRPr="00730B1E" w:rsidRDefault="001D2088" w:rsidP="004C0597">
      <w:pPr>
        <w:pStyle w:val="Nadpis3"/>
        <w:numPr>
          <w:ilvl w:val="2"/>
          <w:numId w:val="1"/>
        </w:numPr>
        <w:rPr>
          <w:color w:val="auto"/>
          <w:lang w:eastAsia="cs-CZ"/>
        </w:rPr>
      </w:pPr>
      <w:bookmarkStart w:id="1682" w:name="_Toc169250897"/>
      <w:bookmarkStart w:id="1683" w:name="_Toc174080933"/>
      <w:r w:rsidRPr="00730B1E">
        <w:rPr>
          <w:color w:val="auto"/>
          <w:lang w:eastAsia="cs-CZ"/>
        </w:rPr>
        <w:t>Vyřizování věcí</w:t>
      </w:r>
      <w:bookmarkEnd w:id="1682"/>
      <w:bookmarkEnd w:id="1683"/>
    </w:p>
    <w:p w14:paraId="4B29C016" w14:textId="3650FE61" w:rsidR="004C0597" w:rsidRPr="00730B1E" w:rsidRDefault="004C0597" w:rsidP="004C0597">
      <w:pPr>
        <w:pStyle w:val="Podnadpis"/>
        <w:numPr>
          <w:ilvl w:val="0"/>
          <w:numId w:val="0"/>
        </w:numPr>
        <w:rPr>
          <w:color w:val="auto"/>
        </w:rPr>
      </w:pPr>
      <w:bookmarkStart w:id="1684" w:name="_Toc515871428"/>
      <w:bookmarkStart w:id="1685" w:name="_Toc11135159"/>
      <w:bookmarkStart w:id="1686" w:name="_Toc43841485"/>
      <w:bookmarkStart w:id="1687" w:name="_Toc75952288"/>
      <w:bookmarkStart w:id="1688" w:name="_Toc106106744"/>
      <w:bookmarkStart w:id="1689" w:name="_Toc109802068"/>
      <w:bookmarkStart w:id="1690" w:name="_Toc144104219"/>
      <w:bookmarkStart w:id="1691" w:name="_Toc169251031"/>
      <w:bookmarkStart w:id="1692" w:name="_Toc174080717"/>
      <w:r w:rsidRPr="00730B1E">
        <w:rPr>
          <w:color w:val="auto"/>
        </w:rPr>
        <w:t xml:space="preserve">Graf </w:t>
      </w:r>
      <w:r w:rsidRPr="00730B1E">
        <w:rPr>
          <w:noProof/>
          <w:color w:val="auto"/>
        </w:rPr>
        <w:fldChar w:fldCharType="begin"/>
      </w:r>
      <w:r w:rsidRPr="00730B1E">
        <w:rPr>
          <w:noProof/>
          <w:color w:val="auto"/>
        </w:rPr>
        <w:instrText xml:space="preserve"> SEQ Graf \* ARABIC </w:instrText>
      </w:r>
      <w:r w:rsidRPr="00730B1E">
        <w:rPr>
          <w:noProof/>
          <w:color w:val="auto"/>
        </w:rPr>
        <w:fldChar w:fldCharType="separate"/>
      </w:r>
      <w:r w:rsidR="00056825">
        <w:rPr>
          <w:noProof/>
          <w:color w:val="auto"/>
        </w:rPr>
        <w:t>112</w:t>
      </w:r>
      <w:r w:rsidRPr="00730B1E">
        <w:rPr>
          <w:noProof/>
          <w:color w:val="auto"/>
        </w:rPr>
        <w:fldChar w:fldCharType="end"/>
      </w:r>
      <w:r w:rsidRPr="00730B1E">
        <w:rPr>
          <w:color w:val="auto"/>
        </w:rPr>
        <w:t>: NS – vyřizování insolvenční dovolací agendy v letech 2014–20</w:t>
      </w:r>
      <w:bookmarkEnd w:id="1684"/>
      <w:bookmarkEnd w:id="1685"/>
      <w:bookmarkEnd w:id="1686"/>
      <w:r w:rsidRPr="00730B1E">
        <w:rPr>
          <w:color w:val="auto"/>
        </w:rPr>
        <w:t>2</w:t>
      </w:r>
      <w:bookmarkEnd w:id="1687"/>
      <w:bookmarkEnd w:id="1688"/>
      <w:bookmarkEnd w:id="1689"/>
      <w:bookmarkEnd w:id="1690"/>
      <w:r w:rsidRPr="00730B1E">
        <w:rPr>
          <w:color w:val="auto"/>
        </w:rPr>
        <w:t>3</w:t>
      </w:r>
      <w:bookmarkEnd w:id="1691"/>
      <w:bookmarkEnd w:id="1692"/>
    </w:p>
    <w:p w14:paraId="35AB70CF" w14:textId="721ADA05" w:rsidR="004C0597" w:rsidRPr="00730B1E" w:rsidRDefault="00A52779" w:rsidP="004C0597">
      <w:r w:rsidRPr="00730B1E">
        <w:rPr>
          <w:noProof/>
          <w:lang w:eastAsia="cs-CZ"/>
        </w:rPr>
        <w:drawing>
          <wp:inline distT="0" distB="0" distL="0" distR="0" wp14:anchorId="4A5039E8" wp14:editId="3EDAFCA3">
            <wp:extent cx="5029200" cy="3657600"/>
            <wp:effectExtent l="0" t="0" r="0" b="0"/>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AF9F432" w14:textId="22A1D004" w:rsidR="001D2088" w:rsidRPr="00730B1E" w:rsidRDefault="001D2088" w:rsidP="001D2088">
      <w:pPr>
        <w:pStyle w:val="OdstavecASR"/>
      </w:pPr>
      <w:r w:rsidRPr="00730B1E">
        <w:t>Agenda je velmi malá, ale až do roku 2016 postupně rostla. V roce 2017 poprvé došlo k poklesu v počtu napadlých věcí, který pokračoval i v roce 2018. Růst a následný pokles nápadu v letech 2017 až 2021 plyne především z obdobného vývoje ve vyřizování druhoinstanční insolvenční agendy u vrchních soudů (</w:t>
      </w:r>
      <w:r w:rsidRPr="00730B1E">
        <w:fldChar w:fldCharType="begin"/>
      </w:r>
      <w:r w:rsidRPr="00730B1E">
        <w:instrText xml:space="preserve"> REF  _Ref43837240 \h \* Lower </w:instrText>
      </w:r>
      <w:r w:rsidR="00730B1E">
        <w:instrText xml:space="preserve"> \* MERGEFORMAT </w:instrText>
      </w:r>
      <w:r w:rsidRPr="00730B1E">
        <w:fldChar w:fldCharType="separate"/>
      </w:r>
      <w:r w:rsidR="00056825" w:rsidRPr="00730B1E">
        <w:t xml:space="preserve">graf </w:t>
      </w:r>
      <w:r w:rsidR="00056825">
        <w:rPr>
          <w:noProof/>
        </w:rPr>
        <w:t>100</w:t>
      </w:r>
      <w:r w:rsidRPr="00730B1E">
        <w:fldChar w:fldCharType="end"/>
      </w:r>
      <w:r w:rsidRPr="00730B1E">
        <w:t>). V roce 2022 došlo k prudkému růstu v počtu příchozích i vyřízených věcí. V roce 2023 ale opět došlo k poklesu na předchozí úroveň.</w:t>
      </w:r>
    </w:p>
    <w:p w14:paraId="69AA1C0D" w14:textId="77777777" w:rsidR="000D5CA7" w:rsidRPr="00730B1E" w:rsidRDefault="000D5CA7" w:rsidP="000D5CA7"/>
    <w:p w14:paraId="2C666DBD" w14:textId="53C15BD7" w:rsidR="008430BD" w:rsidRPr="00730B1E" w:rsidRDefault="008430BD" w:rsidP="008430BD">
      <w:pPr>
        <w:pStyle w:val="Nadpis1"/>
        <w:pageBreakBefore/>
        <w:numPr>
          <w:ilvl w:val="0"/>
          <w:numId w:val="1"/>
        </w:numPr>
        <w:spacing w:after="120"/>
        <w:rPr>
          <w:lang w:eastAsia="cs-CZ"/>
        </w:rPr>
      </w:pPr>
      <w:bookmarkStart w:id="1693" w:name="_Toc515871306"/>
      <w:bookmarkStart w:id="1694" w:name="_Toc106092821"/>
      <w:bookmarkStart w:id="1695" w:name="_Toc169250898"/>
      <w:bookmarkStart w:id="1696" w:name="_Toc174080934"/>
      <w:r w:rsidRPr="00730B1E">
        <w:rPr>
          <w:lang w:eastAsia="cs-CZ"/>
        </w:rPr>
        <w:lastRenderedPageBreak/>
        <w:t>Nejvyšší správní soud</w:t>
      </w:r>
      <w:bookmarkEnd w:id="1693"/>
      <w:bookmarkEnd w:id="1694"/>
      <w:bookmarkEnd w:id="1695"/>
      <w:bookmarkEnd w:id="1696"/>
    </w:p>
    <w:p w14:paraId="713F4A2E" w14:textId="77777777" w:rsidR="00565B90" w:rsidRPr="00730B1E" w:rsidRDefault="00565B90" w:rsidP="00565B90">
      <w:pPr>
        <w:pStyle w:val="Nadpis2"/>
        <w:numPr>
          <w:ilvl w:val="1"/>
          <w:numId w:val="1"/>
        </w:numPr>
        <w:spacing w:before="120"/>
        <w:rPr>
          <w:color w:val="auto"/>
          <w:lang w:eastAsia="cs-CZ"/>
        </w:rPr>
      </w:pPr>
      <w:bookmarkStart w:id="1697" w:name="_Toc515871307"/>
      <w:bookmarkStart w:id="1698" w:name="_Toc106092822"/>
      <w:bookmarkStart w:id="1699" w:name="_Toc169250899"/>
      <w:bookmarkStart w:id="1700" w:name="_Toc174080935"/>
      <w:r w:rsidRPr="00730B1E">
        <w:rPr>
          <w:color w:val="auto"/>
          <w:lang w:eastAsia="cs-CZ"/>
        </w:rPr>
        <w:t>Personál</w:t>
      </w:r>
      <w:bookmarkEnd w:id="1697"/>
      <w:bookmarkEnd w:id="1698"/>
      <w:bookmarkEnd w:id="1699"/>
      <w:bookmarkEnd w:id="1700"/>
    </w:p>
    <w:p w14:paraId="5F6999D4" w14:textId="05DF4E76" w:rsidR="00565B90" w:rsidRPr="00730B1E" w:rsidRDefault="00565B90" w:rsidP="00565B90">
      <w:pPr>
        <w:pStyle w:val="Nadpis3"/>
        <w:numPr>
          <w:ilvl w:val="2"/>
          <w:numId w:val="1"/>
        </w:numPr>
        <w:rPr>
          <w:color w:val="auto"/>
          <w:lang w:eastAsia="cs-CZ"/>
        </w:rPr>
      </w:pPr>
      <w:bookmarkStart w:id="1701" w:name="_Toc515871308"/>
      <w:bookmarkStart w:id="1702" w:name="_Toc106092823"/>
      <w:bookmarkStart w:id="1703" w:name="_Toc169250900"/>
      <w:bookmarkStart w:id="1704" w:name="_Toc174080936"/>
      <w:r w:rsidRPr="00730B1E">
        <w:rPr>
          <w:color w:val="auto"/>
          <w:lang w:eastAsia="cs-CZ"/>
        </w:rPr>
        <w:t>Soudci</w:t>
      </w:r>
      <w:bookmarkEnd w:id="1701"/>
      <w:bookmarkEnd w:id="1702"/>
      <w:bookmarkEnd w:id="1703"/>
      <w:bookmarkEnd w:id="1704"/>
    </w:p>
    <w:p w14:paraId="134316ED" w14:textId="18B92A82" w:rsidR="00445334" w:rsidRPr="00730B1E" w:rsidRDefault="00445334" w:rsidP="00445334">
      <w:pPr>
        <w:pStyle w:val="OdstavecASR"/>
      </w:pPr>
      <w:r w:rsidRPr="00730B1E">
        <w:t xml:space="preserve">Jak je vidět z grafu níže, evidenční počet soudců Nejvyššího správního soudu se v posledních </w:t>
      </w:r>
      <w:r w:rsidR="005D1692" w:rsidRPr="00730B1E">
        <w:t>10 </w:t>
      </w:r>
      <w:r w:rsidRPr="00730B1E">
        <w:t xml:space="preserve">letech jen zřídkakdy potkal s plánovaným počtem soudců tohoto soudu. </w:t>
      </w:r>
    </w:p>
    <w:p w14:paraId="1C98A1C4" w14:textId="1EA2ADC1" w:rsidR="00792EE4" w:rsidRPr="00730B1E" w:rsidRDefault="00792EE4" w:rsidP="00792EE4">
      <w:pPr>
        <w:pStyle w:val="OdstavecASR"/>
      </w:pPr>
      <w:r w:rsidRPr="00730B1E">
        <w:t>NSS má dlouhodobě vyšší evidenční počet soudců než plánovaný počet soudců, ale nižší skutečný počet soudců. To je dáno tím, že řada jeho soudců byla/je dočasně zproštěna, protože působí u Ústavního soudu, Evropského soudního dvoru nebo Evropského soudu pro lidská práva</w:t>
      </w:r>
      <w:r w:rsidR="005D120D" w:rsidRPr="00730B1E">
        <w:t>.</w:t>
      </w:r>
      <w:r w:rsidRPr="00730B1E">
        <w:t xml:space="preserve"> </w:t>
      </w:r>
    </w:p>
    <w:p w14:paraId="0FD32B16" w14:textId="40F02CE0" w:rsidR="00445334" w:rsidRPr="00730B1E" w:rsidRDefault="00445334" w:rsidP="00445334">
      <w:pPr>
        <w:pStyle w:val="Podnadpis"/>
        <w:numPr>
          <w:ilvl w:val="0"/>
          <w:numId w:val="0"/>
        </w:numPr>
        <w:rPr>
          <w:color w:val="auto"/>
        </w:rPr>
      </w:pPr>
      <w:bookmarkStart w:id="1705" w:name="_Toc515871429"/>
      <w:bookmarkStart w:id="1706" w:name="_Toc11135160"/>
      <w:bookmarkStart w:id="1707" w:name="_Toc43841486"/>
      <w:bookmarkStart w:id="1708" w:name="_Toc75952289"/>
      <w:bookmarkStart w:id="1709" w:name="_Toc106106745"/>
      <w:bookmarkStart w:id="1710" w:name="_Toc109802069"/>
      <w:bookmarkStart w:id="1711" w:name="_Toc144104220"/>
      <w:bookmarkStart w:id="1712" w:name="_Toc169251032"/>
      <w:bookmarkStart w:id="1713" w:name="_Toc17408071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113</w:t>
      </w:r>
      <w:r w:rsidRPr="00730B1E">
        <w:rPr>
          <w:color w:val="auto"/>
        </w:rPr>
        <w:fldChar w:fldCharType="end"/>
      </w:r>
      <w:r w:rsidRPr="00730B1E">
        <w:rPr>
          <w:color w:val="auto"/>
        </w:rPr>
        <w:t>: NSS – počet soudců v letech 201</w:t>
      </w:r>
      <w:r w:rsidR="007E1AF7" w:rsidRPr="00730B1E">
        <w:rPr>
          <w:color w:val="auto"/>
        </w:rPr>
        <w:t>4</w:t>
      </w:r>
      <w:r w:rsidRPr="00730B1E">
        <w:rPr>
          <w:color w:val="auto"/>
        </w:rPr>
        <w:t>–20</w:t>
      </w:r>
      <w:bookmarkEnd w:id="1705"/>
      <w:bookmarkEnd w:id="1706"/>
      <w:bookmarkEnd w:id="1707"/>
      <w:r w:rsidRPr="00730B1E">
        <w:rPr>
          <w:color w:val="auto"/>
        </w:rPr>
        <w:t>2</w:t>
      </w:r>
      <w:bookmarkEnd w:id="1708"/>
      <w:bookmarkEnd w:id="1709"/>
      <w:bookmarkEnd w:id="1710"/>
      <w:bookmarkEnd w:id="1711"/>
      <w:r w:rsidRPr="00730B1E">
        <w:rPr>
          <w:color w:val="auto"/>
        </w:rPr>
        <w:t>3</w:t>
      </w:r>
      <w:bookmarkEnd w:id="1712"/>
      <w:bookmarkEnd w:id="1713"/>
    </w:p>
    <w:p w14:paraId="19AC522C" w14:textId="04DBF5A2" w:rsidR="00842777" w:rsidRPr="00730B1E" w:rsidRDefault="00842777" w:rsidP="00445334">
      <w:r w:rsidRPr="00730B1E">
        <w:rPr>
          <w:noProof/>
          <w:lang w:eastAsia="cs-CZ"/>
        </w:rPr>
        <w:drawing>
          <wp:inline distT="0" distB="0" distL="0" distR="0" wp14:anchorId="18B97AFE" wp14:editId="74439E75">
            <wp:extent cx="5029200" cy="3657600"/>
            <wp:effectExtent l="0" t="0" r="0" b="0"/>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56AF70F" w14:textId="77777777" w:rsidR="00842777" w:rsidRPr="00730B1E" w:rsidRDefault="00842777">
      <w:pPr>
        <w:spacing w:after="160" w:line="259" w:lineRule="auto"/>
        <w:jc w:val="left"/>
      </w:pPr>
      <w:r w:rsidRPr="00730B1E">
        <w:br w:type="page"/>
      </w:r>
    </w:p>
    <w:p w14:paraId="7394BE8E" w14:textId="6C0E229F" w:rsidR="00842777" w:rsidRPr="00730B1E" w:rsidRDefault="00842777" w:rsidP="00842777">
      <w:pPr>
        <w:pStyle w:val="Podnadpis"/>
        <w:rPr>
          <w:color w:val="auto"/>
        </w:rPr>
      </w:pPr>
      <w:bookmarkStart w:id="1714" w:name="_Toc515871430"/>
      <w:bookmarkStart w:id="1715" w:name="_Toc11135161"/>
      <w:bookmarkStart w:id="1716" w:name="_Toc43841487"/>
      <w:bookmarkStart w:id="1717" w:name="_Toc75952290"/>
      <w:bookmarkStart w:id="1718" w:name="_Toc106106746"/>
      <w:bookmarkStart w:id="1719" w:name="_Toc109802070"/>
      <w:bookmarkStart w:id="1720" w:name="_Toc144104221"/>
      <w:bookmarkStart w:id="1721" w:name="_Toc169251033"/>
      <w:bookmarkStart w:id="1722" w:name="_Toc174080719"/>
      <w:r w:rsidRPr="00730B1E">
        <w:rPr>
          <w:color w:val="auto"/>
        </w:rPr>
        <w:lastRenderedPageBreak/>
        <w:t xml:space="preserve">Graf </w:t>
      </w:r>
      <w:r w:rsidRPr="00730B1E">
        <w:rPr>
          <w:color w:val="auto"/>
        </w:rPr>
        <w:fldChar w:fldCharType="begin"/>
      </w:r>
      <w:r w:rsidRPr="00730B1E">
        <w:rPr>
          <w:noProof/>
          <w:color w:val="auto"/>
        </w:rPr>
        <w:instrText xml:space="preserve"> SEQ Graf \* ARABIC </w:instrText>
      </w:r>
      <w:r w:rsidRPr="00730B1E">
        <w:rPr>
          <w:color w:val="auto"/>
        </w:rPr>
        <w:fldChar w:fldCharType="separate"/>
      </w:r>
      <w:r w:rsidR="00056825">
        <w:rPr>
          <w:noProof/>
          <w:color w:val="auto"/>
        </w:rPr>
        <w:t>114</w:t>
      </w:r>
      <w:r w:rsidRPr="00730B1E">
        <w:rPr>
          <w:color w:val="auto"/>
        </w:rPr>
        <w:fldChar w:fldCharType="end"/>
      </w:r>
      <w:r w:rsidRPr="00730B1E">
        <w:rPr>
          <w:color w:val="auto"/>
        </w:rPr>
        <w:t>: NSS – evidenční počet soudců dle pohlaví v letech 20</w:t>
      </w:r>
      <w:r w:rsidR="007E1AF7" w:rsidRPr="00730B1E">
        <w:rPr>
          <w:color w:val="auto"/>
        </w:rPr>
        <w:t>14</w:t>
      </w:r>
      <w:r w:rsidRPr="00730B1E">
        <w:rPr>
          <w:color w:val="auto"/>
        </w:rPr>
        <w:t>–20</w:t>
      </w:r>
      <w:bookmarkEnd w:id="1714"/>
      <w:bookmarkEnd w:id="1715"/>
      <w:bookmarkEnd w:id="1716"/>
      <w:bookmarkEnd w:id="1717"/>
      <w:bookmarkEnd w:id="1718"/>
      <w:bookmarkEnd w:id="1719"/>
      <w:r w:rsidRPr="00730B1E">
        <w:rPr>
          <w:color w:val="auto"/>
        </w:rPr>
        <w:t>2</w:t>
      </w:r>
      <w:bookmarkEnd w:id="1720"/>
      <w:r w:rsidR="007E1AF7" w:rsidRPr="00730B1E">
        <w:rPr>
          <w:color w:val="auto"/>
        </w:rPr>
        <w:t>3</w:t>
      </w:r>
      <w:bookmarkEnd w:id="1721"/>
      <w:bookmarkEnd w:id="1722"/>
    </w:p>
    <w:p w14:paraId="1D41EADE" w14:textId="1A5DB54F" w:rsidR="00445334" w:rsidRPr="00730B1E" w:rsidRDefault="00842777" w:rsidP="00445334">
      <w:r w:rsidRPr="00730B1E">
        <w:rPr>
          <w:noProof/>
          <w:lang w:eastAsia="cs-CZ"/>
        </w:rPr>
        <w:drawing>
          <wp:inline distT="0" distB="0" distL="0" distR="0" wp14:anchorId="4947410D" wp14:editId="363495A5">
            <wp:extent cx="5029200" cy="3657600"/>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5040B25" w14:textId="77777777" w:rsidR="00842777" w:rsidRPr="00730B1E" w:rsidRDefault="00842777" w:rsidP="00445334"/>
    <w:p w14:paraId="0ED0F1AA" w14:textId="7814B135" w:rsidR="00842777" w:rsidRPr="00730B1E" w:rsidRDefault="00842777" w:rsidP="00842777">
      <w:pPr>
        <w:pStyle w:val="OdstavecASR"/>
      </w:pPr>
      <w:r w:rsidRPr="00730B1E">
        <w:t xml:space="preserve">V grafu výše vidíme, že ve složení soudců dle pohlaví dochází k malým změnám. Počet žen je </w:t>
      </w:r>
      <w:r w:rsidR="00565B90" w:rsidRPr="00730B1E">
        <w:t xml:space="preserve">stabilnější než počet mužů. </w:t>
      </w:r>
      <w:r w:rsidRPr="00730B1E">
        <w:t>U NSS v roce 202</w:t>
      </w:r>
      <w:r w:rsidR="00565B90" w:rsidRPr="00730B1E">
        <w:t>3</w:t>
      </w:r>
      <w:r w:rsidRPr="00730B1E">
        <w:t xml:space="preserve"> tvořily ženy </w:t>
      </w:r>
      <w:r w:rsidR="00565B90" w:rsidRPr="00730B1E">
        <w:t>38 %</w:t>
      </w:r>
      <w:r w:rsidRPr="00730B1E">
        <w:t xml:space="preserve"> soudců, tedy více než u NS, ale méně než u soudů nižších stupňů.</w:t>
      </w:r>
    </w:p>
    <w:p w14:paraId="056A0B8E" w14:textId="5A71D0BC" w:rsidR="00565B90" w:rsidRPr="00730B1E" w:rsidRDefault="00565B90" w:rsidP="00565B90">
      <w:pPr>
        <w:pStyle w:val="OdstavecASR"/>
      </w:pPr>
      <w:r w:rsidRPr="00730B1E">
        <w:t>V dalším grafu je zobrazen stejně jako u ostatních článků soudní soustavy vývoj ve věkové struktuře soudců. Zajímavým poznatkem je, že soudci u NSS jsou výrazně mladší nejen než soudci Nejvyššího soudu u vrchních soudů, ale dokonce než soudci soudů krajských. Soudci ve věku 41 až 50 let tvoří u NSS téměř dvě třetiny soudcovské populace.</w:t>
      </w:r>
    </w:p>
    <w:p w14:paraId="3E6A67BF" w14:textId="77777777" w:rsidR="00565B90" w:rsidRPr="00730B1E" w:rsidRDefault="00565B90" w:rsidP="00565B90">
      <w:pPr>
        <w:pStyle w:val="OdstavecASR"/>
      </w:pPr>
      <w:r w:rsidRPr="00730B1E">
        <w:t>V grafu níže také vidíme, že ani u NSS od roku 2020 nepůsobí žádní soudci ve věku do 40 let, neboť se posunuli do vyšší věkové skupiny.</w:t>
      </w:r>
    </w:p>
    <w:p w14:paraId="0B5570DD" w14:textId="13F8691D" w:rsidR="00565B90" w:rsidRPr="00730B1E" w:rsidRDefault="00565B90">
      <w:pPr>
        <w:spacing w:after="160" w:line="259" w:lineRule="auto"/>
        <w:jc w:val="left"/>
      </w:pPr>
      <w:r w:rsidRPr="00730B1E">
        <w:br w:type="page"/>
      </w:r>
    </w:p>
    <w:p w14:paraId="62B5B056" w14:textId="5A00A0C0" w:rsidR="00565B90" w:rsidRPr="00730B1E" w:rsidRDefault="00565B90" w:rsidP="00565B90">
      <w:pPr>
        <w:pStyle w:val="Podnadpis"/>
        <w:rPr>
          <w:color w:val="auto"/>
        </w:rPr>
      </w:pPr>
      <w:bookmarkStart w:id="1723" w:name="_Toc515871431"/>
      <w:bookmarkStart w:id="1724" w:name="_Toc11135162"/>
      <w:bookmarkStart w:id="1725" w:name="_Toc43841488"/>
      <w:bookmarkStart w:id="1726" w:name="_Toc75952291"/>
      <w:bookmarkStart w:id="1727" w:name="_Toc106106747"/>
      <w:bookmarkStart w:id="1728" w:name="_Toc109802071"/>
      <w:bookmarkStart w:id="1729" w:name="_Toc144104222"/>
      <w:bookmarkStart w:id="1730" w:name="_Toc169251034"/>
      <w:bookmarkStart w:id="1731" w:name="_Toc174080720"/>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115</w:t>
      </w:r>
      <w:r w:rsidRPr="00730B1E">
        <w:rPr>
          <w:color w:val="auto"/>
        </w:rPr>
        <w:fldChar w:fldCharType="end"/>
      </w:r>
      <w:r w:rsidRPr="00730B1E">
        <w:rPr>
          <w:color w:val="auto"/>
        </w:rPr>
        <w:t>: NSS – věková struktura soudců v letech 2008</w:t>
      </w:r>
      <w:r w:rsidRPr="00730B1E">
        <w:rPr>
          <w:color w:val="auto"/>
        </w:rPr>
        <w:sym w:font="Symbol" w:char="F02D"/>
      </w:r>
      <w:r w:rsidRPr="00730B1E">
        <w:rPr>
          <w:color w:val="auto"/>
        </w:rPr>
        <w:t>20</w:t>
      </w:r>
      <w:bookmarkEnd w:id="1723"/>
      <w:bookmarkEnd w:id="1724"/>
      <w:bookmarkEnd w:id="1725"/>
      <w:r w:rsidRPr="00730B1E">
        <w:rPr>
          <w:color w:val="auto"/>
        </w:rPr>
        <w:t>2</w:t>
      </w:r>
      <w:bookmarkEnd w:id="1726"/>
      <w:bookmarkEnd w:id="1727"/>
      <w:bookmarkEnd w:id="1728"/>
      <w:bookmarkEnd w:id="1729"/>
      <w:r w:rsidRPr="00730B1E">
        <w:rPr>
          <w:color w:val="auto"/>
        </w:rPr>
        <w:t>3</w:t>
      </w:r>
      <w:bookmarkEnd w:id="1730"/>
      <w:bookmarkEnd w:id="1731"/>
    </w:p>
    <w:p w14:paraId="71819B96" w14:textId="6858ACE7" w:rsidR="00565B90" w:rsidRPr="00730B1E" w:rsidRDefault="00565B90" w:rsidP="00565B90">
      <w:r w:rsidRPr="00730B1E">
        <w:rPr>
          <w:noProof/>
          <w:lang w:eastAsia="cs-CZ"/>
        </w:rPr>
        <w:drawing>
          <wp:inline distT="0" distB="0" distL="0" distR="0" wp14:anchorId="205DC61A" wp14:editId="34597E8D">
            <wp:extent cx="5029200" cy="3657600"/>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3BE531D6" w14:textId="77777777" w:rsidR="00842777" w:rsidRPr="00730B1E" w:rsidRDefault="00842777" w:rsidP="00445334"/>
    <w:p w14:paraId="7501F59F" w14:textId="77777777" w:rsidR="008430BD" w:rsidRPr="00730B1E" w:rsidRDefault="008430BD" w:rsidP="008430BD">
      <w:pPr>
        <w:pStyle w:val="Nadpis3"/>
        <w:numPr>
          <w:ilvl w:val="2"/>
          <w:numId w:val="1"/>
        </w:numPr>
        <w:rPr>
          <w:color w:val="auto"/>
          <w:lang w:eastAsia="cs-CZ"/>
        </w:rPr>
      </w:pPr>
      <w:bookmarkStart w:id="1732" w:name="_Toc515871309"/>
      <w:bookmarkStart w:id="1733" w:name="_Toc106092824"/>
      <w:bookmarkStart w:id="1734" w:name="_Toc169250901"/>
      <w:bookmarkStart w:id="1735" w:name="_Toc174080937"/>
      <w:r w:rsidRPr="00730B1E">
        <w:rPr>
          <w:color w:val="auto"/>
          <w:lang w:eastAsia="cs-CZ"/>
        </w:rPr>
        <w:t>Zaměstnanci ve výkonu</w:t>
      </w:r>
      <w:bookmarkEnd w:id="1732"/>
      <w:bookmarkEnd w:id="1733"/>
      <w:bookmarkEnd w:id="1734"/>
      <w:bookmarkEnd w:id="1735"/>
    </w:p>
    <w:p w14:paraId="268E7312" w14:textId="5A13D6CC" w:rsidR="006F1A3B" w:rsidRPr="00730B1E" w:rsidRDefault="006F1A3B" w:rsidP="006F1A3B">
      <w:pPr>
        <w:pStyle w:val="OdstavecASR"/>
      </w:pPr>
      <w:r w:rsidRPr="00730B1E">
        <w:t xml:space="preserve">U NSS je stejně jako u NS s výjimkou asistentů soudců malé množství zaměstnanců ve výkonu. Personální počty opět plynou ze zvláštní povahy agendy u NSS. Při pohledu na delší časové období je možno říci, že personální obsazení NSS bylo většinou velmi </w:t>
      </w:r>
      <w:r w:rsidR="005D1692" w:rsidRPr="00730B1E">
        <w:t xml:space="preserve">stálé </w:t>
      </w:r>
      <w:r w:rsidRPr="00730B1E">
        <w:t xml:space="preserve">a pokud docházelo u NSS k pohybu zaměstnanců ve výkonu, děje se tak převážně na pozicích asistentů/asistentek, a to v jednotkách osob (např. v roce 2016 zde pracovalo 63 asistentů vs. 62 asistentů v roce 2022). V roce 2021 tři asistenti přibyli, v roce 2022 naopak dva ubyli. V roce 2023 </w:t>
      </w:r>
      <w:r w:rsidR="00C543E3" w:rsidRPr="00730B1E">
        <w:t>nicméně</w:t>
      </w:r>
      <w:r w:rsidRPr="00730B1E">
        <w:t xml:space="preserve"> došlo k</w:t>
      </w:r>
      <w:r w:rsidR="00C543E3" w:rsidRPr="00730B1E">
        <w:t xml:space="preserve"> výraznému </w:t>
      </w:r>
      <w:r w:rsidRPr="00730B1E">
        <w:t>posílení soud</w:t>
      </w:r>
      <w:r w:rsidR="00C543E3" w:rsidRPr="00730B1E">
        <w:t>u</w:t>
      </w:r>
      <w:r w:rsidRPr="00730B1E">
        <w:t xml:space="preserve"> o 17 asistentů</w:t>
      </w:r>
      <w:r w:rsidR="00C543E3" w:rsidRPr="00730B1E">
        <w:t xml:space="preserve">, jehož důvodem je snaha napomoci </w:t>
      </w:r>
      <w:r w:rsidR="00621533" w:rsidRPr="00730B1E">
        <w:t>soudu ve zvládání jeho historické případové zátěže</w:t>
      </w:r>
      <w:r w:rsidRPr="00730B1E">
        <w:t>.</w:t>
      </w:r>
    </w:p>
    <w:p w14:paraId="41E1322F" w14:textId="6E3113A6" w:rsidR="006F1A3B" w:rsidRPr="00730B1E" w:rsidRDefault="006F1A3B" w:rsidP="006F1A3B">
      <w:pPr>
        <w:pStyle w:val="Podnadpis"/>
        <w:numPr>
          <w:ilvl w:val="0"/>
          <w:numId w:val="0"/>
        </w:numPr>
        <w:rPr>
          <w:color w:val="auto"/>
        </w:rPr>
      </w:pPr>
      <w:bookmarkStart w:id="1736" w:name="_Toc515871506"/>
      <w:bookmarkStart w:id="1737" w:name="_Toc11133272"/>
      <w:bookmarkStart w:id="1738" w:name="_Toc43931254"/>
      <w:bookmarkStart w:id="1739" w:name="_Toc75952388"/>
      <w:bookmarkStart w:id="1740" w:name="_Toc106106841"/>
      <w:bookmarkStart w:id="1741" w:name="_Toc109802164"/>
      <w:bookmarkStart w:id="1742" w:name="_Toc144104323"/>
      <w:bookmarkStart w:id="1743" w:name="_Toc169251137"/>
      <w:bookmarkStart w:id="1744" w:name="_Toc174080823"/>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80</w:t>
      </w:r>
      <w:r w:rsidRPr="00730B1E">
        <w:rPr>
          <w:color w:val="auto"/>
        </w:rPr>
        <w:fldChar w:fldCharType="end"/>
      </w:r>
      <w:r w:rsidRPr="00730B1E">
        <w:rPr>
          <w:color w:val="auto"/>
        </w:rPr>
        <w:t>: NSS – počet zaměstnanců ve výkonu</w:t>
      </w:r>
      <w:bookmarkEnd w:id="1736"/>
      <w:bookmarkEnd w:id="1737"/>
      <w:bookmarkEnd w:id="1738"/>
      <w:bookmarkEnd w:id="1739"/>
      <w:bookmarkEnd w:id="1740"/>
      <w:bookmarkEnd w:id="1741"/>
      <w:bookmarkEnd w:id="1742"/>
      <w:bookmarkEnd w:id="1743"/>
      <w:bookmarkEnd w:id="1744"/>
    </w:p>
    <w:tbl>
      <w:tblPr>
        <w:tblW w:w="5120" w:type="dxa"/>
        <w:tblCellMar>
          <w:left w:w="70" w:type="dxa"/>
          <w:right w:w="70" w:type="dxa"/>
        </w:tblCellMar>
        <w:tblLook w:val="04A0" w:firstRow="1" w:lastRow="0" w:firstColumn="1" w:lastColumn="0" w:noHBand="0" w:noVBand="1"/>
      </w:tblPr>
      <w:tblGrid>
        <w:gridCol w:w="3680"/>
        <w:gridCol w:w="1440"/>
      </w:tblGrid>
      <w:tr w:rsidR="00B64E96" w:rsidRPr="00730B1E" w14:paraId="15589D1D" w14:textId="77777777" w:rsidTr="00DF39E6">
        <w:trPr>
          <w:trHeight w:val="345"/>
        </w:trPr>
        <w:tc>
          <w:tcPr>
            <w:tcW w:w="3680" w:type="dxa"/>
            <w:tcBorders>
              <w:top w:val="double" w:sz="6" w:space="0" w:color="auto"/>
              <w:left w:val="nil"/>
              <w:bottom w:val="double" w:sz="6" w:space="0" w:color="auto"/>
              <w:right w:val="nil"/>
            </w:tcBorders>
            <w:shd w:val="clear" w:color="auto" w:fill="auto"/>
            <w:noWrap/>
            <w:vAlign w:val="center"/>
            <w:hideMark/>
          </w:tcPr>
          <w:p w14:paraId="6497239E" w14:textId="6B59276F" w:rsidR="006F1A3B" w:rsidRPr="00730B1E" w:rsidRDefault="00AA3C01" w:rsidP="000E2C87">
            <w:pPr>
              <w:spacing w:line="240" w:lineRule="auto"/>
              <w:jc w:val="center"/>
              <w:rPr>
                <w:rFonts w:eastAsia="Times New Roman"/>
                <w:b/>
                <w:bCs/>
                <w:szCs w:val="24"/>
                <w:lang w:eastAsia="cs-CZ"/>
              </w:rPr>
            </w:pPr>
            <w:r w:rsidRPr="00730B1E">
              <w:rPr>
                <w:rFonts w:eastAsia="Times New Roman"/>
                <w:b/>
                <w:bCs/>
                <w:szCs w:val="24"/>
                <w:lang w:eastAsia="cs-CZ"/>
              </w:rPr>
              <w:t>Funkce</w:t>
            </w:r>
          </w:p>
        </w:tc>
        <w:tc>
          <w:tcPr>
            <w:tcW w:w="1440" w:type="dxa"/>
            <w:tcBorders>
              <w:top w:val="double" w:sz="6" w:space="0" w:color="auto"/>
              <w:left w:val="nil"/>
              <w:bottom w:val="double" w:sz="6" w:space="0" w:color="auto"/>
              <w:right w:val="nil"/>
            </w:tcBorders>
            <w:shd w:val="clear" w:color="auto" w:fill="auto"/>
            <w:noWrap/>
            <w:vAlign w:val="bottom"/>
            <w:hideMark/>
          </w:tcPr>
          <w:p w14:paraId="153E6295" w14:textId="77777777" w:rsidR="006F1A3B" w:rsidRPr="00730B1E" w:rsidRDefault="006F1A3B" w:rsidP="006F1A3B">
            <w:pPr>
              <w:spacing w:line="240" w:lineRule="auto"/>
              <w:jc w:val="center"/>
              <w:rPr>
                <w:rFonts w:eastAsia="Times New Roman"/>
                <w:b/>
                <w:bCs/>
                <w:szCs w:val="24"/>
                <w:lang w:eastAsia="cs-CZ"/>
              </w:rPr>
            </w:pPr>
            <w:r w:rsidRPr="00730B1E">
              <w:rPr>
                <w:rFonts w:eastAsia="Times New Roman"/>
                <w:b/>
                <w:bCs/>
                <w:szCs w:val="24"/>
                <w:lang w:eastAsia="cs-CZ"/>
              </w:rPr>
              <w:t>Počet osob</w:t>
            </w:r>
          </w:p>
        </w:tc>
      </w:tr>
      <w:tr w:rsidR="00B64E96" w:rsidRPr="00730B1E" w14:paraId="3007AF76" w14:textId="77777777" w:rsidTr="006F1A3B">
        <w:trPr>
          <w:trHeight w:val="330"/>
        </w:trPr>
        <w:tc>
          <w:tcPr>
            <w:tcW w:w="3680" w:type="dxa"/>
            <w:tcBorders>
              <w:top w:val="nil"/>
              <w:left w:val="nil"/>
              <w:bottom w:val="single" w:sz="4" w:space="0" w:color="auto"/>
              <w:right w:val="nil"/>
            </w:tcBorders>
            <w:shd w:val="clear" w:color="auto" w:fill="auto"/>
            <w:noWrap/>
            <w:vAlign w:val="bottom"/>
            <w:hideMark/>
          </w:tcPr>
          <w:p w14:paraId="039010BE" w14:textId="77777777" w:rsidR="006F1A3B" w:rsidRPr="00730B1E" w:rsidRDefault="006F1A3B" w:rsidP="006F1A3B">
            <w:pPr>
              <w:spacing w:line="240" w:lineRule="auto"/>
              <w:jc w:val="left"/>
              <w:rPr>
                <w:rFonts w:eastAsia="Times New Roman"/>
                <w:szCs w:val="24"/>
                <w:lang w:eastAsia="cs-CZ"/>
              </w:rPr>
            </w:pPr>
            <w:r w:rsidRPr="00730B1E">
              <w:rPr>
                <w:rFonts w:eastAsia="Times New Roman"/>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48DF0D22" w14:textId="77777777" w:rsidR="006F1A3B" w:rsidRPr="00730B1E" w:rsidRDefault="006F1A3B" w:rsidP="006F1A3B">
            <w:pPr>
              <w:spacing w:line="240" w:lineRule="auto"/>
              <w:jc w:val="center"/>
              <w:rPr>
                <w:rFonts w:eastAsia="Times New Roman"/>
                <w:szCs w:val="24"/>
                <w:lang w:eastAsia="cs-CZ"/>
              </w:rPr>
            </w:pPr>
            <w:r w:rsidRPr="00730B1E">
              <w:rPr>
                <w:rFonts w:eastAsia="Times New Roman"/>
                <w:szCs w:val="24"/>
                <w:lang w:eastAsia="cs-CZ"/>
              </w:rPr>
              <w:t>79</w:t>
            </w:r>
          </w:p>
        </w:tc>
      </w:tr>
      <w:tr w:rsidR="00B64E96" w:rsidRPr="00730B1E" w14:paraId="6572B71D" w14:textId="77777777" w:rsidTr="006F1A3B">
        <w:trPr>
          <w:trHeight w:val="315"/>
        </w:trPr>
        <w:tc>
          <w:tcPr>
            <w:tcW w:w="3680" w:type="dxa"/>
            <w:tcBorders>
              <w:top w:val="nil"/>
              <w:left w:val="nil"/>
              <w:bottom w:val="single" w:sz="4" w:space="0" w:color="auto"/>
              <w:right w:val="nil"/>
            </w:tcBorders>
            <w:shd w:val="clear" w:color="auto" w:fill="auto"/>
            <w:noWrap/>
            <w:vAlign w:val="bottom"/>
            <w:hideMark/>
          </w:tcPr>
          <w:p w14:paraId="31E3211A" w14:textId="77777777" w:rsidR="006F1A3B" w:rsidRPr="00730B1E" w:rsidRDefault="006F1A3B" w:rsidP="006F1A3B">
            <w:pPr>
              <w:spacing w:line="240" w:lineRule="auto"/>
              <w:jc w:val="left"/>
              <w:rPr>
                <w:rFonts w:eastAsia="Times New Roman"/>
                <w:szCs w:val="24"/>
                <w:lang w:eastAsia="cs-CZ"/>
              </w:rPr>
            </w:pPr>
            <w:r w:rsidRPr="00730B1E">
              <w:rPr>
                <w:rFonts w:eastAsia="Times New Roman"/>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7179B71D" w14:textId="77777777" w:rsidR="006F1A3B" w:rsidRPr="00730B1E" w:rsidRDefault="006F1A3B" w:rsidP="006F1A3B">
            <w:pPr>
              <w:spacing w:line="240" w:lineRule="auto"/>
              <w:jc w:val="center"/>
              <w:rPr>
                <w:rFonts w:eastAsia="Times New Roman"/>
                <w:szCs w:val="24"/>
                <w:lang w:eastAsia="cs-CZ"/>
              </w:rPr>
            </w:pPr>
            <w:r w:rsidRPr="00730B1E">
              <w:rPr>
                <w:rFonts w:eastAsia="Times New Roman"/>
                <w:szCs w:val="24"/>
                <w:lang w:eastAsia="cs-CZ"/>
              </w:rPr>
              <w:t>11</w:t>
            </w:r>
          </w:p>
        </w:tc>
      </w:tr>
      <w:tr w:rsidR="00B64E96" w:rsidRPr="00730B1E" w14:paraId="6A04C2B9" w14:textId="77777777" w:rsidTr="006F1A3B">
        <w:trPr>
          <w:trHeight w:val="315"/>
        </w:trPr>
        <w:tc>
          <w:tcPr>
            <w:tcW w:w="3680" w:type="dxa"/>
            <w:tcBorders>
              <w:top w:val="nil"/>
              <w:left w:val="nil"/>
              <w:bottom w:val="single" w:sz="4" w:space="0" w:color="auto"/>
              <w:right w:val="nil"/>
            </w:tcBorders>
            <w:shd w:val="clear" w:color="auto" w:fill="auto"/>
            <w:noWrap/>
            <w:vAlign w:val="bottom"/>
            <w:hideMark/>
          </w:tcPr>
          <w:p w14:paraId="7CE7BCCE" w14:textId="77777777" w:rsidR="006F1A3B" w:rsidRPr="00730B1E" w:rsidRDefault="006F1A3B" w:rsidP="006F1A3B">
            <w:pPr>
              <w:spacing w:line="240" w:lineRule="auto"/>
              <w:jc w:val="left"/>
              <w:rPr>
                <w:rFonts w:eastAsia="Times New Roman"/>
                <w:szCs w:val="24"/>
                <w:lang w:eastAsia="cs-CZ"/>
              </w:rPr>
            </w:pPr>
            <w:r w:rsidRPr="00730B1E">
              <w:rPr>
                <w:rFonts w:eastAsia="Times New Roman"/>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614332E7" w14:textId="77777777" w:rsidR="006F1A3B" w:rsidRPr="00730B1E" w:rsidRDefault="006F1A3B" w:rsidP="006F1A3B">
            <w:pPr>
              <w:spacing w:line="240" w:lineRule="auto"/>
              <w:jc w:val="center"/>
              <w:rPr>
                <w:rFonts w:eastAsia="Times New Roman"/>
                <w:szCs w:val="24"/>
                <w:lang w:eastAsia="cs-CZ"/>
              </w:rPr>
            </w:pPr>
            <w:r w:rsidRPr="00730B1E">
              <w:rPr>
                <w:rFonts w:eastAsia="Times New Roman"/>
                <w:szCs w:val="24"/>
                <w:lang w:eastAsia="cs-CZ"/>
              </w:rPr>
              <w:t>2</w:t>
            </w:r>
          </w:p>
        </w:tc>
      </w:tr>
      <w:tr w:rsidR="00B64E96" w:rsidRPr="00730B1E" w14:paraId="1CB3CD9C" w14:textId="77777777" w:rsidTr="006F1A3B">
        <w:trPr>
          <w:trHeight w:val="330"/>
        </w:trPr>
        <w:tc>
          <w:tcPr>
            <w:tcW w:w="3680" w:type="dxa"/>
            <w:tcBorders>
              <w:top w:val="nil"/>
              <w:left w:val="nil"/>
              <w:bottom w:val="double" w:sz="6" w:space="0" w:color="auto"/>
              <w:right w:val="nil"/>
            </w:tcBorders>
            <w:shd w:val="clear" w:color="auto" w:fill="auto"/>
            <w:noWrap/>
            <w:vAlign w:val="bottom"/>
            <w:hideMark/>
          </w:tcPr>
          <w:p w14:paraId="53AF283F" w14:textId="77777777" w:rsidR="006F1A3B" w:rsidRPr="00730B1E" w:rsidRDefault="006F1A3B" w:rsidP="006F1A3B">
            <w:pPr>
              <w:spacing w:line="240" w:lineRule="auto"/>
              <w:jc w:val="left"/>
              <w:rPr>
                <w:rFonts w:eastAsia="Times New Roman"/>
                <w:szCs w:val="24"/>
                <w:lang w:eastAsia="cs-CZ"/>
              </w:rPr>
            </w:pPr>
            <w:r w:rsidRPr="00730B1E">
              <w:rPr>
                <w:rFonts w:eastAsia="Times New Roman"/>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01A7C817" w14:textId="77777777" w:rsidR="006F1A3B" w:rsidRPr="00730B1E" w:rsidRDefault="006F1A3B" w:rsidP="006F1A3B">
            <w:pPr>
              <w:spacing w:line="240" w:lineRule="auto"/>
              <w:jc w:val="center"/>
              <w:rPr>
                <w:rFonts w:eastAsia="Times New Roman"/>
                <w:szCs w:val="24"/>
                <w:lang w:eastAsia="cs-CZ"/>
              </w:rPr>
            </w:pPr>
            <w:r w:rsidRPr="00730B1E">
              <w:rPr>
                <w:rFonts w:eastAsia="Times New Roman"/>
                <w:szCs w:val="24"/>
                <w:lang w:eastAsia="cs-CZ"/>
              </w:rPr>
              <w:t>23</w:t>
            </w:r>
          </w:p>
        </w:tc>
      </w:tr>
      <w:tr w:rsidR="00B64E96" w:rsidRPr="00730B1E" w14:paraId="78E1F443" w14:textId="77777777" w:rsidTr="006F1A3B">
        <w:trPr>
          <w:trHeight w:val="345"/>
        </w:trPr>
        <w:tc>
          <w:tcPr>
            <w:tcW w:w="3680" w:type="dxa"/>
            <w:tcBorders>
              <w:top w:val="nil"/>
              <w:left w:val="nil"/>
              <w:bottom w:val="double" w:sz="6" w:space="0" w:color="auto"/>
              <w:right w:val="nil"/>
            </w:tcBorders>
            <w:shd w:val="clear" w:color="auto" w:fill="auto"/>
            <w:noWrap/>
            <w:vAlign w:val="bottom"/>
            <w:hideMark/>
          </w:tcPr>
          <w:p w14:paraId="38E39671" w14:textId="01A55A1B" w:rsidR="006F1A3B" w:rsidRPr="00730B1E" w:rsidRDefault="006F1A3B" w:rsidP="006F1A3B">
            <w:pPr>
              <w:spacing w:line="240" w:lineRule="auto"/>
              <w:jc w:val="left"/>
              <w:rPr>
                <w:rFonts w:eastAsia="Times New Roman"/>
                <w:b/>
                <w:bCs/>
                <w:szCs w:val="24"/>
                <w:lang w:eastAsia="cs-CZ"/>
              </w:rPr>
            </w:pPr>
            <w:r w:rsidRPr="00730B1E">
              <w:rPr>
                <w:rFonts w:eastAsia="Times New Roman"/>
                <w:b/>
                <w:bCs/>
                <w:szCs w:val="24"/>
                <w:lang w:eastAsia="cs-CZ"/>
              </w:rPr>
              <w:t>Celkem</w:t>
            </w:r>
          </w:p>
        </w:tc>
        <w:tc>
          <w:tcPr>
            <w:tcW w:w="1440" w:type="dxa"/>
            <w:tcBorders>
              <w:top w:val="nil"/>
              <w:left w:val="nil"/>
              <w:bottom w:val="double" w:sz="6" w:space="0" w:color="auto"/>
              <w:right w:val="nil"/>
            </w:tcBorders>
            <w:shd w:val="clear" w:color="auto" w:fill="auto"/>
            <w:noWrap/>
            <w:vAlign w:val="bottom"/>
            <w:hideMark/>
          </w:tcPr>
          <w:p w14:paraId="0E0F37F2" w14:textId="77777777" w:rsidR="006F1A3B" w:rsidRPr="00730B1E" w:rsidRDefault="006F1A3B" w:rsidP="006F1A3B">
            <w:pPr>
              <w:spacing w:line="240" w:lineRule="auto"/>
              <w:jc w:val="center"/>
              <w:rPr>
                <w:rFonts w:eastAsia="Times New Roman"/>
                <w:b/>
                <w:bCs/>
                <w:szCs w:val="24"/>
                <w:lang w:eastAsia="cs-CZ"/>
              </w:rPr>
            </w:pPr>
            <w:r w:rsidRPr="00730B1E">
              <w:rPr>
                <w:rFonts w:eastAsia="Times New Roman"/>
                <w:b/>
                <w:bCs/>
                <w:szCs w:val="24"/>
                <w:lang w:eastAsia="cs-CZ"/>
              </w:rPr>
              <w:t>115</w:t>
            </w:r>
          </w:p>
        </w:tc>
      </w:tr>
      <w:tr w:rsidR="006F1A3B" w:rsidRPr="00730B1E" w14:paraId="02D7CC7F" w14:textId="77777777" w:rsidTr="006F1A3B">
        <w:trPr>
          <w:trHeight w:val="330"/>
        </w:trPr>
        <w:tc>
          <w:tcPr>
            <w:tcW w:w="3680" w:type="dxa"/>
            <w:tcBorders>
              <w:top w:val="nil"/>
              <w:left w:val="nil"/>
              <w:bottom w:val="nil"/>
              <w:right w:val="nil"/>
            </w:tcBorders>
            <w:shd w:val="clear" w:color="auto" w:fill="auto"/>
            <w:noWrap/>
            <w:vAlign w:val="bottom"/>
            <w:hideMark/>
          </w:tcPr>
          <w:p w14:paraId="0F6494C5" w14:textId="77777777" w:rsidR="006F1A3B" w:rsidRPr="00730B1E" w:rsidRDefault="006F1A3B" w:rsidP="006F1A3B">
            <w:pPr>
              <w:spacing w:line="240" w:lineRule="auto"/>
              <w:jc w:val="center"/>
              <w:rPr>
                <w:rFonts w:eastAsia="Times New Roman"/>
                <w:b/>
                <w:bCs/>
                <w:szCs w:val="24"/>
                <w:lang w:eastAsia="cs-CZ"/>
              </w:rPr>
            </w:pPr>
          </w:p>
        </w:tc>
        <w:tc>
          <w:tcPr>
            <w:tcW w:w="1440" w:type="dxa"/>
            <w:tcBorders>
              <w:top w:val="nil"/>
              <w:left w:val="nil"/>
              <w:bottom w:val="nil"/>
              <w:right w:val="nil"/>
            </w:tcBorders>
            <w:shd w:val="clear" w:color="auto" w:fill="auto"/>
            <w:noWrap/>
            <w:vAlign w:val="bottom"/>
            <w:hideMark/>
          </w:tcPr>
          <w:p w14:paraId="20AC08BC" w14:textId="77777777" w:rsidR="006F1A3B" w:rsidRPr="00DF07F3" w:rsidRDefault="006F1A3B" w:rsidP="006F1A3B">
            <w:pPr>
              <w:spacing w:line="240" w:lineRule="auto"/>
              <w:jc w:val="left"/>
              <w:rPr>
                <w:sz w:val="20"/>
              </w:rPr>
            </w:pPr>
          </w:p>
        </w:tc>
      </w:tr>
    </w:tbl>
    <w:p w14:paraId="51723CAC" w14:textId="2A88F456" w:rsidR="006F1A3B" w:rsidRPr="00730B1E" w:rsidRDefault="006F1A3B" w:rsidP="006F1A3B">
      <w:pPr>
        <w:rPr>
          <w:lang w:eastAsia="cs-CZ"/>
        </w:rPr>
      </w:pPr>
    </w:p>
    <w:p w14:paraId="631257B7" w14:textId="77777777" w:rsidR="006F1A3B" w:rsidRPr="00730B1E" w:rsidRDefault="006F1A3B">
      <w:pPr>
        <w:spacing w:after="160" w:line="259" w:lineRule="auto"/>
        <w:jc w:val="left"/>
        <w:rPr>
          <w:lang w:eastAsia="cs-CZ"/>
        </w:rPr>
      </w:pPr>
      <w:r w:rsidRPr="00730B1E">
        <w:rPr>
          <w:lang w:eastAsia="cs-CZ"/>
        </w:rPr>
        <w:br w:type="page"/>
      </w:r>
    </w:p>
    <w:p w14:paraId="1E9CB7A5" w14:textId="793C409B" w:rsidR="008430BD" w:rsidRPr="00730B1E" w:rsidRDefault="008430BD" w:rsidP="008430BD">
      <w:pPr>
        <w:pStyle w:val="Nadpis2"/>
        <w:numPr>
          <w:ilvl w:val="1"/>
          <w:numId w:val="1"/>
        </w:numPr>
        <w:spacing w:before="120"/>
        <w:rPr>
          <w:color w:val="auto"/>
        </w:rPr>
      </w:pPr>
      <w:bookmarkStart w:id="1745" w:name="_Toc487791312"/>
      <w:bookmarkStart w:id="1746" w:name="_Toc515871310"/>
      <w:bookmarkStart w:id="1747" w:name="_Toc106092825"/>
      <w:bookmarkStart w:id="1748" w:name="_Toc169250902"/>
      <w:bookmarkStart w:id="1749" w:name="_Toc174080938"/>
      <w:r w:rsidRPr="00730B1E">
        <w:rPr>
          <w:color w:val="auto"/>
        </w:rPr>
        <w:lastRenderedPageBreak/>
        <w:t>Řízení o kasačních stížnostech</w:t>
      </w:r>
      <w:bookmarkEnd w:id="1745"/>
      <w:bookmarkEnd w:id="1746"/>
      <w:bookmarkEnd w:id="1747"/>
      <w:bookmarkEnd w:id="1748"/>
      <w:bookmarkEnd w:id="1749"/>
    </w:p>
    <w:p w14:paraId="5A46BFFD" w14:textId="77777777" w:rsidR="006F1A3B" w:rsidRPr="00730B1E" w:rsidRDefault="006F1A3B" w:rsidP="006F1A3B">
      <w:pPr>
        <w:pStyle w:val="OdstavecASR"/>
      </w:pPr>
      <w:r w:rsidRPr="00730B1E">
        <w:t>Rejstříky spadající do této agendy jsou popsány v úvodu této části.</w:t>
      </w:r>
    </w:p>
    <w:p w14:paraId="4FAD4D21" w14:textId="55275BEA" w:rsidR="008430BD" w:rsidRPr="00730B1E" w:rsidRDefault="008430BD" w:rsidP="008430BD">
      <w:pPr>
        <w:pStyle w:val="Nadpis3"/>
        <w:numPr>
          <w:ilvl w:val="2"/>
          <w:numId w:val="1"/>
        </w:numPr>
        <w:rPr>
          <w:color w:val="auto"/>
        </w:rPr>
      </w:pPr>
      <w:bookmarkStart w:id="1750" w:name="_Toc515871311"/>
      <w:bookmarkStart w:id="1751" w:name="_Toc106092826"/>
      <w:bookmarkStart w:id="1752" w:name="_Toc169250903"/>
      <w:bookmarkStart w:id="1753" w:name="_Toc174080939"/>
      <w:r w:rsidRPr="00730B1E">
        <w:rPr>
          <w:color w:val="auto"/>
        </w:rPr>
        <w:t>Vyřizování věcí</w:t>
      </w:r>
      <w:bookmarkEnd w:id="1750"/>
      <w:bookmarkEnd w:id="1751"/>
      <w:bookmarkEnd w:id="1752"/>
      <w:bookmarkEnd w:id="1753"/>
    </w:p>
    <w:p w14:paraId="4AFBE0A6" w14:textId="77777777" w:rsidR="006F1A3B" w:rsidRPr="00730B1E" w:rsidRDefault="006F1A3B" w:rsidP="006F1A3B">
      <w:pPr>
        <w:pStyle w:val="OdstavecASR"/>
      </w:pPr>
      <w:r w:rsidRPr="00730B1E">
        <w:t>Srovnání nápadu v agendě kasačních stížností a počtu vyřízených věcí u krajských soudů ve správní agendě ukazuje, že průběh obou časových řad vykazuje značnou, i když ne úplnou podobnost. Můžeme tedy logicky dovodit, že nápad u NSS se odvíjí především od počtu pravomocně vyřízených věcí u krajských soudů.</w:t>
      </w:r>
    </w:p>
    <w:p w14:paraId="3BE60E4E" w14:textId="7947A851" w:rsidR="006F1A3B" w:rsidRPr="00730B1E" w:rsidRDefault="006F1A3B" w:rsidP="006F1A3B">
      <w:pPr>
        <w:pStyle w:val="OdstavecASR"/>
      </w:pPr>
      <w:r w:rsidRPr="00730B1E">
        <w:t xml:space="preserve">Od roku 2014 do roku 2019 pozorujeme trvalý růst nápadu. Od roku 2016 </w:t>
      </w:r>
      <w:r w:rsidR="00621533" w:rsidRPr="00730B1E">
        <w:t>přitom</w:t>
      </w:r>
      <w:r w:rsidRPr="00730B1E">
        <w:t xml:space="preserve"> soud již nestíhal vyřizovat svůj nápad, což logicky vyústilo v rychlý růst počtu nevyřízených věcí. V roce 2018 nárůst příchozích věcí zpomalil, ale nezastavil se. Počet příchozích věcí tak výrazně převýšil počet věcí vyřízených, a došlo tak k růstu v počtu nevyřízených věcí. V letech 2019 až 2021 došlo k výraznému růstu v počtu vyřízených věcí a rozdíl mezi věcmi příchozími a vyřízenými se tak zmenšil. Počet napadlých věcí ale stále převyšoval počet věcí vyřízených a </w:t>
      </w:r>
      <w:r w:rsidR="00621533" w:rsidRPr="00730B1E">
        <w:t xml:space="preserve">dále </w:t>
      </w:r>
      <w:r w:rsidRPr="00730B1E">
        <w:t>tak rost</w:t>
      </w:r>
      <w:r w:rsidR="007E1AF7" w:rsidRPr="00730B1E">
        <w:t>l</w:t>
      </w:r>
      <w:r w:rsidRPr="00730B1E">
        <w:t xml:space="preserve"> počet věcí nevyřízených. </w:t>
      </w:r>
      <w:r w:rsidR="00621533" w:rsidRPr="00730B1E">
        <w:t>Až</w:t>
      </w:r>
      <w:r w:rsidRPr="00730B1E">
        <w:t xml:space="preserve"> v roce 2022 došlo k výraznému poklesu (o 22 %) v počtu příchozích věcí</w:t>
      </w:r>
      <w:r w:rsidR="00621533" w:rsidRPr="00730B1E">
        <w:t xml:space="preserve">, který </w:t>
      </w:r>
      <w:r w:rsidRPr="00730B1E">
        <w:t xml:space="preserve">byl očekáván </w:t>
      </w:r>
      <w:r w:rsidR="00621533" w:rsidRPr="00730B1E">
        <w:t>s ohledem na</w:t>
      </w:r>
      <w:r w:rsidRPr="00730B1E">
        <w:t xml:space="preserve"> pokles v prvostupňové agendě v předchozích letech. Počet vyřízených věcí klesl výrazně </w:t>
      </w:r>
      <w:r w:rsidR="007E1AF7" w:rsidRPr="00730B1E">
        <w:t>méně,</w:t>
      </w:r>
      <w:r w:rsidRPr="00730B1E">
        <w:t xml:space="preserve"> a tak se poprvé od roku 2015 soudu podařilo snížit počet nevyřízených věcí.</w:t>
      </w:r>
      <w:r w:rsidR="007E1AF7" w:rsidRPr="00730B1E">
        <w:t xml:space="preserve"> V roce 2023 sice k dalšímu poklesu v počtu příchozích věcí nedošlo, ale počet vyřízených věcí převýšil počet věcí příchozích, a došlo k tak značnému poklesu v počtu nevyřízených věcí (téměř o 20 %). Počet nevyřízených věcí </w:t>
      </w:r>
      <w:r w:rsidR="00621533" w:rsidRPr="00730B1E">
        <w:t>se</w:t>
      </w:r>
      <w:r w:rsidR="007E1AF7" w:rsidRPr="00730B1E">
        <w:t xml:space="preserve"> tak </w:t>
      </w:r>
      <w:r w:rsidR="00621533" w:rsidRPr="00730B1E">
        <w:t xml:space="preserve">dostal </w:t>
      </w:r>
      <w:r w:rsidR="007E1AF7" w:rsidRPr="00730B1E">
        <w:t>na úrov</w:t>
      </w:r>
      <w:r w:rsidR="00621533" w:rsidRPr="00730B1E">
        <w:t>eň</w:t>
      </w:r>
      <w:r w:rsidR="007E1AF7" w:rsidRPr="00730B1E">
        <w:t xml:space="preserve"> roku 2018.</w:t>
      </w:r>
    </w:p>
    <w:p w14:paraId="03BFA38D" w14:textId="33569CE5" w:rsidR="006F1A3B" w:rsidRPr="00730B1E" w:rsidRDefault="006F1A3B" w:rsidP="006F1A3B">
      <w:pPr>
        <w:pStyle w:val="Podnadpis"/>
        <w:numPr>
          <w:ilvl w:val="0"/>
          <w:numId w:val="0"/>
        </w:numPr>
        <w:rPr>
          <w:color w:val="auto"/>
        </w:rPr>
      </w:pPr>
      <w:bookmarkStart w:id="1754" w:name="_Toc43841489"/>
      <w:bookmarkStart w:id="1755" w:name="_Toc75952292"/>
      <w:bookmarkStart w:id="1756" w:name="_Toc106106748"/>
      <w:bookmarkStart w:id="1757" w:name="_Toc109802072"/>
      <w:bookmarkStart w:id="1758" w:name="_Toc144104223"/>
      <w:bookmarkStart w:id="1759" w:name="_Toc169251035"/>
      <w:bookmarkStart w:id="1760" w:name="_Toc17408072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116</w:t>
      </w:r>
      <w:r w:rsidRPr="00730B1E">
        <w:rPr>
          <w:color w:val="auto"/>
        </w:rPr>
        <w:fldChar w:fldCharType="end"/>
      </w:r>
      <w:r w:rsidRPr="00730B1E">
        <w:rPr>
          <w:color w:val="auto"/>
        </w:rPr>
        <w:t>: NSS – vyřizování kasačních věcí v letech 201</w:t>
      </w:r>
      <w:r w:rsidR="007E1AF7" w:rsidRPr="00730B1E">
        <w:rPr>
          <w:color w:val="auto"/>
        </w:rPr>
        <w:t>4</w:t>
      </w:r>
      <w:r w:rsidRPr="00730B1E">
        <w:rPr>
          <w:color w:val="auto"/>
        </w:rPr>
        <w:t>–20</w:t>
      </w:r>
      <w:bookmarkEnd w:id="1754"/>
      <w:r w:rsidRPr="00730B1E">
        <w:rPr>
          <w:color w:val="auto"/>
        </w:rPr>
        <w:t>2</w:t>
      </w:r>
      <w:bookmarkEnd w:id="1755"/>
      <w:bookmarkEnd w:id="1756"/>
      <w:bookmarkEnd w:id="1757"/>
      <w:bookmarkEnd w:id="1758"/>
      <w:r w:rsidRPr="00730B1E">
        <w:rPr>
          <w:color w:val="auto"/>
        </w:rPr>
        <w:t>3</w:t>
      </w:r>
      <w:bookmarkEnd w:id="1759"/>
      <w:bookmarkEnd w:id="1760"/>
    </w:p>
    <w:p w14:paraId="18E0645F" w14:textId="5F184458" w:rsidR="007E1AF7" w:rsidRPr="00730B1E" w:rsidRDefault="006F1A3B" w:rsidP="006F1A3B">
      <w:r w:rsidRPr="00730B1E">
        <w:rPr>
          <w:noProof/>
          <w:lang w:eastAsia="cs-CZ"/>
        </w:rPr>
        <w:drawing>
          <wp:inline distT="0" distB="0" distL="0" distR="0" wp14:anchorId="4142BE18" wp14:editId="706E7A07">
            <wp:extent cx="5029200" cy="3657600"/>
            <wp:effectExtent l="0" t="0" r="0" b="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102C201" w14:textId="77777777" w:rsidR="007E1AF7" w:rsidRPr="00730B1E" w:rsidRDefault="007E1AF7">
      <w:pPr>
        <w:spacing w:after="160" w:line="259" w:lineRule="auto"/>
        <w:jc w:val="left"/>
      </w:pPr>
      <w:r w:rsidRPr="00730B1E">
        <w:br w:type="page"/>
      </w:r>
    </w:p>
    <w:p w14:paraId="5BD9E643" w14:textId="5A49123C" w:rsidR="008430BD" w:rsidRPr="00730B1E" w:rsidRDefault="008430BD" w:rsidP="008430BD">
      <w:pPr>
        <w:pStyle w:val="Nadpis2"/>
        <w:numPr>
          <w:ilvl w:val="1"/>
          <w:numId w:val="1"/>
        </w:numPr>
        <w:spacing w:before="120"/>
        <w:rPr>
          <w:color w:val="auto"/>
          <w:lang w:eastAsia="cs-CZ"/>
        </w:rPr>
      </w:pPr>
      <w:bookmarkStart w:id="1761" w:name="_Toc515871312"/>
      <w:bookmarkStart w:id="1762" w:name="_Toc106092827"/>
      <w:bookmarkStart w:id="1763" w:name="_Toc169250904"/>
      <w:bookmarkStart w:id="1764" w:name="_Toc174080940"/>
      <w:r w:rsidRPr="00730B1E">
        <w:rPr>
          <w:color w:val="auto"/>
          <w:lang w:eastAsia="cs-CZ"/>
        </w:rPr>
        <w:lastRenderedPageBreak/>
        <w:t>Řízení ve věcech soudců</w:t>
      </w:r>
      <w:bookmarkEnd w:id="1761"/>
      <w:bookmarkEnd w:id="1762"/>
      <w:bookmarkEnd w:id="1763"/>
      <w:bookmarkEnd w:id="1764"/>
    </w:p>
    <w:p w14:paraId="1DD33400" w14:textId="77777777" w:rsidR="007E1AF7" w:rsidRPr="00730B1E" w:rsidRDefault="007E1AF7" w:rsidP="007E1AF7">
      <w:bookmarkStart w:id="1765" w:name="_Hlk160450540"/>
      <w:r w:rsidRPr="00730B1E">
        <w:rPr>
          <w:lang w:eastAsia="cs-CZ"/>
        </w:rPr>
        <w:t>Jedná s</w:t>
      </w:r>
      <w:r w:rsidRPr="00730B1E">
        <w:t xml:space="preserve">e o řízení ve věcech kárné odpovědnosti soudců a ve věcech nezpůsobilosti soudce podle § 91 zákona o soudech a soudcích. </w:t>
      </w:r>
      <w:bookmarkEnd w:id="1765"/>
      <w:r w:rsidRPr="00730B1E">
        <w:t>Věci jsou zapisovány do rejstříku Kss.</w:t>
      </w:r>
    </w:p>
    <w:p w14:paraId="73253215" w14:textId="27201B5E" w:rsidR="008430BD" w:rsidRPr="00730B1E" w:rsidRDefault="008430BD" w:rsidP="008430BD">
      <w:pPr>
        <w:pStyle w:val="Nadpis3"/>
        <w:numPr>
          <w:ilvl w:val="2"/>
          <w:numId w:val="1"/>
        </w:numPr>
        <w:rPr>
          <w:color w:val="auto"/>
          <w:lang w:eastAsia="cs-CZ"/>
        </w:rPr>
      </w:pPr>
      <w:bookmarkStart w:id="1766" w:name="_Toc515871313"/>
      <w:bookmarkStart w:id="1767" w:name="_Toc106092828"/>
      <w:bookmarkStart w:id="1768" w:name="_Toc169250905"/>
      <w:bookmarkStart w:id="1769" w:name="_Toc174080941"/>
      <w:r w:rsidRPr="00730B1E">
        <w:rPr>
          <w:color w:val="auto"/>
          <w:lang w:eastAsia="cs-CZ"/>
        </w:rPr>
        <w:t>Vyřizování věcí</w:t>
      </w:r>
      <w:bookmarkEnd w:id="1766"/>
      <w:bookmarkEnd w:id="1767"/>
      <w:bookmarkEnd w:id="1768"/>
      <w:bookmarkEnd w:id="1769"/>
    </w:p>
    <w:p w14:paraId="3A1804AA" w14:textId="7A27E1C2" w:rsidR="007E1AF7" w:rsidRPr="00730B1E" w:rsidRDefault="007E1AF7" w:rsidP="007E1AF7">
      <w:pPr>
        <w:pStyle w:val="Podnadpis"/>
        <w:numPr>
          <w:ilvl w:val="0"/>
          <w:numId w:val="0"/>
        </w:numPr>
        <w:rPr>
          <w:color w:val="auto"/>
        </w:rPr>
      </w:pPr>
      <w:bookmarkStart w:id="1770" w:name="_Toc515871433"/>
      <w:bookmarkStart w:id="1771" w:name="_Toc11135164"/>
      <w:bookmarkStart w:id="1772" w:name="_Toc43841490"/>
      <w:bookmarkStart w:id="1773" w:name="_Toc75952293"/>
      <w:bookmarkStart w:id="1774" w:name="_Toc106106749"/>
      <w:bookmarkStart w:id="1775" w:name="_Toc109802073"/>
      <w:bookmarkStart w:id="1776" w:name="_Toc144104224"/>
      <w:bookmarkStart w:id="1777" w:name="_Toc169251036"/>
      <w:bookmarkStart w:id="1778" w:name="_Toc17408072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117</w:t>
      </w:r>
      <w:r w:rsidRPr="00730B1E">
        <w:rPr>
          <w:color w:val="auto"/>
        </w:rPr>
        <w:fldChar w:fldCharType="end"/>
      </w:r>
      <w:r w:rsidRPr="00730B1E">
        <w:rPr>
          <w:color w:val="auto"/>
        </w:rPr>
        <w:t>: NSS – vyřizování řízení ve věcech soudců v letech 2014–20</w:t>
      </w:r>
      <w:bookmarkEnd w:id="1770"/>
      <w:bookmarkEnd w:id="1771"/>
      <w:bookmarkEnd w:id="1772"/>
      <w:r w:rsidRPr="00730B1E">
        <w:rPr>
          <w:color w:val="auto"/>
        </w:rPr>
        <w:t>2</w:t>
      </w:r>
      <w:bookmarkEnd w:id="1773"/>
      <w:bookmarkEnd w:id="1774"/>
      <w:bookmarkEnd w:id="1775"/>
      <w:bookmarkEnd w:id="1776"/>
      <w:r w:rsidRPr="00730B1E">
        <w:rPr>
          <w:color w:val="auto"/>
        </w:rPr>
        <w:t>3</w:t>
      </w:r>
      <w:bookmarkEnd w:id="1777"/>
      <w:bookmarkEnd w:id="1778"/>
    </w:p>
    <w:p w14:paraId="7C92C5DA" w14:textId="38817C34" w:rsidR="007E1AF7" w:rsidRPr="00730B1E" w:rsidRDefault="007E1AF7" w:rsidP="007E1AF7">
      <w:pPr>
        <w:rPr>
          <w:lang w:eastAsia="cs-CZ"/>
        </w:rPr>
      </w:pPr>
      <w:r w:rsidRPr="00730B1E">
        <w:rPr>
          <w:noProof/>
          <w:lang w:eastAsia="cs-CZ"/>
        </w:rPr>
        <w:drawing>
          <wp:inline distT="0" distB="0" distL="0" distR="0" wp14:anchorId="5A3CABA4" wp14:editId="424DAA0D">
            <wp:extent cx="5029200" cy="3657600"/>
            <wp:effectExtent l="0" t="0" r="0" b="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8FF93FA" w14:textId="77777777" w:rsidR="00F42D53" w:rsidRPr="00730B1E" w:rsidRDefault="00F42D53" w:rsidP="007E1AF7">
      <w:pPr>
        <w:rPr>
          <w:lang w:eastAsia="cs-CZ"/>
        </w:rPr>
      </w:pPr>
    </w:p>
    <w:p w14:paraId="4343A45F" w14:textId="31436A13" w:rsidR="00F42D53" w:rsidRPr="00730B1E" w:rsidRDefault="00F42D53" w:rsidP="00F42D53">
      <w:pPr>
        <w:pStyle w:val="OdstavecASR"/>
        <w:rPr>
          <w:lang w:eastAsia="cs-CZ"/>
        </w:rPr>
      </w:pPr>
      <w:r w:rsidRPr="00730B1E">
        <w:t xml:space="preserve">Oproti agendě kasačních stížností je tato agenda velmi malá. Z toho také plyne velká variabilita. U takto malých čísel je možné, aby se v jeden rok „sešlo“ vyšší množství podaných kárných žalob, případně návrhů na zahájení řízení o způsobilosti soudce. V absolutních číslech se ale jedná o změny malé. </w:t>
      </w:r>
      <w:r w:rsidRPr="00730B1E">
        <w:rPr>
          <w:lang w:eastAsia="cs-CZ"/>
        </w:rPr>
        <w:t>V roce 2018 bylo z 18 vyřízených věcí 10 soudců uznáno vinnými. V roce 2019 to bylo 20 soudců z 26, v roce 2020 se jednalo o 10 soudců ze 17 a v roce 2021 o 11 soudců z 20. V roce 2022 to bylo 15 soudců z</w:t>
      </w:r>
      <w:r w:rsidR="00621533" w:rsidRPr="00730B1E">
        <w:rPr>
          <w:lang w:eastAsia="cs-CZ"/>
        </w:rPr>
        <w:t> </w:t>
      </w:r>
      <w:r w:rsidRPr="00730B1E">
        <w:rPr>
          <w:lang w:eastAsia="cs-CZ"/>
        </w:rPr>
        <w:t>20</w:t>
      </w:r>
      <w:r w:rsidR="00621533" w:rsidRPr="00730B1E">
        <w:rPr>
          <w:lang w:eastAsia="cs-CZ"/>
        </w:rPr>
        <w:t xml:space="preserve"> a v</w:t>
      </w:r>
      <w:r w:rsidRPr="00730B1E">
        <w:rPr>
          <w:lang w:eastAsia="cs-CZ"/>
        </w:rPr>
        <w:t> roce 2023 10 soudců z 19.</w:t>
      </w:r>
      <w:r w:rsidR="003313E5" w:rsidRPr="00730B1E">
        <w:rPr>
          <w:lang w:eastAsia="cs-CZ"/>
        </w:rPr>
        <w:t xml:space="preserve"> V následující tabulce jsou zobrazeny podrobnější údaje o výsledku řízení</w:t>
      </w:r>
      <w:r w:rsidR="00603BD1" w:rsidRPr="00730B1E">
        <w:rPr>
          <w:lang w:eastAsia="cs-CZ"/>
        </w:rPr>
        <w:t>.</w:t>
      </w:r>
    </w:p>
    <w:p w14:paraId="3CA192B5" w14:textId="77777777" w:rsidR="003313E5" w:rsidRPr="00730B1E" w:rsidRDefault="003313E5">
      <w:pPr>
        <w:spacing w:after="160" w:line="259" w:lineRule="auto"/>
        <w:jc w:val="left"/>
        <w:rPr>
          <w:rFonts w:eastAsia="Times New Roman"/>
          <w:b/>
          <w:iCs/>
          <w:spacing w:val="15"/>
          <w:szCs w:val="24"/>
        </w:rPr>
      </w:pPr>
      <w:r w:rsidRPr="00730B1E">
        <w:br w:type="page"/>
      </w:r>
    </w:p>
    <w:p w14:paraId="5B1CE16B" w14:textId="1A6CB136" w:rsidR="003313E5" w:rsidRPr="00730B1E" w:rsidRDefault="003313E5" w:rsidP="003313E5">
      <w:pPr>
        <w:pStyle w:val="Podnadpis"/>
        <w:numPr>
          <w:ilvl w:val="0"/>
          <w:numId w:val="0"/>
        </w:numPr>
        <w:rPr>
          <w:color w:val="auto"/>
        </w:rPr>
      </w:pPr>
      <w:bookmarkStart w:id="1779" w:name="_Toc169251037"/>
      <w:bookmarkStart w:id="1780" w:name="_Toc174080723"/>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118</w:t>
      </w:r>
      <w:r w:rsidRPr="00730B1E">
        <w:rPr>
          <w:color w:val="auto"/>
        </w:rPr>
        <w:fldChar w:fldCharType="end"/>
      </w:r>
      <w:r w:rsidRPr="00730B1E">
        <w:rPr>
          <w:color w:val="auto"/>
        </w:rPr>
        <w:t>: NSS – výsledky řízení ve věcech soudců v letech 2014–2023</w:t>
      </w:r>
      <w:bookmarkEnd w:id="1779"/>
      <w:bookmarkEnd w:id="1780"/>
    </w:p>
    <w:tbl>
      <w:tblPr>
        <w:tblW w:w="7800" w:type="dxa"/>
        <w:tblCellMar>
          <w:left w:w="70" w:type="dxa"/>
          <w:right w:w="70" w:type="dxa"/>
        </w:tblCellMar>
        <w:tblLook w:val="04A0" w:firstRow="1" w:lastRow="0" w:firstColumn="1" w:lastColumn="0" w:noHBand="0" w:noVBand="1"/>
      </w:tblPr>
      <w:tblGrid>
        <w:gridCol w:w="1080"/>
        <w:gridCol w:w="1680"/>
        <w:gridCol w:w="1680"/>
        <w:gridCol w:w="1680"/>
        <w:gridCol w:w="1680"/>
      </w:tblGrid>
      <w:tr w:rsidR="00B64E96" w:rsidRPr="00730B1E" w14:paraId="45627F77" w14:textId="77777777" w:rsidTr="003313E5">
        <w:trPr>
          <w:trHeight w:val="345"/>
        </w:trPr>
        <w:tc>
          <w:tcPr>
            <w:tcW w:w="1080" w:type="dxa"/>
            <w:tcBorders>
              <w:top w:val="double" w:sz="6" w:space="0" w:color="auto"/>
              <w:left w:val="nil"/>
              <w:bottom w:val="double" w:sz="6" w:space="0" w:color="auto"/>
              <w:right w:val="nil"/>
            </w:tcBorders>
            <w:shd w:val="clear" w:color="auto" w:fill="auto"/>
            <w:noWrap/>
            <w:vAlign w:val="bottom"/>
            <w:hideMark/>
          </w:tcPr>
          <w:p w14:paraId="4B84FEC8" w14:textId="77777777" w:rsidR="003313E5" w:rsidRPr="00DF07F3" w:rsidRDefault="003313E5" w:rsidP="003313E5">
            <w:pPr>
              <w:spacing w:line="240" w:lineRule="auto"/>
              <w:jc w:val="center"/>
              <w:rPr>
                <w:b/>
              </w:rPr>
            </w:pPr>
            <w:r w:rsidRPr="00DF07F3">
              <w:rPr>
                <w:b/>
              </w:rPr>
              <w:t>Rok</w:t>
            </w:r>
          </w:p>
        </w:tc>
        <w:tc>
          <w:tcPr>
            <w:tcW w:w="1680" w:type="dxa"/>
            <w:tcBorders>
              <w:top w:val="double" w:sz="6" w:space="0" w:color="auto"/>
              <w:left w:val="nil"/>
              <w:bottom w:val="double" w:sz="6" w:space="0" w:color="auto"/>
              <w:right w:val="nil"/>
            </w:tcBorders>
            <w:shd w:val="clear" w:color="auto" w:fill="auto"/>
            <w:noWrap/>
            <w:vAlign w:val="bottom"/>
            <w:hideMark/>
          </w:tcPr>
          <w:p w14:paraId="482F0FF4" w14:textId="77777777" w:rsidR="003313E5" w:rsidRPr="00DF07F3" w:rsidRDefault="003313E5" w:rsidP="003313E5">
            <w:pPr>
              <w:spacing w:line="240" w:lineRule="auto"/>
              <w:jc w:val="center"/>
              <w:rPr>
                <w:b/>
              </w:rPr>
            </w:pPr>
            <w:r w:rsidRPr="00DF07F3">
              <w:rPr>
                <w:b/>
              </w:rPr>
              <w:t>Uznáno vinnými</w:t>
            </w:r>
          </w:p>
        </w:tc>
        <w:tc>
          <w:tcPr>
            <w:tcW w:w="1680" w:type="dxa"/>
            <w:tcBorders>
              <w:top w:val="double" w:sz="6" w:space="0" w:color="auto"/>
              <w:left w:val="nil"/>
              <w:bottom w:val="double" w:sz="6" w:space="0" w:color="auto"/>
              <w:right w:val="nil"/>
            </w:tcBorders>
            <w:shd w:val="clear" w:color="auto" w:fill="auto"/>
            <w:noWrap/>
            <w:vAlign w:val="bottom"/>
            <w:hideMark/>
          </w:tcPr>
          <w:p w14:paraId="5083E08D" w14:textId="77777777" w:rsidR="003313E5" w:rsidRPr="00DF07F3" w:rsidRDefault="003313E5" w:rsidP="003313E5">
            <w:pPr>
              <w:spacing w:line="240" w:lineRule="auto"/>
              <w:jc w:val="center"/>
              <w:rPr>
                <w:b/>
              </w:rPr>
            </w:pPr>
            <w:r w:rsidRPr="00DF07F3">
              <w:rPr>
                <w:b/>
              </w:rPr>
              <w:t>Zproštěno</w:t>
            </w:r>
          </w:p>
        </w:tc>
        <w:tc>
          <w:tcPr>
            <w:tcW w:w="1680" w:type="dxa"/>
            <w:tcBorders>
              <w:top w:val="double" w:sz="6" w:space="0" w:color="auto"/>
              <w:left w:val="nil"/>
              <w:bottom w:val="double" w:sz="6" w:space="0" w:color="auto"/>
              <w:right w:val="nil"/>
            </w:tcBorders>
            <w:shd w:val="clear" w:color="auto" w:fill="auto"/>
            <w:noWrap/>
            <w:vAlign w:val="bottom"/>
            <w:hideMark/>
          </w:tcPr>
          <w:p w14:paraId="6E4A640D" w14:textId="77777777" w:rsidR="003313E5" w:rsidRPr="00DF07F3" w:rsidRDefault="003313E5" w:rsidP="003313E5">
            <w:pPr>
              <w:spacing w:line="240" w:lineRule="auto"/>
              <w:jc w:val="center"/>
              <w:rPr>
                <w:b/>
              </w:rPr>
            </w:pPr>
            <w:r w:rsidRPr="00DF07F3">
              <w:rPr>
                <w:b/>
              </w:rPr>
              <w:t>Zastaveno</w:t>
            </w:r>
          </w:p>
        </w:tc>
        <w:tc>
          <w:tcPr>
            <w:tcW w:w="1680" w:type="dxa"/>
            <w:tcBorders>
              <w:top w:val="double" w:sz="6" w:space="0" w:color="auto"/>
              <w:left w:val="nil"/>
              <w:bottom w:val="double" w:sz="6" w:space="0" w:color="auto"/>
              <w:right w:val="nil"/>
            </w:tcBorders>
            <w:shd w:val="clear" w:color="auto" w:fill="auto"/>
            <w:noWrap/>
            <w:vAlign w:val="bottom"/>
            <w:hideMark/>
          </w:tcPr>
          <w:p w14:paraId="36ED36F7" w14:textId="77777777" w:rsidR="003313E5" w:rsidRPr="00DF07F3" w:rsidRDefault="003313E5" w:rsidP="003313E5">
            <w:pPr>
              <w:spacing w:line="240" w:lineRule="auto"/>
              <w:jc w:val="center"/>
              <w:rPr>
                <w:b/>
              </w:rPr>
            </w:pPr>
            <w:r w:rsidRPr="00DF07F3">
              <w:rPr>
                <w:b/>
              </w:rPr>
              <w:t>Jinak</w:t>
            </w:r>
          </w:p>
        </w:tc>
      </w:tr>
      <w:tr w:rsidR="00B64E96" w:rsidRPr="00730B1E" w14:paraId="737E5B7F" w14:textId="77777777" w:rsidTr="003313E5">
        <w:trPr>
          <w:trHeight w:val="330"/>
        </w:trPr>
        <w:tc>
          <w:tcPr>
            <w:tcW w:w="1080" w:type="dxa"/>
            <w:tcBorders>
              <w:top w:val="nil"/>
              <w:left w:val="nil"/>
              <w:bottom w:val="single" w:sz="4" w:space="0" w:color="auto"/>
              <w:right w:val="nil"/>
            </w:tcBorders>
            <w:shd w:val="clear" w:color="auto" w:fill="auto"/>
            <w:noWrap/>
            <w:vAlign w:val="bottom"/>
            <w:hideMark/>
          </w:tcPr>
          <w:p w14:paraId="6EC0DAFC" w14:textId="77777777" w:rsidR="003313E5" w:rsidRPr="00DF07F3" w:rsidRDefault="003313E5" w:rsidP="003313E5">
            <w:pPr>
              <w:spacing w:line="240" w:lineRule="auto"/>
              <w:jc w:val="center"/>
            </w:pPr>
            <w:r w:rsidRPr="00DF07F3">
              <w:t>2014</w:t>
            </w:r>
          </w:p>
        </w:tc>
        <w:tc>
          <w:tcPr>
            <w:tcW w:w="1680" w:type="dxa"/>
            <w:tcBorders>
              <w:top w:val="nil"/>
              <w:left w:val="nil"/>
              <w:bottom w:val="single" w:sz="4" w:space="0" w:color="auto"/>
              <w:right w:val="nil"/>
            </w:tcBorders>
            <w:shd w:val="clear" w:color="auto" w:fill="auto"/>
            <w:noWrap/>
            <w:vAlign w:val="bottom"/>
            <w:hideMark/>
          </w:tcPr>
          <w:p w14:paraId="779DDED1" w14:textId="77777777" w:rsidR="003313E5" w:rsidRPr="00DF07F3" w:rsidRDefault="003313E5" w:rsidP="003313E5">
            <w:pPr>
              <w:spacing w:line="240" w:lineRule="auto"/>
              <w:jc w:val="center"/>
            </w:pPr>
            <w:r w:rsidRPr="00DF07F3">
              <w:t>13</w:t>
            </w:r>
          </w:p>
        </w:tc>
        <w:tc>
          <w:tcPr>
            <w:tcW w:w="1680" w:type="dxa"/>
            <w:tcBorders>
              <w:top w:val="nil"/>
              <w:left w:val="nil"/>
              <w:bottom w:val="single" w:sz="4" w:space="0" w:color="auto"/>
              <w:right w:val="nil"/>
            </w:tcBorders>
            <w:shd w:val="clear" w:color="auto" w:fill="auto"/>
            <w:noWrap/>
            <w:vAlign w:val="bottom"/>
            <w:hideMark/>
          </w:tcPr>
          <w:p w14:paraId="7E7A0011" w14:textId="77777777" w:rsidR="003313E5" w:rsidRPr="00DF07F3" w:rsidRDefault="003313E5" w:rsidP="003313E5">
            <w:pPr>
              <w:spacing w:line="240" w:lineRule="auto"/>
              <w:jc w:val="center"/>
            </w:pPr>
            <w:r w:rsidRPr="00DF07F3">
              <w:t>2</w:t>
            </w:r>
          </w:p>
        </w:tc>
        <w:tc>
          <w:tcPr>
            <w:tcW w:w="1680" w:type="dxa"/>
            <w:tcBorders>
              <w:top w:val="nil"/>
              <w:left w:val="nil"/>
              <w:bottom w:val="single" w:sz="4" w:space="0" w:color="auto"/>
              <w:right w:val="nil"/>
            </w:tcBorders>
            <w:shd w:val="clear" w:color="auto" w:fill="auto"/>
            <w:noWrap/>
            <w:vAlign w:val="bottom"/>
            <w:hideMark/>
          </w:tcPr>
          <w:p w14:paraId="29618E07" w14:textId="77777777" w:rsidR="003313E5" w:rsidRPr="00DF07F3" w:rsidRDefault="003313E5" w:rsidP="003313E5">
            <w:pPr>
              <w:spacing w:line="240" w:lineRule="auto"/>
              <w:jc w:val="center"/>
            </w:pPr>
            <w:r w:rsidRPr="00DF07F3">
              <w:t>7</w:t>
            </w:r>
          </w:p>
        </w:tc>
        <w:tc>
          <w:tcPr>
            <w:tcW w:w="1680" w:type="dxa"/>
            <w:tcBorders>
              <w:top w:val="nil"/>
              <w:left w:val="nil"/>
              <w:bottom w:val="single" w:sz="4" w:space="0" w:color="auto"/>
              <w:right w:val="nil"/>
            </w:tcBorders>
            <w:shd w:val="clear" w:color="auto" w:fill="auto"/>
            <w:noWrap/>
            <w:vAlign w:val="bottom"/>
            <w:hideMark/>
          </w:tcPr>
          <w:p w14:paraId="1E927424" w14:textId="77777777" w:rsidR="003313E5" w:rsidRPr="00DF07F3" w:rsidRDefault="003313E5" w:rsidP="003313E5">
            <w:pPr>
              <w:spacing w:line="240" w:lineRule="auto"/>
              <w:jc w:val="center"/>
            </w:pPr>
            <w:r w:rsidRPr="00DF07F3">
              <w:t>1</w:t>
            </w:r>
          </w:p>
        </w:tc>
      </w:tr>
      <w:tr w:rsidR="00B64E96" w:rsidRPr="00730B1E" w14:paraId="393B2946" w14:textId="77777777" w:rsidTr="003313E5">
        <w:trPr>
          <w:trHeight w:val="315"/>
        </w:trPr>
        <w:tc>
          <w:tcPr>
            <w:tcW w:w="1080" w:type="dxa"/>
            <w:tcBorders>
              <w:top w:val="nil"/>
              <w:left w:val="nil"/>
              <w:bottom w:val="single" w:sz="4" w:space="0" w:color="auto"/>
              <w:right w:val="nil"/>
            </w:tcBorders>
            <w:shd w:val="clear" w:color="auto" w:fill="auto"/>
            <w:noWrap/>
            <w:vAlign w:val="bottom"/>
            <w:hideMark/>
          </w:tcPr>
          <w:p w14:paraId="51890FD8" w14:textId="77777777" w:rsidR="003313E5" w:rsidRPr="00DF07F3" w:rsidRDefault="003313E5" w:rsidP="003313E5">
            <w:pPr>
              <w:spacing w:line="240" w:lineRule="auto"/>
              <w:jc w:val="center"/>
            </w:pPr>
            <w:r w:rsidRPr="00DF07F3">
              <w:t>2015</w:t>
            </w:r>
          </w:p>
        </w:tc>
        <w:tc>
          <w:tcPr>
            <w:tcW w:w="1680" w:type="dxa"/>
            <w:tcBorders>
              <w:top w:val="nil"/>
              <w:left w:val="nil"/>
              <w:bottom w:val="single" w:sz="4" w:space="0" w:color="auto"/>
              <w:right w:val="nil"/>
            </w:tcBorders>
            <w:shd w:val="clear" w:color="auto" w:fill="auto"/>
            <w:noWrap/>
            <w:vAlign w:val="bottom"/>
            <w:hideMark/>
          </w:tcPr>
          <w:p w14:paraId="1231C34A" w14:textId="77777777" w:rsidR="003313E5" w:rsidRPr="00DF07F3" w:rsidRDefault="003313E5" w:rsidP="003313E5">
            <w:pPr>
              <w:spacing w:line="240" w:lineRule="auto"/>
              <w:jc w:val="center"/>
            </w:pPr>
            <w:r w:rsidRPr="00DF07F3">
              <w:t>12</w:t>
            </w:r>
          </w:p>
        </w:tc>
        <w:tc>
          <w:tcPr>
            <w:tcW w:w="1680" w:type="dxa"/>
            <w:tcBorders>
              <w:top w:val="nil"/>
              <w:left w:val="nil"/>
              <w:bottom w:val="single" w:sz="4" w:space="0" w:color="auto"/>
              <w:right w:val="nil"/>
            </w:tcBorders>
            <w:shd w:val="clear" w:color="auto" w:fill="auto"/>
            <w:noWrap/>
            <w:vAlign w:val="bottom"/>
            <w:hideMark/>
          </w:tcPr>
          <w:p w14:paraId="1A1D9DFD" w14:textId="77777777" w:rsidR="003313E5" w:rsidRPr="00DF07F3" w:rsidRDefault="003313E5" w:rsidP="003313E5">
            <w:pPr>
              <w:spacing w:line="240" w:lineRule="auto"/>
              <w:jc w:val="center"/>
            </w:pPr>
            <w:r w:rsidRPr="00DF07F3">
              <w:t>1</w:t>
            </w:r>
          </w:p>
        </w:tc>
        <w:tc>
          <w:tcPr>
            <w:tcW w:w="1680" w:type="dxa"/>
            <w:tcBorders>
              <w:top w:val="nil"/>
              <w:left w:val="nil"/>
              <w:bottom w:val="single" w:sz="4" w:space="0" w:color="auto"/>
              <w:right w:val="nil"/>
            </w:tcBorders>
            <w:shd w:val="clear" w:color="auto" w:fill="auto"/>
            <w:noWrap/>
            <w:vAlign w:val="bottom"/>
            <w:hideMark/>
          </w:tcPr>
          <w:p w14:paraId="7D42BDE9" w14:textId="77777777" w:rsidR="003313E5" w:rsidRPr="00DF07F3" w:rsidRDefault="003313E5" w:rsidP="003313E5">
            <w:pPr>
              <w:spacing w:line="240" w:lineRule="auto"/>
              <w:jc w:val="center"/>
            </w:pPr>
            <w:r w:rsidRPr="00DF07F3">
              <w:t>1</w:t>
            </w:r>
          </w:p>
        </w:tc>
        <w:tc>
          <w:tcPr>
            <w:tcW w:w="1680" w:type="dxa"/>
            <w:tcBorders>
              <w:top w:val="nil"/>
              <w:left w:val="nil"/>
              <w:bottom w:val="single" w:sz="4" w:space="0" w:color="auto"/>
              <w:right w:val="nil"/>
            </w:tcBorders>
            <w:shd w:val="clear" w:color="auto" w:fill="auto"/>
            <w:noWrap/>
            <w:vAlign w:val="bottom"/>
            <w:hideMark/>
          </w:tcPr>
          <w:p w14:paraId="047C8D08" w14:textId="77777777" w:rsidR="003313E5" w:rsidRPr="00DF07F3" w:rsidRDefault="003313E5" w:rsidP="003313E5">
            <w:pPr>
              <w:spacing w:line="240" w:lineRule="auto"/>
              <w:jc w:val="center"/>
            </w:pPr>
            <w:r w:rsidRPr="00DF07F3">
              <w:t>0</w:t>
            </w:r>
          </w:p>
        </w:tc>
      </w:tr>
      <w:tr w:rsidR="00B64E96" w:rsidRPr="00730B1E" w14:paraId="28B5CD35" w14:textId="77777777" w:rsidTr="003313E5">
        <w:trPr>
          <w:trHeight w:val="315"/>
        </w:trPr>
        <w:tc>
          <w:tcPr>
            <w:tcW w:w="1080" w:type="dxa"/>
            <w:tcBorders>
              <w:top w:val="nil"/>
              <w:left w:val="nil"/>
              <w:bottom w:val="single" w:sz="4" w:space="0" w:color="auto"/>
              <w:right w:val="nil"/>
            </w:tcBorders>
            <w:shd w:val="clear" w:color="auto" w:fill="auto"/>
            <w:noWrap/>
            <w:vAlign w:val="bottom"/>
            <w:hideMark/>
          </w:tcPr>
          <w:p w14:paraId="2DAB3334" w14:textId="77777777" w:rsidR="003313E5" w:rsidRPr="00DF07F3" w:rsidRDefault="003313E5" w:rsidP="003313E5">
            <w:pPr>
              <w:spacing w:line="240" w:lineRule="auto"/>
              <w:jc w:val="center"/>
            </w:pPr>
            <w:r w:rsidRPr="00DF07F3">
              <w:t>2016</w:t>
            </w:r>
          </w:p>
        </w:tc>
        <w:tc>
          <w:tcPr>
            <w:tcW w:w="1680" w:type="dxa"/>
            <w:tcBorders>
              <w:top w:val="nil"/>
              <w:left w:val="nil"/>
              <w:bottom w:val="single" w:sz="4" w:space="0" w:color="auto"/>
              <w:right w:val="nil"/>
            </w:tcBorders>
            <w:shd w:val="clear" w:color="auto" w:fill="auto"/>
            <w:noWrap/>
            <w:vAlign w:val="bottom"/>
            <w:hideMark/>
          </w:tcPr>
          <w:p w14:paraId="1BD82464" w14:textId="77777777" w:rsidR="003313E5" w:rsidRPr="00DF07F3" w:rsidRDefault="003313E5" w:rsidP="003313E5">
            <w:pPr>
              <w:spacing w:line="240" w:lineRule="auto"/>
              <w:jc w:val="center"/>
            </w:pPr>
            <w:r w:rsidRPr="00DF07F3">
              <w:t>9</w:t>
            </w:r>
          </w:p>
        </w:tc>
        <w:tc>
          <w:tcPr>
            <w:tcW w:w="1680" w:type="dxa"/>
            <w:tcBorders>
              <w:top w:val="nil"/>
              <w:left w:val="nil"/>
              <w:bottom w:val="single" w:sz="4" w:space="0" w:color="auto"/>
              <w:right w:val="nil"/>
            </w:tcBorders>
            <w:shd w:val="clear" w:color="auto" w:fill="auto"/>
            <w:noWrap/>
            <w:vAlign w:val="bottom"/>
            <w:hideMark/>
          </w:tcPr>
          <w:p w14:paraId="4DF8C347" w14:textId="77777777" w:rsidR="003313E5" w:rsidRPr="00DF07F3" w:rsidRDefault="003313E5" w:rsidP="003313E5">
            <w:pPr>
              <w:spacing w:line="240" w:lineRule="auto"/>
              <w:jc w:val="center"/>
            </w:pPr>
            <w:r w:rsidRPr="00DF07F3">
              <w:t>1</w:t>
            </w:r>
          </w:p>
        </w:tc>
        <w:tc>
          <w:tcPr>
            <w:tcW w:w="1680" w:type="dxa"/>
            <w:tcBorders>
              <w:top w:val="nil"/>
              <w:left w:val="nil"/>
              <w:bottom w:val="single" w:sz="4" w:space="0" w:color="auto"/>
              <w:right w:val="nil"/>
            </w:tcBorders>
            <w:shd w:val="clear" w:color="auto" w:fill="auto"/>
            <w:noWrap/>
            <w:vAlign w:val="bottom"/>
            <w:hideMark/>
          </w:tcPr>
          <w:p w14:paraId="5B686869" w14:textId="77777777" w:rsidR="003313E5" w:rsidRPr="00DF07F3" w:rsidRDefault="003313E5" w:rsidP="003313E5">
            <w:pPr>
              <w:spacing w:line="240" w:lineRule="auto"/>
              <w:jc w:val="center"/>
            </w:pPr>
            <w:r w:rsidRPr="00DF07F3">
              <w:t>8</w:t>
            </w:r>
          </w:p>
        </w:tc>
        <w:tc>
          <w:tcPr>
            <w:tcW w:w="1680" w:type="dxa"/>
            <w:tcBorders>
              <w:top w:val="nil"/>
              <w:left w:val="nil"/>
              <w:bottom w:val="single" w:sz="4" w:space="0" w:color="auto"/>
              <w:right w:val="nil"/>
            </w:tcBorders>
            <w:shd w:val="clear" w:color="auto" w:fill="auto"/>
            <w:noWrap/>
            <w:vAlign w:val="bottom"/>
            <w:hideMark/>
          </w:tcPr>
          <w:p w14:paraId="4F7A7A61" w14:textId="77777777" w:rsidR="003313E5" w:rsidRPr="00DF07F3" w:rsidRDefault="003313E5" w:rsidP="003313E5">
            <w:pPr>
              <w:spacing w:line="240" w:lineRule="auto"/>
              <w:jc w:val="center"/>
            </w:pPr>
            <w:r w:rsidRPr="00DF07F3">
              <w:t>0</w:t>
            </w:r>
          </w:p>
        </w:tc>
      </w:tr>
      <w:tr w:rsidR="00B64E96" w:rsidRPr="00730B1E" w14:paraId="1C3288CF" w14:textId="77777777" w:rsidTr="003313E5">
        <w:trPr>
          <w:trHeight w:val="315"/>
        </w:trPr>
        <w:tc>
          <w:tcPr>
            <w:tcW w:w="1080" w:type="dxa"/>
            <w:tcBorders>
              <w:top w:val="nil"/>
              <w:left w:val="nil"/>
              <w:bottom w:val="single" w:sz="4" w:space="0" w:color="auto"/>
              <w:right w:val="nil"/>
            </w:tcBorders>
            <w:shd w:val="clear" w:color="auto" w:fill="auto"/>
            <w:noWrap/>
            <w:vAlign w:val="bottom"/>
            <w:hideMark/>
          </w:tcPr>
          <w:p w14:paraId="618E284B" w14:textId="77777777" w:rsidR="003313E5" w:rsidRPr="00DF07F3" w:rsidRDefault="003313E5" w:rsidP="003313E5">
            <w:pPr>
              <w:spacing w:line="240" w:lineRule="auto"/>
              <w:jc w:val="center"/>
            </w:pPr>
            <w:r w:rsidRPr="00DF07F3">
              <w:t>2017</w:t>
            </w:r>
          </w:p>
        </w:tc>
        <w:tc>
          <w:tcPr>
            <w:tcW w:w="1680" w:type="dxa"/>
            <w:tcBorders>
              <w:top w:val="single" w:sz="4" w:space="0" w:color="auto"/>
              <w:left w:val="nil"/>
              <w:bottom w:val="single" w:sz="4" w:space="0" w:color="auto"/>
              <w:right w:val="nil"/>
            </w:tcBorders>
            <w:shd w:val="clear" w:color="auto" w:fill="auto"/>
            <w:noWrap/>
            <w:vAlign w:val="bottom"/>
            <w:hideMark/>
          </w:tcPr>
          <w:p w14:paraId="25ACAE5F" w14:textId="77777777" w:rsidR="003313E5" w:rsidRPr="00DF07F3" w:rsidRDefault="003313E5" w:rsidP="003313E5">
            <w:pPr>
              <w:spacing w:line="240" w:lineRule="auto"/>
              <w:jc w:val="center"/>
            </w:pPr>
            <w:r w:rsidRPr="00DF07F3">
              <w:t>7</w:t>
            </w:r>
          </w:p>
        </w:tc>
        <w:tc>
          <w:tcPr>
            <w:tcW w:w="1680" w:type="dxa"/>
            <w:tcBorders>
              <w:top w:val="single" w:sz="4" w:space="0" w:color="auto"/>
              <w:left w:val="nil"/>
              <w:bottom w:val="single" w:sz="4" w:space="0" w:color="auto"/>
              <w:right w:val="nil"/>
            </w:tcBorders>
            <w:shd w:val="clear" w:color="auto" w:fill="auto"/>
            <w:noWrap/>
            <w:vAlign w:val="bottom"/>
            <w:hideMark/>
          </w:tcPr>
          <w:p w14:paraId="6CAA4647" w14:textId="77777777" w:rsidR="003313E5" w:rsidRPr="00DF07F3" w:rsidRDefault="003313E5" w:rsidP="003313E5">
            <w:pPr>
              <w:spacing w:line="240" w:lineRule="auto"/>
              <w:jc w:val="center"/>
            </w:pPr>
            <w:r w:rsidRPr="00DF07F3">
              <w:t>1</w:t>
            </w:r>
          </w:p>
        </w:tc>
        <w:tc>
          <w:tcPr>
            <w:tcW w:w="1680" w:type="dxa"/>
            <w:tcBorders>
              <w:top w:val="single" w:sz="4" w:space="0" w:color="auto"/>
              <w:left w:val="nil"/>
              <w:bottom w:val="single" w:sz="4" w:space="0" w:color="auto"/>
              <w:right w:val="nil"/>
            </w:tcBorders>
            <w:shd w:val="clear" w:color="auto" w:fill="auto"/>
            <w:noWrap/>
            <w:vAlign w:val="bottom"/>
            <w:hideMark/>
          </w:tcPr>
          <w:p w14:paraId="5B5714D7" w14:textId="77777777" w:rsidR="003313E5" w:rsidRPr="00DF07F3" w:rsidRDefault="003313E5" w:rsidP="003313E5">
            <w:pPr>
              <w:spacing w:line="240" w:lineRule="auto"/>
              <w:jc w:val="center"/>
            </w:pPr>
            <w:r w:rsidRPr="00DF07F3">
              <w:t>6</w:t>
            </w:r>
          </w:p>
        </w:tc>
        <w:tc>
          <w:tcPr>
            <w:tcW w:w="1680" w:type="dxa"/>
            <w:tcBorders>
              <w:top w:val="single" w:sz="4" w:space="0" w:color="auto"/>
              <w:left w:val="nil"/>
              <w:bottom w:val="single" w:sz="4" w:space="0" w:color="auto"/>
              <w:right w:val="nil"/>
            </w:tcBorders>
            <w:shd w:val="clear" w:color="auto" w:fill="auto"/>
            <w:noWrap/>
            <w:vAlign w:val="bottom"/>
            <w:hideMark/>
          </w:tcPr>
          <w:p w14:paraId="36C77078" w14:textId="77777777" w:rsidR="003313E5" w:rsidRPr="00DF07F3" w:rsidRDefault="003313E5" w:rsidP="003313E5">
            <w:pPr>
              <w:spacing w:line="240" w:lineRule="auto"/>
              <w:jc w:val="center"/>
            </w:pPr>
            <w:r w:rsidRPr="00DF07F3">
              <w:t>3</w:t>
            </w:r>
          </w:p>
        </w:tc>
      </w:tr>
      <w:tr w:rsidR="00B64E96" w:rsidRPr="00730B1E" w14:paraId="627D071C" w14:textId="77777777" w:rsidTr="003313E5">
        <w:trPr>
          <w:trHeight w:val="315"/>
        </w:trPr>
        <w:tc>
          <w:tcPr>
            <w:tcW w:w="1080" w:type="dxa"/>
            <w:tcBorders>
              <w:top w:val="nil"/>
              <w:left w:val="nil"/>
              <w:bottom w:val="single" w:sz="4" w:space="0" w:color="auto"/>
              <w:right w:val="nil"/>
            </w:tcBorders>
            <w:shd w:val="clear" w:color="auto" w:fill="auto"/>
            <w:noWrap/>
            <w:vAlign w:val="bottom"/>
            <w:hideMark/>
          </w:tcPr>
          <w:p w14:paraId="59B71F2D" w14:textId="77777777" w:rsidR="003313E5" w:rsidRPr="00DF07F3" w:rsidRDefault="003313E5" w:rsidP="003313E5">
            <w:pPr>
              <w:spacing w:line="240" w:lineRule="auto"/>
              <w:jc w:val="center"/>
            </w:pPr>
            <w:r w:rsidRPr="00DF07F3">
              <w:t>2018</w:t>
            </w:r>
          </w:p>
        </w:tc>
        <w:tc>
          <w:tcPr>
            <w:tcW w:w="1680" w:type="dxa"/>
            <w:tcBorders>
              <w:top w:val="nil"/>
              <w:left w:val="nil"/>
              <w:bottom w:val="single" w:sz="4" w:space="0" w:color="auto"/>
              <w:right w:val="nil"/>
            </w:tcBorders>
            <w:shd w:val="clear" w:color="auto" w:fill="auto"/>
            <w:noWrap/>
            <w:vAlign w:val="bottom"/>
            <w:hideMark/>
          </w:tcPr>
          <w:p w14:paraId="6133E11B" w14:textId="77777777" w:rsidR="003313E5" w:rsidRPr="00DF07F3" w:rsidRDefault="003313E5" w:rsidP="003313E5">
            <w:pPr>
              <w:spacing w:line="240" w:lineRule="auto"/>
              <w:jc w:val="center"/>
            </w:pPr>
            <w:r w:rsidRPr="00DF07F3">
              <w:t>10</w:t>
            </w:r>
          </w:p>
        </w:tc>
        <w:tc>
          <w:tcPr>
            <w:tcW w:w="1680" w:type="dxa"/>
            <w:tcBorders>
              <w:top w:val="nil"/>
              <w:left w:val="nil"/>
              <w:bottom w:val="single" w:sz="4" w:space="0" w:color="auto"/>
              <w:right w:val="nil"/>
            </w:tcBorders>
            <w:shd w:val="clear" w:color="auto" w:fill="auto"/>
            <w:noWrap/>
            <w:vAlign w:val="bottom"/>
            <w:hideMark/>
          </w:tcPr>
          <w:p w14:paraId="1E4FA7E5" w14:textId="77777777" w:rsidR="003313E5" w:rsidRPr="00DF07F3" w:rsidRDefault="003313E5" w:rsidP="003313E5">
            <w:pPr>
              <w:spacing w:line="240" w:lineRule="auto"/>
              <w:jc w:val="center"/>
            </w:pPr>
            <w:r w:rsidRPr="00DF07F3">
              <w:t>3</w:t>
            </w:r>
          </w:p>
        </w:tc>
        <w:tc>
          <w:tcPr>
            <w:tcW w:w="1680" w:type="dxa"/>
            <w:tcBorders>
              <w:top w:val="nil"/>
              <w:left w:val="nil"/>
              <w:bottom w:val="single" w:sz="4" w:space="0" w:color="auto"/>
              <w:right w:val="nil"/>
            </w:tcBorders>
            <w:shd w:val="clear" w:color="auto" w:fill="auto"/>
            <w:noWrap/>
            <w:vAlign w:val="bottom"/>
            <w:hideMark/>
          </w:tcPr>
          <w:p w14:paraId="70E8C2EC" w14:textId="77777777" w:rsidR="003313E5" w:rsidRPr="00DF07F3" w:rsidRDefault="003313E5" w:rsidP="003313E5">
            <w:pPr>
              <w:spacing w:line="240" w:lineRule="auto"/>
              <w:jc w:val="center"/>
            </w:pPr>
            <w:r w:rsidRPr="00DF07F3">
              <w:t>3</w:t>
            </w:r>
          </w:p>
        </w:tc>
        <w:tc>
          <w:tcPr>
            <w:tcW w:w="1680" w:type="dxa"/>
            <w:tcBorders>
              <w:top w:val="nil"/>
              <w:left w:val="nil"/>
              <w:bottom w:val="single" w:sz="4" w:space="0" w:color="auto"/>
              <w:right w:val="nil"/>
            </w:tcBorders>
            <w:shd w:val="clear" w:color="auto" w:fill="auto"/>
            <w:noWrap/>
            <w:vAlign w:val="bottom"/>
            <w:hideMark/>
          </w:tcPr>
          <w:p w14:paraId="2C8AC38F" w14:textId="77777777" w:rsidR="003313E5" w:rsidRPr="00DF07F3" w:rsidRDefault="003313E5" w:rsidP="003313E5">
            <w:pPr>
              <w:spacing w:line="240" w:lineRule="auto"/>
              <w:jc w:val="center"/>
            </w:pPr>
            <w:r w:rsidRPr="00DF07F3">
              <w:t>3</w:t>
            </w:r>
          </w:p>
        </w:tc>
      </w:tr>
      <w:tr w:rsidR="00B64E96" w:rsidRPr="00730B1E" w14:paraId="7FB0495D" w14:textId="77777777" w:rsidTr="003313E5">
        <w:trPr>
          <w:trHeight w:val="315"/>
        </w:trPr>
        <w:tc>
          <w:tcPr>
            <w:tcW w:w="1080" w:type="dxa"/>
            <w:tcBorders>
              <w:top w:val="nil"/>
              <w:left w:val="nil"/>
              <w:bottom w:val="single" w:sz="4" w:space="0" w:color="auto"/>
              <w:right w:val="nil"/>
            </w:tcBorders>
            <w:shd w:val="clear" w:color="auto" w:fill="auto"/>
            <w:noWrap/>
            <w:vAlign w:val="bottom"/>
            <w:hideMark/>
          </w:tcPr>
          <w:p w14:paraId="7186A5EB" w14:textId="77777777" w:rsidR="003313E5" w:rsidRPr="00DF07F3" w:rsidRDefault="003313E5" w:rsidP="003313E5">
            <w:pPr>
              <w:spacing w:line="240" w:lineRule="auto"/>
              <w:jc w:val="center"/>
            </w:pPr>
            <w:r w:rsidRPr="00DF07F3">
              <w:t>2019</w:t>
            </w:r>
          </w:p>
        </w:tc>
        <w:tc>
          <w:tcPr>
            <w:tcW w:w="1680" w:type="dxa"/>
            <w:tcBorders>
              <w:top w:val="nil"/>
              <w:left w:val="nil"/>
              <w:bottom w:val="single" w:sz="4" w:space="0" w:color="auto"/>
              <w:right w:val="nil"/>
            </w:tcBorders>
            <w:shd w:val="clear" w:color="auto" w:fill="auto"/>
            <w:noWrap/>
            <w:vAlign w:val="bottom"/>
            <w:hideMark/>
          </w:tcPr>
          <w:p w14:paraId="55982606" w14:textId="77777777" w:rsidR="003313E5" w:rsidRPr="00DF07F3" w:rsidRDefault="003313E5" w:rsidP="003313E5">
            <w:pPr>
              <w:spacing w:line="240" w:lineRule="auto"/>
              <w:jc w:val="center"/>
            </w:pPr>
            <w:r w:rsidRPr="00DF07F3">
              <w:t>20</w:t>
            </w:r>
          </w:p>
        </w:tc>
        <w:tc>
          <w:tcPr>
            <w:tcW w:w="1680" w:type="dxa"/>
            <w:tcBorders>
              <w:top w:val="nil"/>
              <w:left w:val="nil"/>
              <w:bottom w:val="single" w:sz="4" w:space="0" w:color="auto"/>
              <w:right w:val="nil"/>
            </w:tcBorders>
            <w:shd w:val="clear" w:color="auto" w:fill="auto"/>
            <w:noWrap/>
            <w:vAlign w:val="bottom"/>
            <w:hideMark/>
          </w:tcPr>
          <w:p w14:paraId="48F7A58C" w14:textId="77777777" w:rsidR="003313E5" w:rsidRPr="00DF07F3" w:rsidRDefault="003313E5" w:rsidP="003313E5">
            <w:pPr>
              <w:spacing w:line="240" w:lineRule="auto"/>
              <w:jc w:val="center"/>
            </w:pPr>
            <w:r w:rsidRPr="00DF07F3">
              <w:t>0</w:t>
            </w:r>
          </w:p>
        </w:tc>
        <w:tc>
          <w:tcPr>
            <w:tcW w:w="1680" w:type="dxa"/>
            <w:tcBorders>
              <w:top w:val="nil"/>
              <w:left w:val="nil"/>
              <w:bottom w:val="single" w:sz="4" w:space="0" w:color="auto"/>
              <w:right w:val="nil"/>
            </w:tcBorders>
            <w:shd w:val="clear" w:color="auto" w:fill="auto"/>
            <w:noWrap/>
            <w:vAlign w:val="bottom"/>
            <w:hideMark/>
          </w:tcPr>
          <w:p w14:paraId="5F96BEE1" w14:textId="77777777" w:rsidR="003313E5" w:rsidRPr="00DF07F3" w:rsidRDefault="003313E5" w:rsidP="003313E5">
            <w:pPr>
              <w:spacing w:line="240" w:lineRule="auto"/>
              <w:jc w:val="center"/>
            </w:pPr>
            <w:r w:rsidRPr="00DF07F3">
              <w:t>3</w:t>
            </w:r>
          </w:p>
        </w:tc>
        <w:tc>
          <w:tcPr>
            <w:tcW w:w="1680" w:type="dxa"/>
            <w:tcBorders>
              <w:top w:val="nil"/>
              <w:left w:val="nil"/>
              <w:bottom w:val="single" w:sz="4" w:space="0" w:color="auto"/>
              <w:right w:val="nil"/>
            </w:tcBorders>
            <w:shd w:val="clear" w:color="auto" w:fill="auto"/>
            <w:noWrap/>
            <w:vAlign w:val="bottom"/>
            <w:hideMark/>
          </w:tcPr>
          <w:p w14:paraId="3525A178" w14:textId="77777777" w:rsidR="003313E5" w:rsidRPr="00DF07F3" w:rsidRDefault="003313E5" w:rsidP="003313E5">
            <w:pPr>
              <w:spacing w:line="240" w:lineRule="auto"/>
              <w:jc w:val="center"/>
            </w:pPr>
            <w:r w:rsidRPr="00DF07F3">
              <w:t>3</w:t>
            </w:r>
          </w:p>
        </w:tc>
      </w:tr>
      <w:tr w:rsidR="00B64E96" w:rsidRPr="00730B1E" w14:paraId="088249C5" w14:textId="77777777" w:rsidTr="003313E5">
        <w:trPr>
          <w:trHeight w:val="315"/>
        </w:trPr>
        <w:tc>
          <w:tcPr>
            <w:tcW w:w="1080" w:type="dxa"/>
            <w:tcBorders>
              <w:top w:val="nil"/>
              <w:left w:val="nil"/>
              <w:bottom w:val="single" w:sz="4" w:space="0" w:color="auto"/>
              <w:right w:val="nil"/>
            </w:tcBorders>
            <w:shd w:val="clear" w:color="auto" w:fill="auto"/>
            <w:noWrap/>
            <w:vAlign w:val="bottom"/>
            <w:hideMark/>
          </w:tcPr>
          <w:p w14:paraId="28FB6DA5" w14:textId="77777777" w:rsidR="003313E5" w:rsidRPr="00DF07F3" w:rsidRDefault="003313E5" w:rsidP="003313E5">
            <w:pPr>
              <w:spacing w:line="240" w:lineRule="auto"/>
              <w:jc w:val="center"/>
            </w:pPr>
            <w:r w:rsidRPr="00DF07F3">
              <w:t>2020</w:t>
            </w:r>
          </w:p>
        </w:tc>
        <w:tc>
          <w:tcPr>
            <w:tcW w:w="1680" w:type="dxa"/>
            <w:tcBorders>
              <w:top w:val="nil"/>
              <w:left w:val="nil"/>
              <w:bottom w:val="single" w:sz="4" w:space="0" w:color="auto"/>
              <w:right w:val="nil"/>
            </w:tcBorders>
            <w:shd w:val="clear" w:color="auto" w:fill="auto"/>
            <w:noWrap/>
            <w:vAlign w:val="bottom"/>
            <w:hideMark/>
          </w:tcPr>
          <w:p w14:paraId="50AA2C55" w14:textId="77777777" w:rsidR="003313E5" w:rsidRPr="00DF07F3" w:rsidRDefault="003313E5" w:rsidP="003313E5">
            <w:pPr>
              <w:spacing w:line="240" w:lineRule="auto"/>
              <w:jc w:val="center"/>
            </w:pPr>
            <w:r w:rsidRPr="00DF07F3">
              <w:t>10</w:t>
            </w:r>
          </w:p>
        </w:tc>
        <w:tc>
          <w:tcPr>
            <w:tcW w:w="1680" w:type="dxa"/>
            <w:tcBorders>
              <w:top w:val="nil"/>
              <w:left w:val="nil"/>
              <w:bottom w:val="single" w:sz="4" w:space="0" w:color="auto"/>
              <w:right w:val="nil"/>
            </w:tcBorders>
            <w:shd w:val="clear" w:color="auto" w:fill="auto"/>
            <w:noWrap/>
            <w:vAlign w:val="bottom"/>
            <w:hideMark/>
          </w:tcPr>
          <w:p w14:paraId="2B73871B" w14:textId="77777777" w:rsidR="003313E5" w:rsidRPr="00DF07F3" w:rsidRDefault="003313E5" w:rsidP="003313E5">
            <w:pPr>
              <w:spacing w:line="240" w:lineRule="auto"/>
              <w:jc w:val="center"/>
            </w:pPr>
            <w:r w:rsidRPr="00DF07F3">
              <w:t>2</w:t>
            </w:r>
          </w:p>
        </w:tc>
        <w:tc>
          <w:tcPr>
            <w:tcW w:w="1680" w:type="dxa"/>
            <w:tcBorders>
              <w:top w:val="nil"/>
              <w:left w:val="nil"/>
              <w:bottom w:val="single" w:sz="4" w:space="0" w:color="auto"/>
              <w:right w:val="nil"/>
            </w:tcBorders>
            <w:shd w:val="clear" w:color="auto" w:fill="auto"/>
            <w:noWrap/>
            <w:vAlign w:val="bottom"/>
            <w:hideMark/>
          </w:tcPr>
          <w:p w14:paraId="0A12E291" w14:textId="77777777" w:rsidR="003313E5" w:rsidRPr="00DF07F3" w:rsidRDefault="003313E5" w:rsidP="003313E5">
            <w:pPr>
              <w:spacing w:line="240" w:lineRule="auto"/>
              <w:jc w:val="center"/>
            </w:pPr>
            <w:r w:rsidRPr="00DF07F3">
              <w:t>1</w:t>
            </w:r>
          </w:p>
        </w:tc>
        <w:tc>
          <w:tcPr>
            <w:tcW w:w="1680" w:type="dxa"/>
            <w:tcBorders>
              <w:top w:val="nil"/>
              <w:left w:val="nil"/>
              <w:bottom w:val="single" w:sz="4" w:space="0" w:color="auto"/>
              <w:right w:val="nil"/>
            </w:tcBorders>
            <w:shd w:val="clear" w:color="auto" w:fill="auto"/>
            <w:noWrap/>
            <w:vAlign w:val="bottom"/>
            <w:hideMark/>
          </w:tcPr>
          <w:p w14:paraId="118A7A4B" w14:textId="77777777" w:rsidR="003313E5" w:rsidRPr="00DF07F3" w:rsidRDefault="003313E5" w:rsidP="003313E5">
            <w:pPr>
              <w:spacing w:line="240" w:lineRule="auto"/>
              <w:jc w:val="center"/>
            </w:pPr>
            <w:r w:rsidRPr="00DF07F3">
              <w:t>4</w:t>
            </w:r>
          </w:p>
        </w:tc>
      </w:tr>
      <w:tr w:rsidR="00B64E96" w:rsidRPr="00730B1E" w14:paraId="1E7D6AD5" w14:textId="77777777" w:rsidTr="003313E5">
        <w:trPr>
          <w:trHeight w:val="315"/>
        </w:trPr>
        <w:tc>
          <w:tcPr>
            <w:tcW w:w="1080" w:type="dxa"/>
            <w:tcBorders>
              <w:top w:val="nil"/>
              <w:left w:val="nil"/>
              <w:bottom w:val="single" w:sz="4" w:space="0" w:color="auto"/>
              <w:right w:val="nil"/>
            </w:tcBorders>
            <w:shd w:val="clear" w:color="auto" w:fill="auto"/>
            <w:noWrap/>
            <w:vAlign w:val="bottom"/>
            <w:hideMark/>
          </w:tcPr>
          <w:p w14:paraId="0954B8BA" w14:textId="77777777" w:rsidR="003313E5" w:rsidRPr="00DF07F3" w:rsidRDefault="003313E5" w:rsidP="003313E5">
            <w:pPr>
              <w:spacing w:line="240" w:lineRule="auto"/>
              <w:jc w:val="center"/>
            </w:pPr>
            <w:r w:rsidRPr="00DF07F3">
              <w:t>2021</w:t>
            </w:r>
          </w:p>
        </w:tc>
        <w:tc>
          <w:tcPr>
            <w:tcW w:w="1680" w:type="dxa"/>
            <w:tcBorders>
              <w:top w:val="nil"/>
              <w:left w:val="nil"/>
              <w:bottom w:val="single" w:sz="4" w:space="0" w:color="auto"/>
              <w:right w:val="nil"/>
            </w:tcBorders>
            <w:shd w:val="clear" w:color="auto" w:fill="auto"/>
            <w:noWrap/>
            <w:vAlign w:val="bottom"/>
            <w:hideMark/>
          </w:tcPr>
          <w:p w14:paraId="123F66DA" w14:textId="77777777" w:rsidR="003313E5" w:rsidRPr="00DF07F3" w:rsidRDefault="003313E5" w:rsidP="003313E5">
            <w:pPr>
              <w:spacing w:line="240" w:lineRule="auto"/>
              <w:jc w:val="center"/>
            </w:pPr>
            <w:r w:rsidRPr="00DF07F3">
              <w:t>11</w:t>
            </w:r>
          </w:p>
        </w:tc>
        <w:tc>
          <w:tcPr>
            <w:tcW w:w="1680" w:type="dxa"/>
            <w:tcBorders>
              <w:top w:val="nil"/>
              <w:left w:val="nil"/>
              <w:bottom w:val="single" w:sz="4" w:space="0" w:color="auto"/>
              <w:right w:val="nil"/>
            </w:tcBorders>
            <w:shd w:val="clear" w:color="auto" w:fill="auto"/>
            <w:noWrap/>
            <w:vAlign w:val="bottom"/>
            <w:hideMark/>
          </w:tcPr>
          <w:p w14:paraId="25598447" w14:textId="77777777" w:rsidR="003313E5" w:rsidRPr="00DF07F3" w:rsidRDefault="003313E5" w:rsidP="003313E5">
            <w:pPr>
              <w:spacing w:line="240" w:lineRule="auto"/>
              <w:jc w:val="center"/>
            </w:pPr>
            <w:r w:rsidRPr="00DF07F3">
              <w:t>3</w:t>
            </w:r>
          </w:p>
        </w:tc>
        <w:tc>
          <w:tcPr>
            <w:tcW w:w="1680" w:type="dxa"/>
            <w:tcBorders>
              <w:top w:val="nil"/>
              <w:left w:val="nil"/>
              <w:bottom w:val="single" w:sz="4" w:space="0" w:color="auto"/>
              <w:right w:val="nil"/>
            </w:tcBorders>
            <w:shd w:val="clear" w:color="auto" w:fill="auto"/>
            <w:noWrap/>
            <w:vAlign w:val="bottom"/>
            <w:hideMark/>
          </w:tcPr>
          <w:p w14:paraId="76344B6A" w14:textId="77777777" w:rsidR="003313E5" w:rsidRPr="00DF07F3" w:rsidRDefault="003313E5" w:rsidP="003313E5">
            <w:pPr>
              <w:spacing w:line="240" w:lineRule="auto"/>
              <w:jc w:val="center"/>
            </w:pPr>
            <w:r w:rsidRPr="00DF07F3">
              <w:t>5</w:t>
            </w:r>
          </w:p>
        </w:tc>
        <w:tc>
          <w:tcPr>
            <w:tcW w:w="1680" w:type="dxa"/>
            <w:tcBorders>
              <w:top w:val="nil"/>
              <w:left w:val="nil"/>
              <w:bottom w:val="single" w:sz="4" w:space="0" w:color="auto"/>
              <w:right w:val="nil"/>
            </w:tcBorders>
            <w:shd w:val="clear" w:color="auto" w:fill="auto"/>
            <w:noWrap/>
            <w:vAlign w:val="bottom"/>
            <w:hideMark/>
          </w:tcPr>
          <w:p w14:paraId="4F3E277B" w14:textId="77777777" w:rsidR="003313E5" w:rsidRPr="00DF07F3" w:rsidRDefault="003313E5" w:rsidP="003313E5">
            <w:pPr>
              <w:spacing w:line="240" w:lineRule="auto"/>
              <w:jc w:val="center"/>
            </w:pPr>
            <w:r w:rsidRPr="00DF07F3">
              <w:t>1</w:t>
            </w:r>
          </w:p>
        </w:tc>
      </w:tr>
      <w:tr w:rsidR="00B64E96" w:rsidRPr="00730B1E" w14:paraId="1B29FE4A" w14:textId="77777777" w:rsidTr="003313E5">
        <w:trPr>
          <w:trHeight w:val="315"/>
        </w:trPr>
        <w:tc>
          <w:tcPr>
            <w:tcW w:w="1080" w:type="dxa"/>
            <w:tcBorders>
              <w:top w:val="nil"/>
              <w:left w:val="nil"/>
              <w:bottom w:val="single" w:sz="4" w:space="0" w:color="auto"/>
              <w:right w:val="nil"/>
            </w:tcBorders>
            <w:shd w:val="clear" w:color="auto" w:fill="auto"/>
            <w:noWrap/>
            <w:vAlign w:val="bottom"/>
            <w:hideMark/>
          </w:tcPr>
          <w:p w14:paraId="4C783C5A" w14:textId="77777777" w:rsidR="003313E5" w:rsidRPr="00DF07F3" w:rsidRDefault="003313E5" w:rsidP="003313E5">
            <w:pPr>
              <w:spacing w:line="240" w:lineRule="auto"/>
              <w:jc w:val="center"/>
            </w:pPr>
            <w:r w:rsidRPr="00DF07F3">
              <w:t>2022</w:t>
            </w:r>
          </w:p>
        </w:tc>
        <w:tc>
          <w:tcPr>
            <w:tcW w:w="1680" w:type="dxa"/>
            <w:tcBorders>
              <w:top w:val="single" w:sz="4" w:space="0" w:color="auto"/>
              <w:left w:val="nil"/>
              <w:bottom w:val="single" w:sz="4" w:space="0" w:color="auto"/>
              <w:right w:val="nil"/>
            </w:tcBorders>
            <w:shd w:val="clear" w:color="auto" w:fill="auto"/>
            <w:noWrap/>
            <w:vAlign w:val="bottom"/>
            <w:hideMark/>
          </w:tcPr>
          <w:p w14:paraId="3BB033C5" w14:textId="77777777" w:rsidR="003313E5" w:rsidRPr="00DF07F3" w:rsidRDefault="003313E5" w:rsidP="003313E5">
            <w:pPr>
              <w:spacing w:line="240" w:lineRule="auto"/>
              <w:jc w:val="center"/>
            </w:pPr>
            <w:r w:rsidRPr="00DF07F3">
              <w:t>15</w:t>
            </w:r>
          </w:p>
        </w:tc>
        <w:tc>
          <w:tcPr>
            <w:tcW w:w="1680" w:type="dxa"/>
            <w:tcBorders>
              <w:top w:val="single" w:sz="4" w:space="0" w:color="auto"/>
              <w:left w:val="nil"/>
              <w:bottom w:val="single" w:sz="4" w:space="0" w:color="auto"/>
              <w:right w:val="nil"/>
            </w:tcBorders>
            <w:shd w:val="clear" w:color="auto" w:fill="auto"/>
            <w:noWrap/>
            <w:vAlign w:val="bottom"/>
            <w:hideMark/>
          </w:tcPr>
          <w:p w14:paraId="71BED5B2" w14:textId="77777777" w:rsidR="003313E5" w:rsidRPr="00DF07F3" w:rsidRDefault="003313E5" w:rsidP="003313E5">
            <w:pPr>
              <w:spacing w:line="240" w:lineRule="auto"/>
              <w:jc w:val="center"/>
            </w:pPr>
            <w:r w:rsidRPr="00DF07F3">
              <w:t>1</w:t>
            </w:r>
          </w:p>
        </w:tc>
        <w:tc>
          <w:tcPr>
            <w:tcW w:w="1680" w:type="dxa"/>
            <w:tcBorders>
              <w:top w:val="single" w:sz="4" w:space="0" w:color="auto"/>
              <w:left w:val="nil"/>
              <w:bottom w:val="single" w:sz="4" w:space="0" w:color="auto"/>
              <w:right w:val="nil"/>
            </w:tcBorders>
            <w:shd w:val="clear" w:color="auto" w:fill="auto"/>
            <w:noWrap/>
            <w:vAlign w:val="bottom"/>
            <w:hideMark/>
          </w:tcPr>
          <w:p w14:paraId="4118F24B" w14:textId="77777777" w:rsidR="003313E5" w:rsidRPr="00DF07F3" w:rsidRDefault="003313E5" w:rsidP="003313E5">
            <w:pPr>
              <w:spacing w:line="240" w:lineRule="auto"/>
              <w:jc w:val="center"/>
            </w:pPr>
            <w:r w:rsidRPr="00DF07F3">
              <w:t>3</w:t>
            </w:r>
          </w:p>
        </w:tc>
        <w:tc>
          <w:tcPr>
            <w:tcW w:w="1680" w:type="dxa"/>
            <w:tcBorders>
              <w:top w:val="single" w:sz="4" w:space="0" w:color="auto"/>
              <w:left w:val="nil"/>
              <w:bottom w:val="single" w:sz="4" w:space="0" w:color="auto"/>
              <w:right w:val="nil"/>
            </w:tcBorders>
            <w:shd w:val="clear" w:color="auto" w:fill="auto"/>
            <w:noWrap/>
            <w:vAlign w:val="bottom"/>
            <w:hideMark/>
          </w:tcPr>
          <w:p w14:paraId="7513FEFC" w14:textId="77777777" w:rsidR="003313E5" w:rsidRPr="00DF07F3" w:rsidRDefault="003313E5" w:rsidP="003313E5">
            <w:pPr>
              <w:spacing w:line="240" w:lineRule="auto"/>
              <w:jc w:val="center"/>
            </w:pPr>
            <w:r w:rsidRPr="00DF07F3">
              <w:t>1</w:t>
            </w:r>
          </w:p>
        </w:tc>
      </w:tr>
      <w:tr w:rsidR="00B64E96" w:rsidRPr="00730B1E" w14:paraId="0CFFAA2E" w14:textId="77777777" w:rsidTr="003313E5">
        <w:trPr>
          <w:trHeight w:val="330"/>
        </w:trPr>
        <w:tc>
          <w:tcPr>
            <w:tcW w:w="1080" w:type="dxa"/>
            <w:tcBorders>
              <w:top w:val="nil"/>
              <w:left w:val="nil"/>
              <w:bottom w:val="double" w:sz="6" w:space="0" w:color="auto"/>
              <w:right w:val="nil"/>
            </w:tcBorders>
            <w:shd w:val="clear" w:color="auto" w:fill="auto"/>
            <w:noWrap/>
            <w:vAlign w:val="bottom"/>
            <w:hideMark/>
          </w:tcPr>
          <w:p w14:paraId="350D105C" w14:textId="77777777" w:rsidR="003313E5" w:rsidRPr="00DF07F3" w:rsidRDefault="003313E5" w:rsidP="003313E5">
            <w:pPr>
              <w:spacing w:line="240" w:lineRule="auto"/>
              <w:jc w:val="center"/>
            </w:pPr>
            <w:r w:rsidRPr="00DF07F3">
              <w:t>2023</w:t>
            </w:r>
          </w:p>
        </w:tc>
        <w:tc>
          <w:tcPr>
            <w:tcW w:w="1680" w:type="dxa"/>
            <w:tcBorders>
              <w:top w:val="nil"/>
              <w:left w:val="nil"/>
              <w:bottom w:val="double" w:sz="6" w:space="0" w:color="auto"/>
              <w:right w:val="nil"/>
            </w:tcBorders>
            <w:shd w:val="clear" w:color="auto" w:fill="auto"/>
            <w:noWrap/>
            <w:vAlign w:val="bottom"/>
            <w:hideMark/>
          </w:tcPr>
          <w:p w14:paraId="51396B18" w14:textId="77777777" w:rsidR="003313E5" w:rsidRPr="00DF07F3" w:rsidRDefault="003313E5" w:rsidP="003313E5">
            <w:pPr>
              <w:spacing w:line="240" w:lineRule="auto"/>
              <w:jc w:val="center"/>
            </w:pPr>
            <w:r w:rsidRPr="00DF07F3">
              <w:t>10</w:t>
            </w:r>
          </w:p>
        </w:tc>
        <w:tc>
          <w:tcPr>
            <w:tcW w:w="1680" w:type="dxa"/>
            <w:tcBorders>
              <w:top w:val="nil"/>
              <w:left w:val="nil"/>
              <w:bottom w:val="double" w:sz="6" w:space="0" w:color="auto"/>
              <w:right w:val="nil"/>
            </w:tcBorders>
            <w:shd w:val="clear" w:color="auto" w:fill="auto"/>
            <w:noWrap/>
            <w:vAlign w:val="bottom"/>
            <w:hideMark/>
          </w:tcPr>
          <w:p w14:paraId="22CE511C" w14:textId="77777777" w:rsidR="003313E5" w:rsidRPr="00DF07F3" w:rsidRDefault="003313E5" w:rsidP="003313E5">
            <w:pPr>
              <w:spacing w:line="240" w:lineRule="auto"/>
              <w:jc w:val="center"/>
            </w:pPr>
            <w:r w:rsidRPr="00DF07F3">
              <w:t>2</w:t>
            </w:r>
          </w:p>
        </w:tc>
        <w:tc>
          <w:tcPr>
            <w:tcW w:w="1680" w:type="dxa"/>
            <w:tcBorders>
              <w:top w:val="nil"/>
              <w:left w:val="nil"/>
              <w:bottom w:val="double" w:sz="6" w:space="0" w:color="auto"/>
              <w:right w:val="nil"/>
            </w:tcBorders>
            <w:shd w:val="clear" w:color="auto" w:fill="auto"/>
            <w:noWrap/>
            <w:vAlign w:val="bottom"/>
            <w:hideMark/>
          </w:tcPr>
          <w:p w14:paraId="600A6D65" w14:textId="77777777" w:rsidR="003313E5" w:rsidRPr="00DF07F3" w:rsidRDefault="003313E5" w:rsidP="003313E5">
            <w:pPr>
              <w:spacing w:line="240" w:lineRule="auto"/>
              <w:jc w:val="center"/>
            </w:pPr>
            <w:r w:rsidRPr="00DF07F3">
              <w:t>4</w:t>
            </w:r>
          </w:p>
        </w:tc>
        <w:tc>
          <w:tcPr>
            <w:tcW w:w="1680" w:type="dxa"/>
            <w:tcBorders>
              <w:top w:val="nil"/>
              <w:left w:val="nil"/>
              <w:bottom w:val="double" w:sz="6" w:space="0" w:color="auto"/>
              <w:right w:val="nil"/>
            </w:tcBorders>
            <w:shd w:val="clear" w:color="auto" w:fill="auto"/>
            <w:noWrap/>
            <w:vAlign w:val="bottom"/>
            <w:hideMark/>
          </w:tcPr>
          <w:p w14:paraId="0B13ADD0" w14:textId="77777777" w:rsidR="003313E5" w:rsidRPr="00DF07F3" w:rsidRDefault="003313E5" w:rsidP="003313E5">
            <w:pPr>
              <w:spacing w:line="240" w:lineRule="auto"/>
              <w:jc w:val="center"/>
            </w:pPr>
            <w:r w:rsidRPr="00DF07F3">
              <w:t>3</w:t>
            </w:r>
          </w:p>
        </w:tc>
      </w:tr>
      <w:tr w:rsidR="003313E5" w:rsidRPr="00730B1E" w14:paraId="598744A5" w14:textId="77777777" w:rsidTr="003313E5">
        <w:trPr>
          <w:trHeight w:val="330"/>
        </w:trPr>
        <w:tc>
          <w:tcPr>
            <w:tcW w:w="1080" w:type="dxa"/>
            <w:tcBorders>
              <w:top w:val="nil"/>
              <w:left w:val="nil"/>
              <w:bottom w:val="nil"/>
              <w:right w:val="nil"/>
            </w:tcBorders>
            <w:shd w:val="clear" w:color="auto" w:fill="auto"/>
            <w:noWrap/>
            <w:vAlign w:val="bottom"/>
            <w:hideMark/>
          </w:tcPr>
          <w:p w14:paraId="4730613B" w14:textId="77777777" w:rsidR="003313E5" w:rsidRPr="00DF07F3" w:rsidRDefault="003313E5" w:rsidP="003313E5">
            <w:pPr>
              <w:spacing w:line="240" w:lineRule="auto"/>
              <w:jc w:val="center"/>
            </w:pPr>
          </w:p>
        </w:tc>
        <w:tc>
          <w:tcPr>
            <w:tcW w:w="1680" w:type="dxa"/>
            <w:tcBorders>
              <w:top w:val="nil"/>
              <w:left w:val="nil"/>
              <w:bottom w:val="nil"/>
              <w:right w:val="nil"/>
            </w:tcBorders>
            <w:shd w:val="clear" w:color="auto" w:fill="auto"/>
            <w:noWrap/>
            <w:vAlign w:val="bottom"/>
            <w:hideMark/>
          </w:tcPr>
          <w:p w14:paraId="260EE8F4" w14:textId="77777777" w:rsidR="003313E5" w:rsidRPr="00DF07F3" w:rsidRDefault="003313E5" w:rsidP="003313E5">
            <w:pPr>
              <w:spacing w:line="240" w:lineRule="auto"/>
              <w:jc w:val="left"/>
              <w:rPr>
                <w:sz w:val="20"/>
              </w:rPr>
            </w:pPr>
          </w:p>
        </w:tc>
        <w:tc>
          <w:tcPr>
            <w:tcW w:w="1680" w:type="dxa"/>
            <w:tcBorders>
              <w:top w:val="nil"/>
              <w:left w:val="nil"/>
              <w:bottom w:val="nil"/>
              <w:right w:val="nil"/>
            </w:tcBorders>
            <w:shd w:val="clear" w:color="auto" w:fill="auto"/>
            <w:noWrap/>
            <w:vAlign w:val="bottom"/>
            <w:hideMark/>
          </w:tcPr>
          <w:p w14:paraId="250BAE49" w14:textId="77777777" w:rsidR="003313E5" w:rsidRPr="00DF07F3" w:rsidRDefault="003313E5" w:rsidP="003313E5">
            <w:pPr>
              <w:spacing w:line="240" w:lineRule="auto"/>
              <w:jc w:val="left"/>
              <w:rPr>
                <w:sz w:val="20"/>
              </w:rPr>
            </w:pPr>
          </w:p>
        </w:tc>
        <w:tc>
          <w:tcPr>
            <w:tcW w:w="1680" w:type="dxa"/>
            <w:tcBorders>
              <w:top w:val="nil"/>
              <w:left w:val="nil"/>
              <w:bottom w:val="nil"/>
              <w:right w:val="nil"/>
            </w:tcBorders>
            <w:shd w:val="clear" w:color="auto" w:fill="auto"/>
            <w:noWrap/>
            <w:vAlign w:val="bottom"/>
            <w:hideMark/>
          </w:tcPr>
          <w:p w14:paraId="4C29F199" w14:textId="77777777" w:rsidR="003313E5" w:rsidRPr="00DF07F3" w:rsidRDefault="003313E5" w:rsidP="003313E5">
            <w:pPr>
              <w:spacing w:line="240" w:lineRule="auto"/>
              <w:jc w:val="left"/>
              <w:rPr>
                <w:sz w:val="20"/>
              </w:rPr>
            </w:pPr>
          </w:p>
        </w:tc>
        <w:tc>
          <w:tcPr>
            <w:tcW w:w="1680" w:type="dxa"/>
            <w:tcBorders>
              <w:top w:val="nil"/>
              <w:left w:val="nil"/>
              <w:bottom w:val="nil"/>
              <w:right w:val="nil"/>
            </w:tcBorders>
            <w:shd w:val="clear" w:color="auto" w:fill="auto"/>
            <w:noWrap/>
            <w:vAlign w:val="bottom"/>
            <w:hideMark/>
          </w:tcPr>
          <w:p w14:paraId="00265493" w14:textId="77777777" w:rsidR="003313E5" w:rsidRPr="00DF07F3" w:rsidRDefault="003313E5" w:rsidP="003313E5">
            <w:pPr>
              <w:spacing w:line="240" w:lineRule="auto"/>
              <w:jc w:val="left"/>
              <w:rPr>
                <w:sz w:val="20"/>
              </w:rPr>
            </w:pPr>
          </w:p>
        </w:tc>
      </w:tr>
    </w:tbl>
    <w:p w14:paraId="33F6DE6A" w14:textId="77777777" w:rsidR="003313E5" w:rsidRPr="00730B1E" w:rsidRDefault="003313E5" w:rsidP="00F42D53">
      <w:pPr>
        <w:pStyle w:val="OdstavecASR"/>
        <w:rPr>
          <w:lang w:eastAsia="cs-CZ"/>
        </w:rPr>
      </w:pPr>
    </w:p>
    <w:p w14:paraId="31315A69" w14:textId="77777777" w:rsidR="003313E5" w:rsidRPr="00730B1E" w:rsidRDefault="003313E5" w:rsidP="00F42D53">
      <w:pPr>
        <w:pStyle w:val="OdstavecASR"/>
        <w:rPr>
          <w:lang w:eastAsia="cs-CZ"/>
        </w:rPr>
      </w:pPr>
    </w:p>
    <w:p w14:paraId="21D1FC51" w14:textId="77777777" w:rsidR="00F42D53" w:rsidRPr="00730B1E" w:rsidRDefault="00F42D53" w:rsidP="007E1AF7">
      <w:pPr>
        <w:rPr>
          <w:lang w:eastAsia="cs-CZ"/>
        </w:rPr>
      </w:pPr>
    </w:p>
    <w:p w14:paraId="1C74211D" w14:textId="43CC4231" w:rsidR="00F42D53" w:rsidRPr="00730B1E" w:rsidRDefault="000D5CA7" w:rsidP="00564A4E">
      <w:pPr>
        <w:pStyle w:val="Nadpis1"/>
        <w:pageBreakBefore/>
        <w:numPr>
          <w:ilvl w:val="0"/>
          <w:numId w:val="1"/>
        </w:numPr>
        <w:spacing w:after="120"/>
        <w:rPr>
          <w:lang w:eastAsia="cs-CZ"/>
        </w:rPr>
      </w:pPr>
      <w:bookmarkStart w:id="1781" w:name="_Toc169250906"/>
      <w:bookmarkStart w:id="1782" w:name="_Toc174080942"/>
      <w:r w:rsidRPr="00730B1E">
        <w:rPr>
          <w:lang w:eastAsia="cs-CZ"/>
        </w:rPr>
        <w:lastRenderedPageBreak/>
        <w:t>Mezinárodní srovnání</w:t>
      </w:r>
      <w:bookmarkEnd w:id="1781"/>
      <w:bookmarkEnd w:id="1782"/>
    </w:p>
    <w:p w14:paraId="30579C01" w14:textId="3FF6D2A0" w:rsidR="00F42D53" w:rsidRPr="00730B1E" w:rsidRDefault="00621533" w:rsidP="00F42D53">
      <w:pPr>
        <w:pStyle w:val="OdstavecASR"/>
        <w:rPr>
          <w:lang w:eastAsia="cs-CZ"/>
        </w:rPr>
      </w:pPr>
      <w:r w:rsidRPr="00730B1E">
        <w:t xml:space="preserve">Stejně jako v předchozích letech </w:t>
      </w:r>
      <w:r w:rsidR="00F42D53" w:rsidRPr="00730B1E">
        <w:t xml:space="preserve">v rámci této kapitoly nahrazujeme některé dříve publikované oblasti srovnání oblastmi novými. </w:t>
      </w:r>
      <w:r w:rsidRPr="00730B1E">
        <w:t xml:space="preserve">Namísto </w:t>
      </w:r>
      <w:r w:rsidR="00F42D53" w:rsidRPr="00730B1E">
        <w:t xml:space="preserve">dat o rozvodech a rozvodovosti v Evropě </w:t>
      </w:r>
      <w:r w:rsidRPr="00730B1E">
        <w:t xml:space="preserve">se tak v této zprávě </w:t>
      </w:r>
      <w:r w:rsidR="00B71D7F" w:rsidRPr="00730B1E">
        <w:t>zaměříme</w:t>
      </w:r>
      <w:r w:rsidR="00F42D53" w:rsidRPr="00730B1E">
        <w:t xml:space="preserve"> blíže na aktuální problematiku obchodu s lidmi. Vedle toho předkládáme také již zavedená srovnání, </w:t>
      </w:r>
      <w:r w:rsidRPr="00730B1E">
        <w:t>byť v některých případech s nižší či naopak vyšší mírou detailu.</w:t>
      </w:r>
      <w:r w:rsidR="00F42D53" w:rsidRPr="00730B1E">
        <w:t xml:space="preserve"> Základním zdrojem prezentovaných dat je stále publikace Evropské komise „EU Justice Scoreboard 2023“ s daty za rok 2021, který srovnává země EU z pohledu efektivnosti, kvality a nezávislosti jejich soudních systémů. Vnímanou nezávislost soudů a soudců v EU měří každoročně Eurobarometr a data o obchodování s lidmi přebíráme zejména ze dvou prestižních zdrojů – Eurostat a UNODC (United Nations Office on Drugs and Crime). Protože se jedná o různé zdroje, </w:t>
      </w:r>
      <w:r w:rsidRPr="00730B1E">
        <w:t>nelze je mezi sebou kombinovat a</w:t>
      </w:r>
      <w:r w:rsidR="00F42D53" w:rsidRPr="00730B1E">
        <w:t xml:space="preserve"> jejich data </w:t>
      </w:r>
      <w:r w:rsidRPr="00730B1E">
        <w:t xml:space="preserve">tak </w:t>
      </w:r>
      <w:r w:rsidR="00F42D53" w:rsidRPr="00730B1E">
        <w:t xml:space="preserve">prezentujeme odděleně. Při srovnávání je </w:t>
      </w:r>
      <w:r w:rsidRPr="00730B1E">
        <w:t>rovněž třeba mít na paměti</w:t>
      </w:r>
      <w:r w:rsidR="00F42D53" w:rsidRPr="00730B1E">
        <w:rPr>
          <w:lang w:eastAsia="cs-CZ"/>
        </w:rPr>
        <w:t>, že každý stát je unikátní – liší se jejich justiční systémy i způsoby statistického vykazování dat.</w:t>
      </w:r>
    </w:p>
    <w:p w14:paraId="2C08A203" w14:textId="77777777" w:rsidR="00F42D53" w:rsidRPr="00730B1E" w:rsidRDefault="00F42D53" w:rsidP="00F42D53">
      <w:pPr>
        <w:pStyle w:val="OdstavecASR"/>
      </w:pPr>
      <w:bookmarkStart w:id="1783" w:name="_Hlk106105859"/>
      <w:r w:rsidRPr="00730B1E">
        <w:t>Seznam zkratek členských zemí EU používaných v mezinárodním srovnání: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1900"/>
        <w:gridCol w:w="460"/>
        <w:gridCol w:w="580"/>
        <w:gridCol w:w="2396"/>
        <w:gridCol w:w="580"/>
        <w:gridCol w:w="1900"/>
      </w:tblGrid>
      <w:tr w:rsidR="00B64E96" w:rsidRPr="00730B1E" w14:paraId="2984DCA0" w14:textId="77777777" w:rsidTr="00703F67">
        <w:trPr>
          <w:trHeight w:val="285"/>
        </w:trPr>
        <w:tc>
          <w:tcPr>
            <w:tcW w:w="580" w:type="dxa"/>
            <w:noWrap/>
            <w:hideMark/>
          </w:tcPr>
          <w:p w14:paraId="623C2A26" w14:textId="77777777" w:rsidR="00F42D53" w:rsidRPr="00730B1E" w:rsidRDefault="00F42D53" w:rsidP="00703F67">
            <w:r w:rsidRPr="00730B1E">
              <w:t>AT</w:t>
            </w:r>
          </w:p>
        </w:tc>
        <w:tc>
          <w:tcPr>
            <w:tcW w:w="1900" w:type="dxa"/>
            <w:noWrap/>
            <w:hideMark/>
          </w:tcPr>
          <w:p w14:paraId="3929E493" w14:textId="77777777" w:rsidR="00F42D53" w:rsidRPr="00730B1E" w:rsidRDefault="00F42D53" w:rsidP="00703F67">
            <w:r w:rsidRPr="00730B1E">
              <w:t>Rakousko</w:t>
            </w:r>
          </w:p>
        </w:tc>
        <w:tc>
          <w:tcPr>
            <w:tcW w:w="460" w:type="dxa"/>
            <w:noWrap/>
            <w:hideMark/>
          </w:tcPr>
          <w:p w14:paraId="17329D0B" w14:textId="77777777" w:rsidR="00F42D53" w:rsidRPr="00730B1E" w:rsidRDefault="00F42D53" w:rsidP="00703F67"/>
        </w:tc>
        <w:tc>
          <w:tcPr>
            <w:tcW w:w="580" w:type="dxa"/>
            <w:noWrap/>
            <w:hideMark/>
          </w:tcPr>
          <w:p w14:paraId="0BBF66F9" w14:textId="77777777" w:rsidR="00F42D53" w:rsidRPr="00730B1E" w:rsidRDefault="00F42D53" w:rsidP="00703F67">
            <w:r w:rsidRPr="00730B1E">
              <w:t>ES</w:t>
            </w:r>
          </w:p>
        </w:tc>
        <w:tc>
          <w:tcPr>
            <w:tcW w:w="2396" w:type="dxa"/>
            <w:noWrap/>
            <w:hideMark/>
          </w:tcPr>
          <w:p w14:paraId="48DE05DE" w14:textId="77777777" w:rsidR="00F42D53" w:rsidRPr="00730B1E" w:rsidRDefault="00F42D53" w:rsidP="00703F67">
            <w:r w:rsidRPr="00730B1E">
              <w:t>Španělsko</w:t>
            </w:r>
          </w:p>
        </w:tc>
        <w:tc>
          <w:tcPr>
            <w:tcW w:w="580" w:type="dxa"/>
            <w:noWrap/>
            <w:hideMark/>
          </w:tcPr>
          <w:p w14:paraId="08940452" w14:textId="77777777" w:rsidR="00F42D53" w:rsidRPr="00730B1E" w:rsidRDefault="00F42D53" w:rsidP="00703F67">
            <w:r w:rsidRPr="00730B1E">
              <w:t>LV</w:t>
            </w:r>
          </w:p>
        </w:tc>
        <w:tc>
          <w:tcPr>
            <w:tcW w:w="1900" w:type="dxa"/>
            <w:noWrap/>
            <w:hideMark/>
          </w:tcPr>
          <w:p w14:paraId="31767C21" w14:textId="77777777" w:rsidR="00F42D53" w:rsidRPr="00730B1E" w:rsidRDefault="00F42D53" w:rsidP="00703F67">
            <w:r w:rsidRPr="00730B1E">
              <w:t>Lotyšsko</w:t>
            </w:r>
          </w:p>
        </w:tc>
      </w:tr>
      <w:tr w:rsidR="00B64E96" w:rsidRPr="00730B1E" w14:paraId="6CA1B3C2" w14:textId="77777777" w:rsidTr="00703F67">
        <w:trPr>
          <w:trHeight w:val="285"/>
        </w:trPr>
        <w:tc>
          <w:tcPr>
            <w:tcW w:w="580" w:type="dxa"/>
            <w:noWrap/>
            <w:hideMark/>
          </w:tcPr>
          <w:p w14:paraId="6910A969" w14:textId="77777777" w:rsidR="00F42D53" w:rsidRPr="00730B1E" w:rsidRDefault="00F42D53" w:rsidP="00703F67">
            <w:r w:rsidRPr="00730B1E">
              <w:t>BE</w:t>
            </w:r>
          </w:p>
        </w:tc>
        <w:tc>
          <w:tcPr>
            <w:tcW w:w="1900" w:type="dxa"/>
            <w:noWrap/>
            <w:hideMark/>
          </w:tcPr>
          <w:p w14:paraId="3F3FFF54" w14:textId="77777777" w:rsidR="00F42D53" w:rsidRPr="00730B1E" w:rsidRDefault="00F42D53" w:rsidP="00703F67">
            <w:r w:rsidRPr="00730B1E">
              <w:t>Belgie</w:t>
            </w:r>
          </w:p>
        </w:tc>
        <w:tc>
          <w:tcPr>
            <w:tcW w:w="460" w:type="dxa"/>
            <w:noWrap/>
            <w:hideMark/>
          </w:tcPr>
          <w:p w14:paraId="15331FB9" w14:textId="77777777" w:rsidR="00F42D53" w:rsidRPr="00730B1E" w:rsidRDefault="00F42D53" w:rsidP="00703F67"/>
        </w:tc>
        <w:tc>
          <w:tcPr>
            <w:tcW w:w="580" w:type="dxa"/>
            <w:noWrap/>
            <w:hideMark/>
          </w:tcPr>
          <w:p w14:paraId="6554A664" w14:textId="77777777" w:rsidR="00F42D53" w:rsidRPr="00730B1E" w:rsidRDefault="00F42D53" w:rsidP="00703F67">
            <w:r w:rsidRPr="00730B1E">
              <w:t>FI</w:t>
            </w:r>
          </w:p>
        </w:tc>
        <w:tc>
          <w:tcPr>
            <w:tcW w:w="2396" w:type="dxa"/>
            <w:noWrap/>
            <w:hideMark/>
          </w:tcPr>
          <w:p w14:paraId="7B802E47" w14:textId="77777777" w:rsidR="00F42D53" w:rsidRPr="00730B1E" w:rsidRDefault="00F42D53" w:rsidP="00703F67">
            <w:r w:rsidRPr="00730B1E">
              <w:t>Finsko</w:t>
            </w:r>
          </w:p>
        </w:tc>
        <w:tc>
          <w:tcPr>
            <w:tcW w:w="580" w:type="dxa"/>
            <w:noWrap/>
            <w:hideMark/>
          </w:tcPr>
          <w:p w14:paraId="7F7C65D5" w14:textId="77777777" w:rsidR="00F42D53" w:rsidRPr="00730B1E" w:rsidRDefault="00F42D53" w:rsidP="00703F67">
            <w:r w:rsidRPr="00730B1E">
              <w:t>MT</w:t>
            </w:r>
          </w:p>
        </w:tc>
        <w:tc>
          <w:tcPr>
            <w:tcW w:w="1900" w:type="dxa"/>
            <w:noWrap/>
            <w:hideMark/>
          </w:tcPr>
          <w:p w14:paraId="625B88F3" w14:textId="77777777" w:rsidR="00F42D53" w:rsidRPr="00730B1E" w:rsidRDefault="00F42D53" w:rsidP="00703F67">
            <w:r w:rsidRPr="00730B1E">
              <w:t>Malta</w:t>
            </w:r>
          </w:p>
        </w:tc>
      </w:tr>
      <w:tr w:rsidR="00B64E96" w:rsidRPr="00730B1E" w14:paraId="63A49168" w14:textId="77777777" w:rsidTr="00703F67">
        <w:trPr>
          <w:trHeight w:val="285"/>
        </w:trPr>
        <w:tc>
          <w:tcPr>
            <w:tcW w:w="580" w:type="dxa"/>
            <w:noWrap/>
            <w:hideMark/>
          </w:tcPr>
          <w:p w14:paraId="1279FF62" w14:textId="77777777" w:rsidR="00F42D53" w:rsidRPr="00730B1E" w:rsidRDefault="00F42D53" w:rsidP="00703F67">
            <w:r w:rsidRPr="00730B1E">
              <w:t>BG</w:t>
            </w:r>
          </w:p>
        </w:tc>
        <w:tc>
          <w:tcPr>
            <w:tcW w:w="1900" w:type="dxa"/>
            <w:noWrap/>
            <w:hideMark/>
          </w:tcPr>
          <w:p w14:paraId="6D470746" w14:textId="77777777" w:rsidR="00F42D53" w:rsidRPr="00730B1E" w:rsidRDefault="00F42D53" w:rsidP="00703F67">
            <w:r w:rsidRPr="00730B1E">
              <w:t>Bulharsko</w:t>
            </w:r>
          </w:p>
        </w:tc>
        <w:tc>
          <w:tcPr>
            <w:tcW w:w="460" w:type="dxa"/>
            <w:noWrap/>
            <w:hideMark/>
          </w:tcPr>
          <w:p w14:paraId="58EEFCDE" w14:textId="77777777" w:rsidR="00F42D53" w:rsidRPr="00730B1E" w:rsidRDefault="00F42D53" w:rsidP="00703F67"/>
        </w:tc>
        <w:tc>
          <w:tcPr>
            <w:tcW w:w="580" w:type="dxa"/>
            <w:noWrap/>
            <w:hideMark/>
          </w:tcPr>
          <w:p w14:paraId="6367B4FA" w14:textId="77777777" w:rsidR="00F42D53" w:rsidRPr="00730B1E" w:rsidRDefault="00F42D53" w:rsidP="00703F67">
            <w:r w:rsidRPr="00730B1E">
              <w:t>FR</w:t>
            </w:r>
          </w:p>
        </w:tc>
        <w:tc>
          <w:tcPr>
            <w:tcW w:w="2396" w:type="dxa"/>
            <w:noWrap/>
            <w:hideMark/>
          </w:tcPr>
          <w:p w14:paraId="1C96BCFB" w14:textId="77777777" w:rsidR="00F42D53" w:rsidRPr="00730B1E" w:rsidRDefault="00F42D53" w:rsidP="00703F67">
            <w:r w:rsidRPr="00730B1E">
              <w:t>Francie</w:t>
            </w:r>
          </w:p>
        </w:tc>
        <w:tc>
          <w:tcPr>
            <w:tcW w:w="580" w:type="dxa"/>
            <w:noWrap/>
            <w:hideMark/>
          </w:tcPr>
          <w:p w14:paraId="5DDC9AB6" w14:textId="77777777" w:rsidR="00F42D53" w:rsidRPr="00730B1E" w:rsidRDefault="00F42D53" w:rsidP="00703F67">
            <w:r w:rsidRPr="00730B1E">
              <w:t>NL</w:t>
            </w:r>
          </w:p>
        </w:tc>
        <w:tc>
          <w:tcPr>
            <w:tcW w:w="1900" w:type="dxa"/>
            <w:noWrap/>
            <w:hideMark/>
          </w:tcPr>
          <w:p w14:paraId="7328146D" w14:textId="77777777" w:rsidR="00F42D53" w:rsidRPr="00730B1E" w:rsidRDefault="00F42D53" w:rsidP="00703F67">
            <w:r w:rsidRPr="00730B1E">
              <w:t>Nizozemsko</w:t>
            </w:r>
          </w:p>
        </w:tc>
      </w:tr>
      <w:tr w:rsidR="00B64E96" w:rsidRPr="00730B1E" w14:paraId="680A59A8" w14:textId="77777777" w:rsidTr="00703F67">
        <w:trPr>
          <w:trHeight w:val="285"/>
        </w:trPr>
        <w:tc>
          <w:tcPr>
            <w:tcW w:w="580" w:type="dxa"/>
            <w:noWrap/>
            <w:hideMark/>
          </w:tcPr>
          <w:p w14:paraId="3B6B2DB4" w14:textId="77777777" w:rsidR="00F42D53" w:rsidRPr="00730B1E" w:rsidRDefault="00F42D53" w:rsidP="00703F67">
            <w:r w:rsidRPr="00730B1E">
              <w:t>CY</w:t>
            </w:r>
          </w:p>
        </w:tc>
        <w:tc>
          <w:tcPr>
            <w:tcW w:w="1900" w:type="dxa"/>
            <w:noWrap/>
            <w:hideMark/>
          </w:tcPr>
          <w:p w14:paraId="19C533F3" w14:textId="77777777" w:rsidR="00F42D53" w:rsidRPr="00730B1E" w:rsidRDefault="00F42D53" w:rsidP="00703F67">
            <w:r w:rsidRPr="00730B1E">
              <w:t>Kypr</w:t>
            </w:r>
          </w:p>
        </w:tc>
        <w:tc>
          <w:tcPr>
            <w:tcW w:w="460" w:type="dxa"/>
            <w:noWrap/>
            <w:hideMark/>
          </w:tcPr>
          <w:p w14:paraId="3D66B7C9" w14:textId="77777777" w:rsidR="00F42D53" w:rsidRPr="00730B1E" w:rsidRDefault="00F42D53" w:rsidP="00703F67"/>
        </w:tc>
        <w:tc>
          <w:tcPr>
            <w:tcW w:w="580" w:type="dxa"/>
            <w:noWrap/>
            <w:hideMark/>
          </w:tcPr>
          <w:p w14:paraId="28A570F0" w14:textId="77777777" w:rsidR="00F42D53" w:rsidRPr="00730B1E" w:rsidRDefault="00F42D53" w:rsidP="00703F67">
            <w:r w:rsidRPr="00730B1E">
              <w:t>HR</w:t>
            </w:r>
          </w:p>
        </w:tc>
        <w:tc>
          <w:tcPr>
            <w:tcW w:w="2396" w:type="dxa"/>
            <w:noWrap/>
            <w:hideMark/>
          </w:tcPr>
          <w:p w14:paraId="6DEA75A3" w14:textId="77777777" w:rsidR="00F42D53" w:rsidRPr="00730B1E" w:rsidRDefault="00F42D53" w:rsidP="00703F67">
            <w:r w:rsidRPr="00730B1E">
              <w:t>Chorvatsko</w:t>
            </w:r>
          </w:p>
        </w:tc>
        <w:tc>
          <w:tcPr>
            <w:tcW w:w="580" w:type="dxa"/>
            <w:noWrap/>
            <w:hideMark/>
          </w:tcPr>
          <w:p w14:paraId="56AFCEDF" w14:textId="77777777" w:rsidR="00F42D53" w:rsidRPr="00730B1E" w:rsidRDefault="00F42D53" w:rsidP="00703F67">
            <w:r w:rsidRPr="00730B1E">
              <w:t>PL</w:t>
            </w:r>
          </w:p>
        </w:tc>
        <w:tc>
          <w:tcPr>
            <w:tcW w:w="1900" w:type="dxa"/>
            <w:noWrap/>
            <w:hideMark/>
          </w:tcPr>
          <w:p w14:paraId="31A02724" w14:textId="77777777" w:rsidR="00F42D53" w:rsidRPr="00730B1E" w:rsidRDefault="00F42D53" w:rsidP="00703F67">
            <w:r w:rsidRPr="00730B1E">
              <w:t>Polsko</w:t>
            </w:r>
          </w:p>
        </w:tc>
      </w:tr>
      <w:tr w:rsidR="00B64E96" w:rsidRPr="00730B1E" w14:paraId="46E9DF17" w14:textId="77777777" w:rsidTr="00703F67">
        <w:trPr>
          <w:trHeight w:val="285"/>
        </w:trPr>
        <w:tc>
          <w:tcPr>
            <w:tcW w:w="580" w:type="dxa"/>
            <w:noWrap/>
            <w:hideMark/>
          </w:tcPr>
          <w:p w14:paraId="701E6A1B" w14:textId="77777777" w:rsidR="00F42D53" w:rsidRPr="00730B1E" w:rsidRDefault="00F42D53" w:rsidP="00703F67">
            <w:r w:rsidRPr="00730B1E">
              <w:t>CZ</w:t>
            </w:r>
          </w:p>
        </w:tc>
        <w:tc>
          <w:tcPr>
            <w:tcW w:w="1900" w:type="dxa"/>
            <w:noWrap/>
            <w:hideMark/>
          </w:tcPr>
          <w:p w14:paraId="59D9731C" w14:textId="77777777" w:rsidR="00F42D53" w:rsidRPr="00730B1E" w:rsidRDefault="00F42D53" w:rsidP="00703F67">
            <w:r w:rsidRPr="00730B1E">
              <w:t>Česká republika</w:t>
            </w:r>
          </w:p>
        </w:tc>
        <w:tc>
          <w:tcPr>
            <w:tcW w:w="460" w:type="dxa"/>
            <w:noWrap/>
            <w:hideMark/>
          </w:tcPr>
          <w:p w14:paraId="0621E932" w14:textId="77777777" w:rsidR="00F42D53" w:rsidRPr="00730B1E" w:rsidRDefault="00F42D53" w:rsidP="00703F67"/>
        </w:tc>
        <w:tc>
          <w:tcPr>
            <w:tcW w:w="580" w:type="dxa"/>
            <w:noWrap/>
            <w:hideMark/>
          </w:tcPr>
          <w:p w14:paraId="5DFBC57B" w14:textId="77777777" w:rsidR="00F42D53" w:rsidRPr="00730B1E" w:rsidRDefault="00F42D53" w:rsidP="00703F67">
            <w:r w:rsidRPr="00730B1E">
              <w:t>HU</w:t>
            </w:r>
          </w:p>
        </w:tc>
        <w:tc>
          <w:tcPr>
            <w:tcW w:w="2396" w:type="dxa"/>
            <w:noWrap/>
            <w:hideMark/>
          </w:tcPr>
          <w:p w14:paraId="1ED3E0DE" w14:textId="77777777" w:rsidR="00F42D53" w:rsidRPr="00730B1E" w:rsidRDefault="00F42D53" w:rsidP="00703F67">
            <w:r w:rsidRPr="00730B1E">
              <w:t>Maďarsko</w:t>
            </w:r>
          </w:p>
        </w:tc>
        <w:tc>
          <w:tcPr>
            <w:tcW w:w="580" w:type="dxa"/>
            <w:noWrap/>
            <w:hideMark/>
          </w:tcPr>
          <w:p w14:paraId="41666EAE" w14:textId="77777777" w:rsidR="00F42D53" w:rsidRPr="00730B1E" w:rsidRDefault="00F42D53" w:rsidP="00703F67">
            <w:r w:rsidRPr="00730B1E">
              <w:t>PT</w:t>
            </w:r>
          </w:p>
        </w:tc>
        <w:tc>
          <w:tcPr>
            <w:tcW w:w="1900" w:type="dxa"/>
            <w:noWrap/>
            <w:hideMark/>
          </w:tcPr>
          <w:p w14:paraId="11B0CE5F" w14:textId="77777777" w:rsidR="00F42D53" w:rsidRPr="00730B1E" w:rsidRDefault="00F42D53" w:rsidP="00703F67">
            <w:r w:rsidRPr="00730B1E">
              <w:t>Portugalsko</w:t>
            </w:r>
          </w:p>
        </w:tc>
      </w:tr>
      <w:tr w:rsidR="00B64E96" w:rsidRPr="00730B1E" w14:paraId="1FA376D0" w14:textId="77777777" w:rsidTr="00703F67">
        <w:trPr>
          <w:trHeight w:val="285"/>
        </w:trPr>
        <w:tc>
          <w:tcPr>
            <w:tcW w:w="580" w:type="dxa"/>
            <w:noWrap/>
            <w:hideMark/>
          </w:tcPr>
          <w:p w14:paraId="15204143" w14:textId="77777777" w:rsidR="00F42D53" w:rsidRPr="00730B1E" w:rsidRDefault="00F42D53" w:rsidP="00703F67">
            <w:r w:rsidRPr="00730B1E">
              <w:t>DE</w:t>
            </w:r>
          </w:p>
        </w:tc>
        <w:tc>
          <w:tcPr>
            <w:tcW w:w="1900" w:type="dxa"/>
            <w:noWrap/>
            <w:hideMark/>
          </w:tcPr>
          <w:p w14:paraId="11745AE5" w14:textId="77777777" w:rsidR="00F42D53" w:rsidRPr="00730B1E" w:rsidRDefault="00F42D53" w:rsidP="00703F67">
            <w:r w:rsidRPr="00730B1E">
              <w:t>Německo</w:t>
            </w:r>
          </w:p>
        </w:tc>
        <w:tc>
          <w:tcPr>
            <w:tcW w:w="460" w:type="dxa"/>
            <w:noWrap/>
            <w:hideMark/>
          </w:tcPr>
          <w:p w14:paraId="37CFB578" w14:textId="77777777" w:rsidR="00F42D53" w:rsidRPr="00730B1E" w:rsidRDefault="00F42D53" w:rsidP="00703F67"/>
        </w:tc>
        <w:tc>
          <w:tcPr>
            <w:tcW w:w="580" w:type="dxa"/>
            <w:noWrap/>
            <w:hideMark/>
          </w:tcPr>
          <w:p w14:paraId="367191DD" w14:textId="77777777" w:rsidR="00F42D53" w:rsidRPr="00730B1E" w:rsidRDefault="00F42D53" w:rsidP="00703F67">
            <w:r w:rsidRPr="00730B1E">
              <w:t>IE</w:t>
            </w:r>
          </w:p>
        </w:tc>
        <w:tc>
          <w:tcPr>
            <w:tcW w:w="2396" w:type="dxa"/>
            <w:noWrap/>
            <w:hideMark/>
          </w:tcPr>
          <w:p w14:paraId="3DF599E3" w14:textId="77777777" w:rsidR="00F42D53" w:rsidRPr="00730B1E" w:rsidRDefault="00F42D53" w:rsidP="00703F67">
            <w:r w:rsidRPr="00730B1E">
              <w:t>Irsko</w:t>
            </w:r>
          </w:p>
        </w:tc>
        <w:tc>
          <w:tcPr>
            <w:tcW w:w="580" w:type="dxa"/>
            <w:noWrap/>
            <w:hideMark/>
          </w:tcPr>
          <w:p w14:paraId="121D61B3" w14:textId="77777777" w:rsidR="00F42D53" w:rsidRPr="00730B1E" w:rsidRDefault="00F42D53" w:rsidP="00703F67">
            <w:r w:rsidRPr="00730B1E">
              <w:t>RO</w:t>
            </w:r>
          </w:p>
        </w:tc>
        <w:tc>
          <w:tcPr>
            <w:tcW w:w="1900" w:type="dxa"/>
            <w:noWrap/>
            <w:hideMark/>
          </w:tcPr>
          <w:p w14:paraId="0C39C767" w14:textId="77777777" w:rsidR="00F42D53" w:rsidRPr="00730B1E" w:rsidRDefault="00F42D53" w:rsidP="00703F67">
            <w:r w:rsidRPr="00730B1E">
              <w:t>Rumunsko</w:t>
            </w:r>
          </w:p>
        </w:tc>
      </w:tr>
      <w:tr w:rsidR="00B64E96" w:rsidRPr="00730B1E" w14:paraId="7036F5AE" w14:textId="77777777" w:rsidTr="00703F67">
        <w:trPr>
          <w:trHeight w:val="285"/>
        </w:trPr>
        <w:tc>
          <w:tcPr>
            <w:tcW w:w="580" w:type="dxa"/>
            <w:noWrap/>
            <w:hideMark/>
          </w:tcPr>
          <w:p w14:paraId="5D11CC79" w14:textId="77777777" w:rsidR="00F42D53" w:rsidRPr="00730B1E" w:rsidRDefault="00F42D53" w:rsidP="00703F67">
            <w:r w:rsidRPr="00730B1E">
              <w:t>DK</w:t>
            </w:r>
          </w:p>
        </w:tc>
        <w:tc>
          <w:tcPr>
            <w:tcW w:w="1900" w:type="dxa"/>
            <w:noWrap/>
            <w:hideMark/>
          </w:tcPr>
          <w:p w14:paraId="0EDE1FAB" w14:textId="77777777" w:rsidR="00F42D53" w:rsidRPr="00730B1E" w:rsidRDefault="00F42D53" w:rsidP="00703F67">
            <w:r w:rsidRPr="00730B1E">
              <w:t>Dánsko</w:t>
            </w:r>
          </w:p>
        </w:tc>
        <w:tc>
          <w:tcPr>
            <w:tcW w:w="460" w:type="dxa"/>
            <w:noWrap/>
            <w:hideMark/>
          </w:tcPr>
          <w:p w14:paraId="7A719133" w14:textId="77777777" w:rsidR="00F42D53" w:rsidRPr="00730B1E" w:rsidRDefault="00F42D53" w:rsidP="00703F67"/>
        </w:tc>
        <w:tc>
          <w:tcPr>
            <w:tcW w:w="580" w:type="dxa"/>
            <w:noWrap/>
            <w:hideMark/>
          </w:tcPr>
          <w:p w14:paraId="71DC4690" w14:textId="77777777" w:rsidR="00F42D53" w:rsidRPr="00730B1E" w:rsidRDefault="00F42D53" w:rsidP="00703F67">
            <w:r w:rsidRPr="00730B1E">
              <w:t>IT</w:t>
            </w:r>
          </w:p>
        </w:tc>
        <w:tc>
          <w:tcPr>
            <w:tcW w:w="2396" w:type="dxa"/>
            <w:noWrap/>
            <w:hideMark/>
          </w:tcPr>
          <w:p w14:paraId="2A8BF807" w14:textId="77777777" w:rsidR="00F42D53" w:rsidRPr="00730B1E" w:rsidRDefault="00F42D53" w:rsidP="00703F67">
            <w:r w:rsidRPr="00730B1E">
              <w:t>Itálie</w:t>
            </w:r>
          </w:p>
        </w:tc>
        <w:tc>
          <w:tcPr>
            <w:tcW w:w="580" w:type="dxa"/>
            <w:noWrap/>
            <w:hideMark/>
          </w:tcPr>
          <w:p w14:paraId="56B6E5CE" w14:textId="77777777" w:rsidR="00F42D53" w:rsidRPr="00730B1E" w:rsidRDefault="00F42D53" w:rsidP="00703F67">
            <w:r w:rsidRPr="00730B1E">
              <w:t>SE</w:t>
            </w:r>
          </w:p>
        </w:tc>
        <w:tc>
          <w:tcPr>
            <w:tcW w:w="1900" w:type="dxa"/>
            <w:noWrap/>
            <w:hideMark/>
          </w:tcPr>
          <w:p w14:paraId="419AF1B1" w14:textId="77777777" w:rsidR="00F42D53" w:rsidRPr="00730B1E" w:rsidRDefault="00F42D53" w:rsidP="00703F67">
            <w:r w:rsidRPr="00730B1E">
              <w:t>Švédsko</w:t>
            </w:r>
          </w:p>
        </w:tc>
      </w:tr>
      <w:tr w:rsidR="00B64E96" w:rsidRPr="00730B1E" w14:paraId="7F8E9D2A" w14:textId="77777777" w:rsidTr="00703F67">
        <w:trPr>
          <w:trHeight w:val="285"/>
        </w:trPr>
        <w:tc>
          <w:tcPr>
            <w:tcW w:w="580" w:type="dxa"/>
            <w:noWrap/>
            <w:hideMark/>
          </w:tcPr>
          <w:p w14:paraId="077C0103" w14:textId="77777777" w:rsidR="00F42D53" w:rsidRPr="00730B1E" w:rsidRDefault="00F42D53" w:rsidP="00703F67">
            <w:r w:rsidRPr="00730B1E">
              <w:t>EE</w:t>
            </w:r>
          </w:p>
        </w:tc>
        <w:tc>
          <w:tcPr>
            <w:tcW w:w="1900" w:type="dxa"/>
            <w:noWrap/>
            <w:hideMark/>
          </w:tcPr>
          <w:p w14:paraId="3B3F79AD" w14:textId="77777777" w:rsidR="00F42D53" w:rsidRPr="00730B1E" w:rsidRDefault="00F42D53" w:rsidP="00703F67">
            <w:r w:rsidRPr="00730B1E">
              <w:t>Estonsko</w:t>
            </w:r>
          </w:p>
        </w:tc>
        <w:tc>
          <w:tcPr>
            <w:tcW w:w="460" w:type="dxa"/>
            <w:noWrap/>
            <w:hideMark/>
          </w:tcPr>
          <w:p w14:paraId="0D2BB46C" w14:textId="77777777" w:rsidR="00F42D53" w:rsidRPr="00730B1E" w:rsidRDefault="00F42D53" w:rsidP="00703F67"/>
        </w:tc>
        <w:tc>
          <w:tcPr>
            <w:tcW w:w="580" w:type="dxa"/>
            <w:noWrap/>
            <w:hideMark/>
          </w:tcPr>
          <w:p w14:paraId="60B54D27" w14:textId="77777777" w:rsidR="00F42D53" w:rsidRPr="00730B1E" w:rsidRDefault="00F42D53" w:rsidP="00703F67">
            <w:r w:rsidRPr="00730B1E">
              <w:t>LT</w:t>
            </w:r>
          </w:p>
        </w:tc>
        <w:tc>
          <w:tcPr>
            <w:tcW w:w="2396" w:type="dxa"/>
            <w:noWrap/>
            <w:hideMark/>
          </w:tcPr>
          <w:p w14:paraId="265DBAAB" w14:textId="77777777" w:rsidR="00F42D53" w:rsidRPr="00730B1E" w:rsidRDefault="00F42D53" w:rsidP="00703F67">
            <w:r w:rsidRPr="00730B1E">
              <w:t>Litva</w:t>
            </w:r>
          </w:p>
        </w:tc>
        <w:tc>
          <w:tcPr>
            <w:tcW w:w="580" w:type="dxa"/>
            <w:noWrap/>
            <w:hideMark/>
          </w:tcPr>
          <w:p w14:paraId="74CF025E" w14:textId="77777777" w:rsidR="00F42D53" w:rsidRPr="00730B1E" w:rsidRDefault="00F42D53" w:rsidP="00703F67">
            <w:r w:rsidRPr="00730B1E">
              <w:t>SK</w:t>
            </w:r>
          </w:p>
        </w:tc>
        <w:tc>
          <w:tcPr>
            <w:tcW w:w="1900" w:type="dxa"/>
            <w:noWrap/>
            <w:hideMark/>
          </w:tcPr>
          <w:p w14:paraId="449ABE98" w14:textId="77777777" w:rsidR="00F42D53" w:rsidRPr="00730B1E" w:rsidRDefault="00F42D53" w:rsidP="00703F67">
            <w:r w:rsidRPr="00730B1E">
              <w:t>Slovensko</w:t>
            </w:r>
          </w:p>
        </w:tc>
      </w:tr>
      <w:tr w:rsidR="00B64E96" w:rsidRPr="00730B1E" w14:paraId="40C339F2" w14:textId="77777777" w:rsidTr="00703F67">
        <w:trPr>
          <w:trHeight w:val="285"/>
        </w:trPr>
        <w:tc>
          <w:tcPr>
            <w:tcW w:w="580" w:type="dxa"/>
            <w:noWrap/>
            <w:hideMark/>
          </w:tcPr>
          <w:p w14:paraId="1D304D32" w14:textId="77777777" w:rsidR="00F42D53" w:rsidRPr="00730B1E" w:rsidRDefault="00F42D53" w:rsidP="00703F67">
            <w:r w:rsidRPr="00730B1E">
              <w:t>EL</w:t>
            </w:r>
          </w:p>
        </w:tc>
        <w:tc>
          <w:tcPr>
            <w:tcW w:w="1900" w:type="dxa"/>
            <w:noWrap/>
            <w:hideMark/>
          </w:tcPr>
          <w:p w14:paraId="610E313B" w14:textId="77777777" w:rsidR="00F42D53" w:rsidRPr="00730B1E" w:rsidRDefault="00F42D53" w:rsidP="00703F67">
            <w:r w:rsidRPr="00730B1E">
              <w:t>Řecko</w:t>
            </w:r>
          </w:p>
        </w:tc>
        <w:tc>
          <w:tcPr>
            <w:tcW w:w="460" w:type="dxa"/>
            <w:noWrap/>
            <w:hideMark/>
          </w:tcPr>
          <w:p w14:paraId="78839BDE" w14:textId="77777777" w:rsidR="00F42D53" w:rsidRPr="00730B1E" w:rsidRDefault="00F42D53" w:rsidP="00703F67"/>
        </w:tc>
        <w:tc>
          <w:tcPr>
            <w:tcW w:w="580" w:type="dxa"/>
            <w:noWrap/>
            <w:hideMark/>
          </w:tcPr>
          <w:p w14:paraId="6BFF8204" w14:textId="77777777" w:rsidR="00F42D53" w:rsidRPr="00730B1E" w:rsidRDefault="00F42D53" w:rsidP="00703F67">
            <w:r w:rsidRPr="00730B1E">
              <w:t>LU</w:t>
            </w:r>
          </w:p>
        </w:tc>
        <w:tc>
          <w:tcPr>
            <w:tcW w:w="2396" w:type="dxa"/>
            <w:noWrap/>
            <w:hideMark/>
          </w:tcPr>
          <w:p w14:paraId="442BC2B9" w14:textId="77777777" w:rsidR="00F42D53" w:rsidRPr="00730B1E" w:rsidRDefault="00F42D53" w:rsidP="00703F67">
            <w:r w:rsidRPr="00730B1E">
              <w:t>Lucembursko</w:t>
            </w:r>
          </w:p>
        </w:tc>
        <w:tc>
          <w:tcPr>
            <w:tcW w:w="580" w:type="dxa"/>
            <w:noWrap/>
            <w:hideMark/>
          </w:tcPr>
          <w:p w14:paraId="5DDA0301" w14:textId="77777777" w:rsidR="00F42D53" w:rsidRPr="00730B1E" w:rsidRDefault="00F42D53" w:rsidP="00703F67">
            <w:r w:rsidRPr="00730B1E">
              <w:t>SI</w:t>
            </w:r>
          </w:p>
        </w:tc>
        <w:tc>
          <w:tcPr>
            <w:tcW w:w="1900" w:type="dxa"/>
            <w:noWrap/>
            <w:hideMark/>
          </w:tcPr>
          <w:p w14:paraId="0FB2285D" w14:textId="77777777" w:rsidR="00F42D53" w:rsidRPr="00730B1E" w:rsidRDefault="00F42D53" w:rsidP="00703F67">
            <w:r w:rsidRPr="00730B1E">
              <w:t>Slovinsko</w:t>
            </w:r>
          </w:p>
        </w:tc>
      </w:tr>
    </w:tbl>
    <w:p w14:paraId="1C92E1AB" w14:textId="77777777" w:rsidR="00F42D53" w:rsidRPr="00730B1E" w:rsidRDefault="00F42D53" w:rsidP="00F42D53">
      <w:pPr>
        <w:pStyle w:val="Nadpis3"/>
        <w:numPr>
          <w:ilvl w:val="2"/>
          <w:numId w:val="1"/>
        </w:numPr>
        <w:rPr>
          <w:color w:val="auto"/>
        </w:rPr>
      </w:pPr>
      <w:bookmarkStart w:id="1784" w:name="_Toc144104444"/>
      <w:bookmarkStart w:id="1785" w:name="_Toc169250907"/>
      <w:bookmarkStart w:id="1786" w:name="_Toc174080943"/>
      <w:bookmarkEnd w:id="1783"/>
      <w:r w:rsidRPr="00730B1E">
        <w:rPr>
          <w:color w:val="auto"/>
          <w:lang w:eastAsia="cs-CZ"/>
        </w:rPr>
        <w:t>Počet soudců</w:t>
      </w:r>
      <w:bookmarkEnd w:id="1784"/>
      <w:bookmarkEnd w:id="1785"/>
      <w:bookmarkEnd w:id="1786"/>
    </w:p>
    <w:p w14:paraId="49E80E0D" w14:textId="0EC284E8" w:rsidR="00F42D53" w:rsidRPr="00730B1E" w:rsidRDefault="00F42D53" w:rsidP="00F42D53">
      <w:pPr>
        <w:pStyle w:val="OdstavecASR"/>
      </w:pPr>
      <w:r w:rsidRPr="00730B1E">
        <w:t xml:space="preserve"> Počty soudců jsou jedním z významných ukazatelů dostupnosti spravedlnosti pro občany i podnikatele</w:t>
      </w:r>
      <w:r w:rsidR="00621533" w:rsidRPr="00730B1E">
        <w:t>; na druhou stranu mohou odrážet i odlišnou efektivitu nastavení organizace práce justičních orgánů v jednotlivých státech</w:t>
      </w:r>
      <w:r w:rsidRPr="00730B1E">
        <w:t>. Letošní mezinárodní srovnání ponecháváme v podobě základního sloupcového grafu, protože se jedná o ukazatel, který je velmi stabilní a mění se jen pozvolna.</w:t>
      </w:r>
    </w:p>
    <w:p w14:paraId="666FD3A6" w14:textId="73CD81DF" w:rsidR="00F42D53" w:rsidRPr="00730B1E" w:rsidRDefault="00F42D53" w:rsidP="00F42D53">
      <w:pPr>
        <w:pStyle w:val="Podnadpis"/>
        <w:numPr>
          <w:ilvl w:val="0"/>
          <w:numId w:val="0"/>
        </w:numPr>
        <w:rPr>
          <w:color w:val="auto"/>
        </w:rPr>
      </w:pPr>
      <w:bookmarkStart w:id="1787" w:name="_Toc144104225"/>
      <w:bookmarkStart w:id="1788" w:name="_Toc169251038"/>
      <w:bookmarkStart w:id="1789" w:name="_Toc174080724"/>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119</w:t>
      </w:r>
      <w:r w:rsidRPr="00730B1E">
        <w:rPr>
          <w:color w:val="auto"/>
        </w:rPr>
        <w:fldChar w:fldCharType="end"/>
      </w:r>
      <w:r w:rsidRPr="00730B1E">
        <w:rPr>
          <w:color w:val="auto"/>
        </w:rPr>
        <w:t>: Počet soudců připadající na 100.000 obyvatel v zemích EU, 202</w:t>
      </w:r>
      <w:bookmarkEnd w:id="1787"/>
      <w:r w:rsidRPr="00730B1E">
        <w:rPr>
          <w:color w:val="auto"/>
        </w:rPr>
        <w:t>1</w:t>
      </w:r>
      <w:bookmarkEnd w:id="1788"/>
      <w:bookmarkEnd w:id="1789"/>
    </w:p>
    <w:p w14:paraId="6B1779B8" w14:textId="77777777" w:rsidR="00F42D53" w:rsidRPr="00730B1E" w:rsidRDefault="00F42D53" w:rsidP="00F42D53"/>
    <w:p w14:paraId="7EA56FB1" w14:textId="77777777" w:rsidR="00F42D53" w:rsidRPr="00730B1E" w:rsidRDefault="00F42D53" w:rsidP="00F42D53">
      <w:r w:rsidRPr="00730B1E">
        <w:rPr>
          <w:noProof/>
          <w:lang w:eastAsia="cs-CZ"/>
        </w:rPr>
        <w:drawing>
          <wp:inline distT="0" distB="0" distL="0" distR="0" wp14:anchorId="2C0CD69D" wp14:editId="03920D7F">
            <wp:extent cx="5760720" cy="2095500"/>
            <wp:effectExtent l="0" t="0" r="0"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760720" cy="2095500"/>
                    </a:xfrm>
                    <a:prstGeom prst="rect">
                      <a:avLst/>
                    </a:prstGeom>
                  </pic:spPr>
                </pic:pic>
              </a:graphicData>
            </a:graphic>
          </wp:inline>
        </w:drawing>
      </w:r>
    </w:p>
    <w:p w14:paraId="2BBAD037" w14:textId="77777777" w:rsidR="00F42D53" w:rsidRPr="00730B1E" w:rsidRDefault="00F42D53" w:rsidP="00F42D53">
      <w:pPr>
        <w:pStyle w:val="OdstavecASR"/>
      </w:pPr>
      <w:r w:rsidRPr="00730B1E">
        <w:rPr>
          <w:i/>
          <w:iCs/>
          <w:sz w:val="18"/>
          <w:szCs w:val="18"/>
        </w:rPr>
        <w:t>Zdroj: Evropská komise, Srovnávací přehled EU o soudnictví 2023, soudci Fig(35); seřazeno podle roku 2021. Maximum = 42,4 Chorvatsko (HR), průměr EU = 22,0, medián EU = 24,1 Rumunsko (RO), minimum = 3,3 Irsko (IE) / Česká republika = 28,4 soudce na 100.000 obyvatel.</w:t>
      </w:r>
    </w:p>
    <w:p w14:paraId="38D28BA6" w14:textId="2BA2D9B9" w:rsidR="00F42D53" w:rsidRPr="00730B1E" w:rsidRDefault="00F42D53" w:rsidP="00F42D53">
      <w:pPr>
        <w:pStyle w:val="OdstavecASR"/>
      </w:pPr>
      <w:r w:rsidRPr="00730B1E">
        <w:lastRenderedPageBreak/>
        <w:t xml:space="preserve">Počty advokátů v zemích EU dlouhodobě rostou, což jsme demonstrovali v poslední zprávě na vývoji za roky 2010 až 2020 za celou EU. Nyní nabízíme vývoj po jednotlivých členských státech, a to jako % změnu počtu advokátů na 100 tis. obyvatel v roce 2021 vs. 2010: </w:t>
      </w:r>
    </w:p>
    <w:p w14:paraId="00442597" w14:textId="3491AEDA" w:rsidR="00F42D53" w:rsidRPr="00730B1E" w:rsidRDefault="00F42D53" w:rsidP="00F42D53">
      <w:pPr>
        <w:pStyle w:val="Podnadpis"/>
        <w:numPr>
          <w:ilvl w:val="0"/>
          <w:numId w:val="0"/>
        </w:numPr>
        <w:jc w:val="both"/>
        <w:rPr>
          <w:color w:val="auto"/>
        </w:rPr>
      </w:pPr>
      <w:bookmarkStart w:id="1790" w:name="_Toc144104227"/>
      <w:bookmarkStart w:id="1791" w:name="_Toc169251039"/>
      <w:bookmarkStart w:id="1792" w:name="_Toc174080725"/>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120</w:t>
      </w:r>
      <w:r w:rsidRPr="00730B1E">
        <w:rPr>
          <w:color w:val="auto"/>
        </w:rPr>
        <w:fldChar w:fldCharType="end"/>
      </w:r>
      <w:r w:rsidRPr="00730B1E">
        <w:rPr>
          <w:color w:val="auto"/>
        </w:rPr>
        <w:t>: Počet advokátů na 100 000 obyvatel v zemích EU, % změna 202</w:t>
      </w:r>
      <w:bookmarkEnd w:id="1790"/>
      <w:r w:rsidRPr="00730B1E">
        <w:rPr>
          <w:color w:val="auto"/>
        </w:rPr>
        <w:t>1 vs. 2010</w:t>
      </w:r>
      <w:bookmarkEnd w:id="1791"/>
      <w:bookmarkEnd w:id="1792"/>
    </w:p>
    <w:p w14:paraId="5162D3DE" w14:textId="77777777" w:rsidR="00F42D53" w:rsidRPr="00730B1E" w:rsidRDefault="00F42D53" w:rsidP="00F42D53"/>
    <w:p w14:paraId="5766C676" w14:textId="77777777" w:rsidR="00F42D53" w:rsidRPr="00730B1E" w:rsidRDefault="00F42D53" w:rsidP="00F42D53">
      <w:r w:rsidRPr="00730B1E">
        <w:rPr>
          <w:noProof/>
          <w:lang w:eastAsia="cs-CZ"/>
        </w:rPr>
        <w:drawing>
          <wp:inline distT="0" distB="0" distL="0" distR="0" wp14:anchorId="151C670E" wp14:editId="7DAA341D">
            <wp:extent cx="5760000" cy="3735407"/>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760000" cy="3735407"/>
                    </a:xfrm>
                    <a:prstGeom prst="rect">
                      <a:avLst/>
                    </a:prstGeom>
                    <a:noFill/>
                  </pic:spPr>
                </pic:pic>
              </a:graphicData>
            </a:graphic>
          </wp:inline>
        </w:drawing>
      </w:r>
    </w:p>
    <w:p w14:paraId="1CD88ACA" w14:textId="77777777" w:rsidR="00F42D53" w:rsidRPr="00730B1E" w:rsidRDefault="00F42D53" w:rsidP="00F42D53">
      <w:pPr>
        <w:rPr>
          <w:i/>
          <w:iCs/>
          <w:sz w:val="18"/>
          <w:szCs w:val="18"/>
        </w:rPr>
      </w:pPr>
      <w:r w:rsidRPr="00730B1E">
        <w:rPr>
          <w:i/>
          <w:iCs/>
          <w:sz w:val="18"/>
          <w:szCs w:val="18"/>
        </w:rPr>
        <w:t>Zdroj: Evropská komise, Srovnávací přehled EU o soudnictví 2023, soudci Fig(37); zpracování vlastní</w:t>
      </w:r>
    </w:p>
    <w:p w14:paraId="4A37EB7A" w14:textId="77777777" w:rsidR="00F42D53" w:rsidRPr="00730B1E" w:rsidRDefault="00F42D53" w:rsidP="00F42D53">
      <w:pPr>
        <w:pStyle w:val="Nadpis3"/>
        <w:numPr>
          <w:ilvl w:val="2"/>
          <w:numId w:val="1"/>
        </w:numPr>
        <w:rPr>
          <w:color w:val="auto"/>
        </w:rPr>
      </w:pPr>
      <w:bookmarkStart w:id="1793" w:name="_Toc144104446"/>
      <w:bookmarkStart w:id="1794" w:name="_Toc169250908"/>
      <w:bookmarkStart w:id="1795" w:name="_Toc174080944"/>
      <w:r w:rsidRPr="00730B1E">
        <w:rPr>
          <w:color w:val="auto"/>
          <w:lang w:eastAsia="cs-CZ"/>
        </w:rPr>
        <w:t>Účinnost soudní ochrany</w:t>
      </w:r>
      <w:bookmarkEnd w:id="1793"/>
      <w:bookmarkEnd w:id="1794"/>
      <w:bookmarkEnd w:id="1795"/>
    </w:p>
    <w:p w14:paraId="5E51825B" w14:textId="38265D6F" w:rsidR="00F42D53" w:rsidRPr="00730B1E" w:rsidRDefault="00F42D53" w:rsidP="00F42D53">
      <w:pPr>
        <w:pStyle w:val="OdstavecASR"/>
      </w:pPr>
      <w:r w:rsidRPr="00730B1E">
        <w:t>Vedle dostupnosti spravedlnosti pro občany je neméně důležité, zda daná země svým občanům zajišťuje také účinnou soudní ochranu, tedy zda občané a podnikatelé svému soudnímu systému důvěřují. V minulé zprávě jsme se vyjádřili, že bude zajímavé podívat se na vývoj důvěry v soudní systém v dalším roce vzhledem k mnoha dramatickým událostem, ke kterým v roce 2022 došlo. Níže tedy prezentujeme data z Eurobarometru FL519, který provedla agentura Ipsos European Public Affairs ve všech členských zemích EU ve dnech 16. – 23.</w:t>
      </w:r>
      <w:r w:rsidR="00603BD1" w:rsidRPr="00730B1E">
        <w:t xml:space="preserve"> </w:t>
      </w:r>
      <w:r w:rsidRPr="00730B1E">
        <w:t>1.</w:t>
      </w:r>
      <w:r w:rsidR="00603BD1" w:rsidRPr="00730B1E">
        <w:t xml:space="preserve"> </w:t>
      </w:r>
      <w:r w:rsidRPr="00730B1E">
        <w:t>2023. Základní informací je, že důvěra veřejnosti v nezávislost soudních systémů zůstává i po roce 2022 v podstatě neměnná (vyznačeno trojúhelníky v legendě grafu, číslovka vyjadřuje změnu v procentních bodech).</w:t>
      </w:r>
    </w:p>
    <w:p w14:paraId="7802D17E" w14:textId="2BED88C5" w:rsidR="00F42D53" w:rsidRPr="00730B1E" w:rsidRDefault="00F42D53" w:rsidP="00F42D53">
      <w:pPr>
        <w:pStyle w:val="Podnadpis"/>
        <w:numPr>
          <w:ilvl w:val="0"/>
          <w:numId w:val="0"/>
        </w:numPr>
        <w:rPr>
          <w:color w:val="auto"/>
        </w:rPr>
      </w:pPr>
      <w:bookmarkStart w:id="1796" w:name="_Toc144104232"/>
      <w:bookmarkStart w:id="1797" w:name="_Toc169251040"/>
      <w:bookmarkStart w:id="1798" w:name="_Toc174080726"/>
      <w:bookmarkStart w:id="1799" w:name="_Hlk160533431"/>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121</w:t>
      </w:r>
      <w:r w:rsidRPr="00730B1E">
        <w:rPr>
          <w:color w:val="auto"/>
        </w:rPr>
        <w:fldChar w:fldCharType="end"/>
      </w:r>
      <w:r w:rsidRPr="00730B1E">
        <w:rPr>
          <w:color w:val="auto"/>
        </w:rPr>
        <w:t>: Vnímaná nezávislost soudů a soudců v zemích EU celkem (*), 202</w:t>
      </w:r>
      <w:bookmarkEnd w:id="1796"/>
      <w:r w:rsidRPr="00730B1E">
        <w:rPr>
          <w:color w:val="auto"/>
        </w:rPr>
        <w:t>3</w:t>
      </w:r>
      <w:bookmarkEnd w:id="1797"/>
      <w:bookmarkEnd w:id="1798"/>
    </w:p>
    <w:bookmarkEnd w:id="1799"/>
    <w:p w14:paraId="1F2BD951" w14:textId="77777777" w:rsidR="00F42D53" w:rsidRPr="00730B1E" w:rsidRDefault="00F42D53" w:rsidP="00F42D53">
      <w:pPr>
        <w:pStyle w:val="OdstavecASR"/>
      </w:pPr>
      <w:r w:rsidRPr="00730B1E">
        <w:rPr>
          <w:noProof/>
          <w:lang w:eastAsia="cs-CZ"/>
        </w:rPr>
        <w:drawing>
          <wp:inline distT="0" distB="0" distL="0" distR="0" wp14:anchorId="059E26F0" wp14:editId="1F4875F8">
            <wp:extent cx="3969099" cy="1671730"/>
            <wp:effectExtent l="0" t="0" r="0" b="508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3998070" cy="1683932"/>
                    </a:xfrm>
                    <a:prstGeom prst="rect">
                      <a:avLst/>
                    </a:prstGeom>
                  </pic:spPr>
                </pic:pic>
              </a:graphicData>
            </a:graphic>
          </wp:inline>
        </w:drawing>
      </w:r>
    </w:p>
    <w:p w14:paraId="703CCCB8" w14:textId="033DD0CA" w:rsidR="00F42D53" w:rsidRPr="00730B1E" w:rsidRDefault="00F42D53" w:rsidP="00F42D53">
      <w:pPr>
        <w:rPr>
          <w:i/>
          <w:iCs/>
          <w:sz w:val="18"/>
          <w:szCs w:val="18"/>
        </w:rPr>
      </w:pPr>
      <w:bookmarkStart w:id="1800" w:name="_Toc75952297"/>
      <w:bookmarkStart w:id="1801" w:name="_Toc106106842"/>
      <w:bookmarkStart w:id="1802" w:name="_Toc106194295"/>
      <w:r w:rsidRPr="00730B1E">
        <w:rPr>
          <w:i/>
          <w:iCs/>
          <w:sz w:val="18"/>
          <w:szCs w:val="18"/>
        </w:rPr>
        <w:t>Zdroj: Průzkum Eurobarometr FL519, který se uskutečnil v období od 16. do 23.</w:t>
      </w:r>
      <w:r w:rsidR="008E33E0">
        <w:rPr>
          <w:i/>
          <w:iCs/>
          <w:sz w:val="18"/>
          <w:szCs w:val="18"/>
        </w:rPr>
        <w:t> </w:t>
      </w:r>
      <w:r w:rsidRPr="00730B1E">
        <w:rPr>
          <w:i/>
          <w:iCs/>
          <w:sz w:val="18"/>
          <w:szCs w:val="18"/>
        </w:rPr>
        <w:t>ledna 2023, přetisknutý graf, 25 876 respondentů z 27 států EU, změna je vs. Eurobarometr FL503 ze 17. až 24.</w:t>
      </w:r>
      <w:r w:rsidR="00603BD1" w:rsidRPr="00730B1E">
        <w:rPr>
          <w:i/>
          <w:iCs/>
          <w:sz w:val="18"/>
          <w:szCs w:val="18"/>
        </w:rPr>
        <w:t xml:space="preserve"> </w:t>
      </w:r>
      <w:r w:rsidRPr="00730B1E">
        <w:rPr>
          <w:i/>
          <w:iCs/>
          <w:sz w:val="18"/>
          <w:szCs w:val="18"/>
        </w:rPr>
        <w:t>1.</w:t>
      </w:r>
      <w:r w:rsidR="00603BD1" w:rsidRPr="00730B1E">
        <w:rPr>
          <w:i/>
          <w:iCs/>
          <w:sz w:val="18"/>
          <w:szCs w:val="18"/>
        </w:rPr>
        <w:t xml:space="preserve"> </w:t>
      </w:r>
      <w:r w:rsidRPr="00730B1E">
        <w:rPr>
          <w:i/>
          <w:iCs/>
          <w:sz w:val="18"/>
          <w:szCs w:val="18"/>
        </w:rPr>
        <w:t>2022. Jedná se o průměrné hodnoty za EU 27 vážené podle velikosti populace ve věku 15+</w:t>
      </w:r>
    </w:p>
    <w:p w14:paraId="678695F1" w14:textId="77777777" w:rsidR="00F42D53" w:rsidRPr="00730B1E" w:rsidRDefault="00F42D53" w:rsidP="00F42D53">
      <w:pPr>
        <w:rPr>
          <w:i/>
          <w:iCs/>
          <w:sz w:val="18"/>
          <w:szCs w:val="18"/>
        </w:rPr>
      </w:pPr>
      <w:r w:rsidRPr="00730B1E">
        <w:rPr>
          <w:i/>
          <w:iCs/>
          <w:sz w:val="18"/>
          <w:szCs w:val="18"/>
        </w:rPr>
        <w:t>(*) Odpověď na otázku: „Jak byste na základě toho, co je vám známo, ohodnotili systém soudnictví (ve vaší zemi), pokud jde o nezávislost soudů a soudců? Řekli byste, že je velmi dobrá, poměrně dobrá, poměrně špatná, nebo velmi špatná?“</w:t>
      </w:r>
    </w:p>
    <w:p w14:paraId="31333C5B" w14:textId="127AC0E2" w:rsidR="00F42D53" w:rsidRPr="00730B1E" w:rsidRDefault="00F42D53" w:rsidP="00F42D53">
      <w:r w:rsidRPr="00730B1E">
        <w:rPr>
          <w:i/>
          <w:iCs/>
          <w:sz w:val="18"/>
          <w:szCs w:val="18"/>
        </w:rPr>
        <w:t xml:space="preserve">Detailní informace viz </w:t>
      </w:r>
      <w:hyperlink r:id="rId149" w:history="1">
        <w:r w:rsidRPr="00730B1E">
          <w:rPr>
            <w:rStyle w:val="Hypertextovodkaz"/>
            <w:color w:val="auto"/>
            <w:sz w:val="18"/>
            <w:szCs w:val="18"/>
          </w:rPr>
          <w:t>https://europa.eu/eurobarometer/surveys/detail/2667</w:t>
        </w:r>
      </w:hyperlink>
    </w:p>
    <w:p w14:paraId="159F47ED" w14:textId="77777777" w:rsidR="00F42D53" w:rsidRPr="00730B1E" w:rsidRDefault="00F42D53" w:rsidP="00F42D53">
      <w:pPr>
        <w:tabs>
          <w:tab w:val="left" w:pos="5850"/>
        </w:tabs>
        <w:rPr>
          <w:i/>
          <w:iCs/>
          <w:sz w:val="18"/>
          <w:szCs w:val="18"/>
        </w:rPr>
      </w:pPr>
    </w:p>
    <w:p w14:paraId="1A9712E9" w14:textId="211F5457" w:rsidR="00F42D53" w:rsidRPr="00730B1E" w:rsidRDefault="00F42D53" w:rsidP="00F42D53">
      <w:pPr>
        <w:pStyle w:val="OdstavecASR"/>
        <w:tabs>
          <w:tab w:val="left" w:pos="3261"/>
          <w:tab w:val="left" w:pos="6379"/>
          <w:tab w:val="left" w:pos="8789"/>
        </w:tabs>
      </w:pPr>
      <w:r w:rsidRPr="00730B1E">
        <w:t>Opět také můžeme konstatovat, že pro celkové hodnocení je nejdůležitější podíl občanů hodnotících nezávislost soudnictví ve své zemi jako „dostatečně dobrou“, přičemž ke krajnímu hodnocení (pozitivnímu nebo negativnímu) se přiklání necelá čtvrtina respondentů. To je velký posun ve srovnání s výsledky Eurobarometru FL385 z října 2013, kdy se sice pokládaly poněkud jinak formulované otázky</w:t>
      </w:r>
      <w:r w:rsidRPr="00730B1E">
        <w:rPr>
          <w:rStyle w:val="Znakapoznpodarou"/>
        </w:rPr>
        <w:footnoteReference w:id="16"/>
      </w:r>
      <w:r w:rsidRPr="00730B1E">
        <w:t>, nicméně pro účely naše</w:t>
      </w:r>
      <w:r w:rsidR="00603BD1" w:rsidRPr="00730B1E">
        <w:t>ho</w:t>
      </w:r>
      <w:r w:rsidRPr="00730B1E">
        <w:t xml:space="preserve"> rychlého porovnání mohou být zajímavé také (EU celkem 2013): „Tend to trust “: 53 %, „Tend not to trust “: 43 %, „Don’t know “: 4 %. Na první pohled je zřejmé, že hlavním pohybem je přesun</w:t>
      </w:r>
      <w:r w:rsidR="00134A55" w:rsidRPr="00730B1E">
        <w:t xml:space="preserve"> od negativního hodnocení k odpovědi "Nevím"</w:t>
      </w:r>
      <w:r w:rsidR="00603BD1" w:rsidRPr="00730B1E">
        <w:t>.</w:t>
      </w:r>
      <w:r w:rsidR="00134A55" w:rsidRPr="00730B1E">
        <w:t xml:space="preserve"> </w:t>
      </w:r>
      <w:r w:rsidRPr="00730B1E">
        <w:t>Došlo k němu u 23 zemí z 27, u některých z nich velmi výrazně (HU, LV, LU).</w:t>
      </w:r>
    </w:p>
    <w:p w14:paraId="30BD36E2" w14:textId="77777777" w:rsidR="00F42D53" w:rsidRPr="00730B1E" w:rsidRDefault="00F42D53" w:rsidP="00F42D53">
      <w:pPr>
        <w:pStyle w:val="OdstavecASR"/>
      </w:pPr>
      <w:r w:rsidRPr="00730B1E">
        <w:t>Data dle sociodemografického pohledu se celkově změnila jen málo, a tak zmíníme pouze základní trendy za celou EU po roce 2022:</w:t>
      </w:r>
    </w:p>
    <w:p w14:paraId="65EF4574" w14:textId="6EF3DCAD" w:rsidR="00F42D53" w:rsidRPr="00730B1E" w:rsidRDefault="00F42D53" w:rsidP="00A94F8F">
      <w:pPr>
        <w:pStyle w:val="OdstavecASR"/>
        <w:numPr>
          <w:ilvl w:val="0"/>
          <w:numId w:val="24"/>
        </w:numPr>
        <w:spacing w:before="0" w:after="0"/>
      </w:pPr>
      <w:r w:rsidRPr="00730B1E">
        <w:t>muži mají vyšší tendenci k hodnocení „very good“ než ženy (13 % vs. 9 %)</w:t>
      </w:r>
    </w:p>
    <w:p w14:paraId="27486CAD" w14:textId="77777777" w:rsidR="00F42D53" w:rsidRPr="00730B1E" w:rsidRDefault="00F42D53" w:rsidP="00A94F8F">
      <w:pPr>
        <w:pStyle w:val="OdstavecASR"/>
        <w:numPr>
          <w:ilvl w:val="0"/>
          <w:numId w:val="24"/>
        </w:numPr>
        <w:spacing w:before="0" w:after="0"/>
      </w:pPr>
      <w:r w:rsidRPr="00730B1E">
        <w:t>také mladší respondenti se kloní více ke kladnému hodnocení “total good“ než starší</w:t>
      </w:r>
    </w:p>
    <w:p w14:paraId="207DF427" w14:textId="77777777" w:rsidR="00F42D53" w:rsidRPr="00730B1E" w:rsidRDefault="00F42D53" w:rsidP="00A94F8F">
      <w:pPr>
        <w:pStyle w:val="OdstavecASR"/>
        <w:numPr>
          <w:ilvl w:val="1"/>
          <w:numId w:val="24"/>
        </w:numPr>
        <w:tabs>
          <w:tab w:val="left" w:pos="3119"/>
        </w:tabs>
        <w:spacing w:before="0" w:after="0"/>
        <w:rPr>
          <w:szCs w:val="24"/>
        </w:rPr>
      </w:pPr>
      <w:r w:rsidRPr="00730B1E">
        <w:rPr>
          <w:szCs w:val="24"/>
        </w:rPr>
        <w:t xml:space="preserve">věk 15–24 let: </w:t>
      </w:r>
      <w:r w:rsidRPr="00730B1E">
        <w:rPr>
          <w:szCs w:val="24"/>
        </w:rPr>
        <w:tab/>
        <w:t>59 %</w:t>
      </w:r>
    </w:p>
    <w:p w14:paraId="1B0C44B3" w14:textId="77777777" w:rsidR="00F42D53" w:rsidRPr="00730B1E" w:rsidRDefault="00F42D53" w:rsidP="00A94F8F">
      <w:pPr>
        <w:pStyle w:val="OdstavecASR"/>
        <w:numPr>
          <w:ilvl w:val="1"/>
          <w:numId w:val="24"/>
        </w:numPr>
        <w:tabs>
          <w:tab w:val="left" w:pos="3119"/>
        </w:tabs>
        <w:spacing w:before="0" w:after="0"/>
        <w:rPr>
          <w:szCs w:val="24"/>
        </w:rPr>
      </w:pPr>
      <w:r w:rsidRPr="00730B1E">
        <w:rPr>
          <w:szCs w:val="24"/>
        </w:rPr>
        <w:t xml:space="preserve">věk 40–54 let: </w:t>
      </w:r>
      <w:r w:rsidRPr="00730B1E">
        <w:rPr>
          <w:szCs w:val="24"/>
        </w:rPr>
        <w:tab/>
        <w:t>52 %</w:t>
      </w:r>
    </w:p>
    <w:p w14:paraId="40B45A46" w14:textId="77777777" w:rsidR="00F42D53" w:rsidRPr="00730B1E" w:rsidRDefault="00F42D53" w:rsidP="00A94F8F">
      <w:pPr>
        <w:pStyle w:val="OdstavecASR"/>
        <w:numPr>
          <w:ilvl w:val="1"/>
          <w:numId w:val="24"/>
        </w:numPr>
        <w:tabs>
          <w:tab w:val="left" w:pos="3119"/>
        </w:tabs>
        <w:spacing w:before="0" w:after="0"/>
        <w:rPr>
          <w:szCs w:val="24"/>
        </w:rPr>
      </w:pPr>
      <w:r w:rsidRPr="00730B1E">
        <w:rPr>
          <w:szCs w:val="24"/>
        </w:rPr>
        <w:t>věk 55 a více let:</w:t>
      </w:r>
      <w:r w:rsidRPr="00730B1E">
        <w:rPr>
          <w:szCs w:val="24"/>
        </w:rPr>
        <w:tab/>
        <w:t>51 %</w:t>
      </w:r>
    </w:p>
    <w:p w14:paraId="61F801B3" w14:textId="73619EE4" w:rsidR="00F42D53" w:rsidRPr="00730B1E" w:rsidRDefault="00F42D53" w:rsidP="00A94F8F">
      <w:pPr>
        <w:pStyle w:val="OdstavecASR"/>
        <w:numPr>
          <w:ilvl w:val="0"/>
          <w:numId w:val="24"/>
        </w:numPr>
        <w:tabs>
          <w:tab w:val="left" w:pos="3119"/>
        </w:tabs>
        <w:spacing w:before="0" w:after="0"/>
      </w:pPr>
      <w:r w:rsidRPr="00730B1E">
        <w:t>nejpozitivněji hodnotí nezávislost justice zaměstnanci</w:t>
      </w:r>
      <w:r w:rsidRPr="00730B1E">
        <w:rPr>
          <w:rStyle w:val="Znakapoznpodarou"/>
        </w:rPr>
        <w:footnoteReference w:id="17"/>
      </w:r>
      <w:r w:rsidRPr="00730B1E">
        <w:t>:</w:t>
      </w:r>
    </w:p>
    <w:p w14:paraId="02661ACE" w14:textId="1D6A3963" w:rsidR="00F42D53" w:rsidRPr="00730B1E" w:rsidRDefault="00F42D53" w:rsidP="00A94F8F">
      <w:pPr>
        <w:pStyle w:val="OdstavecASR"/>
        <w:numPr>
          <w:ilvl w:val="1"/>
          <w:numId w:val="24"/>
        </w:numPr>
        <w:tabs>
          <w:tab w:val="left" w:pos="3119"/>
        </w:tabs>
        <w:spacing w:before="0" w:after="0"/>
        <w:rPr>
          <w:szCs w:val="24"/>
        </w:rPr>
      </w:pPr>
      <w:r w:rsidRPr="00730B1E">
        <w:rPr>
          <w:szCs w:val="24"/>
        </w:rPr>
        <w:t xml:space="preserve">zaměstnanci: </w:t>
      </w:r>
      <w:r w:rsidRPr="00730B1E">
        <w:rPr>
          <w:szCs w:val="24"/>
        </w:rPr>
        <w:tab/>
        <w:t>58 % („</w:t>
      </w:r>
      <w:r w:rsidRPr="00730B1E">
        <w:rPr>
          <w:szCs w:val="24"/>
          <w:lang w:val="en-GB"/>
        </w:rPr>
        <w:t>total good“ = „very good“ + „fairly good</w:t>
      </w:r>
      <w:r w:rsidRPr="00730B1E">
        <w:rPr>
          <w:szCs w:val="24"/>
        </w:rPr>
        <w:t>“)</w:t>
      </w:r>
    </w:p>
    <w:p w14:paraId="1A06AD79" w14:textId="77777777" w:rsidR="00F42D53" w:rsidRPr="00730B1E" w:rsidRDefault="00F42D53" w:rsidP="00A94F8F">
      <w:pPr>
        <w:pStyle w:val="OdstavecASR"/>
        <w:numPr>
          <w:ilvl w:val="0"/>
          <w:numId w:val="24"/>
        </w:numPr>
        <w:tabs>
          <w:tab w:val="left" w:pos="3119"/>
        </w:tabs>
        <w:spacing w:before="0" w:after="0"/>
      </w:pPr>
      <w:r w:rsidRPr="00730B1E">
        <w:t>největší změnou byl pokles kladného hodnocení „fairly good“ u respondentů, kteří byli v posledních dvou letech zapojeni do sporu projednávaného u soudu (ze 40 % na 35 %).</w:t>
      </w:r>
    </w:p>
    <w:p w14:paraId="0D39C1C5" w14:textId="77777777" w:rsidR="00F42D53" w:rsidRPr="00730B1E" w:rsidRDefault="00F42D53" w:rsidP="00F42D53">
      <w:pPr>
        <w:pStyle w:val="OdstavecASR"/>
        <w:widowControl w:val="0"/>
      </w:pPr>
      <w:r w:rsidRPr="00730B1E">
        <w:t>Sociodemografické grafy nahrazujeme detailnějším grafem všech 27 členských zemí EU, který jsme zatím neuveřejňovali</w:t>
      </w:r>
      <w:r w:rsidR="004A207E" w:rsidRPr="00730B1E">
        <w:t>,</w:t>
      </w:r>
      <w:r w:rsidRPr="00730B1E">
        <w:t xml:space="preserve"> a dodáváme, že Finsko a Dánsko se na prvních dvou příčkách umísťují dlouhodobě. Do tabulkových přehledů našich sousedů jsme nově přidali data za rok 2013. </w:t>
      </w:r>
    </w:p>
    <w:p w14:paraId="7BCB48A0" w14:textId="4BA11CE0" w:rsidR="00F42D53" w:rsidRPr="00730B1E" w:rsidRDefault="00F42D53" w:rsidP="00F42D53">
      <w:pPr>
        <w:pStyle w:val="Podnadpis"/>
        <w:numPr>
          <w:ilvl w:val="0"/>
          <w:numId w:val="0"/>
        </w:numPr>
        <w:rPr>
          <w:color w:val="auto"/>
        </w:rPr>
      </w:pPr>
      <w:bookmarkStart w:id="1803" w:name="_Toc169251041"/>
      <w:bookmarkStart w:id="1804" w:name="_Toc174080727"/>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122</w:t>
      </w:r>
      <w:r w:rsidRPr="00730B1E">
        <w:rPr>
          <w:color w:val="auto"/>
        </w:rPr>
        <w:fldChar w:fldCharType="end"/>
      </w:r>
      <w:r w:rsidRPr="00730B1E">
        <w:rPr>
          <w:color w:val="auto"/>
        </w:rPr>
        <w:t>: Vnímaná nezávislost soudů a soudců v zemích EU (*), 2023</w:t>
      </w:r>
      <w:bookmarkEnd w:id="1803"/>
      <w:bookmarkEnd w:id="1804"/>
    </w:p>
    <w:p w14:paraId="40AE2CD1" w14:textId="77777777" w:rsidR="00F42D53" w:rsidRPr="00730B1E" w:rsidRDefault="00F42D53" w:rsidP="00F42D53">
      <w:pPr>
        <w:pStyle w:val="OdstavecASR"/>
      </w:pPr>
      <w:r w:rsidRPr="00730B1E">
        <w:rPr>
          <w:noProof/>
          <w:lang w:eastAsia="cs-CZ"/>
        </w:rPr>
        <w:drawing>
          <wp:inline distT="0" distB="0" distL="0" distR="0" wp14:anchorId="39E26816" wp14:editId="3DBFE849">
            <wp:extent cx="5760000" cy="3240000"/>
            <wp:effectExtent l="0" t="0" r="0" b="0"/>
            <wp:docPr id="137" name="Obrázek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760000" cy="3240000"/>
                    </a:xfrm>
                    <a:prstGeom prst="rect">
                      <a:avLst/>
                    </a:prstGeom>
                    <a:noFill/>
                  </pic:spPr>
                </pic:pic>
              </a:graphicData>
            </a:graphic>
          </wp:inline>
        </w:drawing>
      </w:r>
    </w:p>
    <w:p w14:paraId="74FA3027" w14:textId="71E35657" w:rsidR="00F42D53" w:rsidRPr="00730B1E" w:rsidRDefault="00F42D53" w:rsidP="00F42D53">
      <w:pPr>
        <w:rPr>
          <w:i/>
          <w:iCs/>
          <w:sz w:val="18"/>
          <w:szCs w:val="18"/>
        </w:rPr>
      </w:pPr>
      <w:r w:rsidRPr="00730B1E">
        <w:rPr>
          <w:i/>
          <w:iCs/>
          <w:sz w:val="18"/>
          <w:szCs w:val="18"/>
        </w:rPr>
        <w:t>Zdroj: Průzkum Eurobarometr FL51</w:t>
      </w:r>
      <w:r w:rsidR="00134A55" w:rsidRPr="00730B1E">
        <w:rPr>
          <w:i/>
          <w:iCs/>
          <w:sz w:val="18"/>
          <w:szCs w:val="18"/>
        </w:rPr>
        <w:t>9</w:t>
      </w:r>
      <w:r w:rsidRPr="00730B1E">
        <w:rPr>
          <w:i/>
          <w:iCs/>
          <w:sz w:val="18"/>
          <w:szCs w:val="18"/>
        </w:rPr>
        <w:t>, který se uskutečnil v období od 16. do 23.</w:t>
      </w:r>
      <w:r w:rsidR="008E33E0">
        <w:rPr>
          <w:i/>
          <w:iCs/>
          <w:sz w:val="18"/>
          <w:szCs w:val="18"/>
        </w:rPr>
        <w:t> </w:t>
      </w:r>
      <w:r w:rsidRPr="00730B1E">
        <w:rPr>
          <w:i/>
          <w:iCs/>
          <w:sz w:val="18"/>
          <w:szCs w:val="18"/>
        </w:rPr>
        <w:t>1.</w:t>
      </w:r>
      <w:r w:rsidR="008E33E0">
        <w:rPr>
          <w:i/>
          <w:iCs/>
          <w:sz w:val="18"/>
          <w:szCs w:val="18"/>
        </w:rPr>
        <w:t> </w:t>
      </w:r>
      <w:r w:rsidRPr="00730B1E">
        <w:rPr>
          <w:i/>
          <w:iCs/>
          <w:sz w:val="18"/>
          <w:szCs w:val="18"/>
        </w:rPr>
        <w:t xml:space="preserve">2023, zpracování vlastní, 25 876 respondentů z 27 států EU, </w:t>
      </w:r>
    </w:p>
    <w:p w14:paraId="3D164D64" w14:textId="77777777" w:rsidR="00F42D53" w:rsidRPr="00730B1E" w:rsidRDefault="00F42D53" w:rsidP="00F42D53">
      <w:pPr>
        <w:rPr>
          <w:i/>
          <w:iCs/>
          <w:sz w:val="18"/>
          <w:szCs w:val="18"/>
        </w:rPr>
      </w:pPr>
      <w:r w:rsidRPr="00730B1E">
        <w:rPr>
          <w:i/>
          <w:iCs/>
          <w:sz w:val="18"/>
          <w:szCs w:val="18"/>
        </w:rPr>
        <w:t>(*) Odpověď na otázku: „Jak byste na základě toho, co je vám známo, ohodnotili systém soudnictví (ve vaší zemi), pokud jde o nezávislost soudů a soudců? Řekli byste, že je velmi dobrá, poměrně dobrá, poměrně špatná, nebo velmi špatná?“</w:t>
      </w:r>
    </w:p>
    <w:p w14:paraId="1BA3CDAC" w14:textId="1405016B" w:rsidR="00F42D53" w:rsidRPr="00730B1E" w:rsidRDefault="00F42D53" w:rsidP="00F42D53">
      <w:r w:rsidRPr="00730B1E">
        <w:rPr>
          <w:i/>
          <w:iCs/>
          <w:sz w:val="18"/>
          <w:szCs w:val="18"/>
        </w:rPr>
        <w:t xml:space="preserve">Detailní informace viz </w:t>
      </w:r>
      <w:hyperlink r:id="rId151" w:history="1">
        <w:r w:rsidRPr="00730B1E">
          <w:rPr>
            <w:rStyle w:val="Hypertextovodkaz"/>
            <w:color w:val="auto"/>
            <w:sz w:val="18"/>
            <w:szCs w:val="18"/>
          </w:rPr>
          <w:t>https://europa.eu/eurobarometer/surveys/detail/2667</w:t>
        </w:r>
      </w:hyperlink>
    </w:p>
    <w:p w14:paraId="7615F8E0" w14:textId="0A39F7CC" w:rsidR="00F42D53" w:rsidRPr="00730B1E" w:rsidRDefault="00F42D53" w:rsidP="00F42D53">
      <w:pPr>
        <w:pStyle w:val="Podnadpis"/>
        <w:rPr>
          <w:color w:val="auto"/>
        </w:rPr>
      </w:pPr>
      <w:bookmarkStart w:id="1805" w:name="_Toc144104327"/>
      <w:bookmarkStart w:id="1806" w:name="_Toc169251138"/>
      <w:bookmarkStart w:id="1807" w:name="_Toc174080824"/>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81</w:t>
      </w:r>
      <w:r w:rsidRPr="00730B1E">
        <w:rPr>
          <w:color w:val="auto"/>
        </w:rPr>
        <w:fldChar w:fldCharType="end"/>
      </w:r>
      <w:r w:rsidRPr="00730B1E">
        <w:rPr>
          <w:color w:val="auto"/>
        </w:rPr>
        <w:t>: EU – Vnímaná nezávislost soudů a soudců ze strany veřejnosti</w:t>
      </w:r>
      <w:bookmarkEnd w:id="1800"/>
      <w:bookmarkEnd w:id="1801"/>
      <w:bookmarkEnd w:id="1802"/>
      <w:r w:rsidRPr="00730B1E">
        <w:rPr>
          <w:color w:val="auto"/>
        </w:rPr>
        <w:t xml:space="preserve">, střední Evropa, 2013, </w:t>
      </w:r>
      <w:bookmarkEnd w:id="1805"/>
      <w:r w:rsidRPr="00730B1E">
        <w:rPr>
          <w:color w:val="auto"/>
        </w:rPr>
        <w:t>2019–2023</w:t>
      </w:r>
      <w:bookmarkEnd w:id="1806"/>
      <w:bookmarkEnd w:id="1807"/>
    </w:p>
    <w:p w14:paraId="43F9AED3" w14:textId="77777777" w:rsidR="00F42D53" w:rsidRPr="00730B1E" w:rsidRDefault="00F42D53" w:rsidP="00F42D53"/>
    <w:p w14:paraId="5CB49B75" w14:textId="77777777" w:rsidR="00F42D53" w:rsidRPr="00730B1E" w:rsidRDefault="00F42D53" w:rsidP="00F42D53">
      <w:r w:rsidRPr="00730B1E">
        <w:rPr>
          <w:noProof/>
          <w:lang w:eastAsia="cs-CZ"/>
        </w:rPr>
        <w:drawing>
          <wp:inline distT="0" distB="0" distL="0" distR="0" wp14:anchorId="063F1FA0" wp14:editId="3EACEE34">
            <wp:extent cx="5760720" cy="299974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60720" cy="2999740"/>
                    </a:xfrm>
                    <a:prstGeom prst="rect">
                      <a:avLst/>
                    </a:prstGeom>
                    <a:noFill/>
                    <a:ln>
                      <a:noFill/>
                    </a:ln>
                  </pic:spPr>
                </pic:pic>
              </a:graphicData>
            </a:graphic>
          </wp:inline>
        </w:drawing>
      </w:r>
    </w:p>
    <w:p w14:paraId="17BCCA4C" w14:textId="77777777" w:rsidR="00F42D53" w:rsidRPr="00730B1E" w:rsidRDefault="00F42D53" w:rsidP="00F42D53"/>
    <w:p w14:paraId="40A98393" w14:textId="30A0F6B0" w:rsidR="00F42D53" w:rsidRPr="00730B1E" w:rsidRDefault="00F42D53" w:rsidP="00F42D53">
      <w:pPr>
        <w:rPr>
          <w:i/>
          <w:iCs/>
          <w:sz w:val="18"/>
          <w:szCs w:val="18"/>
        </w:rPr>
      </w:pPr>
      <w:r w:rsidRPr="00730B1E">
        <w:rPr>
          <w:i/>
          <w:iCs/>
          <w:sz w:val="18"/>
          <w:szCs w:val="18"/>
        </w:rPr>
        <w:t>(*) 2023 - Odpovědi na otázku: „Jak byste na základě toho, co je vám známo, ohodnotili systém soudnictví (ve vaší zemi), pokud jde o nezávislost soudů a soudců? Řekli byste, že je velmi dobrá, poměrně dobrá, poměrně špatná, nebo velmi špatná?“ V přehledu výše jsou odpovědi v roce 2023 sumarizovány. Zdroj: Průzkum Eurobarometr FL516, který se uskutečnil v období od 16. do 23.</w:t>
      </w:r>
      <w:r w:rsidR="008E33E0">
        <w:rPr>
          <w:i/>
          <w:iCs/>
          <w:sz w:val="18"/>
          <w:szCs w:val="18"/>
        </w:rPr>
        <w:t> </w:t>
      </w:r>
      <w:r w:rsidRPr="00730B1E">
        <w:rPr>
          <w:i/>
          <w:iCs/>
          <w:sz w:val="18"/>
          <w:szCs w:val="18"/>
        </w:rPr>
        <w:t>ledna 2023</w:t>
      </w:r>
    </w:p>
    <w:p w14:paraId="4229808F" w14:textId="5753FFE4" w:rsidR="00F42D53" w:rsidRPr="00730B1E" w:rsidRDefault="00F42D53" w:rsidP="00F42D53">
      <w:pPr>
        <w:rPr>
          <w:i/>
          <w:iCs/>
          <w:sz w:val="18"/>
          <w:szCs w:val="18"/>
        </w:rPr>
      </w:pPr>
      <w:r w:rsidRPr="00730B1E">
        <w:rPr>
          <w:i/>
          <w:iCs/>
          <w:sz w:val="18"/>
          <w:szCs w:val="18"/>
        </w:rPr>
        <w:t>2013 - Odpovědi na otázku: „Celkově byste řekli, že spíše důvěřujete nebo spíše nedůvěřujete soudnímu systému (ve vaší zemi)?“ Pro účely srovnání v této zprávě bereme „tend to trust“</w:t>
      </w:r>
      <w:r w:rsidRPr="00730B1E">
        <w:rPr>
          <w:i/>
          <w:iCs/>
          <w:sz w:val="12"/>
          <w:szCs w:val="12"/>
        </w:rPr>
        <w:t xml:space="preserve">  </w:t>
      </w:r>
      <w:r w:rsidRPr="00730B1E">
        <w:rPr>
          <w:i/>
          <w:iCs/>
          <w:sz w:val="18"/>
          <w:szCs w:val="18"/>
        </w:rPr>
        <w:t xml:space="preserve">≈ </w:t>
      </w:r>
      <w:r w:rsidRPr="00730B1E">
        <w:rPr>
          <w:i/>
          <w:iCs/>
          <w:sz w:val="12"/>
          <w:szCs w:val="12"/>
        </w:rPr>
        <w:t xml:space="preserve"> </w:t>
      </w:r>
      <w:r w:rsidRPr="00730B1E">
        <w:rPr>
          <w:i/>
          <w:iCs/>
          <w:sz w:val="18"/>
          <w:szCs w:val="18"/>
        </w:rPr>
        <w:t>„total good“ a „tend not to trust“  ≈ „total bad“. Zdroj: Průzkum Eurobarometr FL385, který se uskutečnil v období od 30.9.2013 do 2.10.2013. Pořadí roku 2013 je uvedeno bez započítání Velké Británie, pořadí se pohybuje v intervalu 1. až 27.</w:t>
      </w:r>
    </w:p>
    <w:p w14:paraId="4D35C5D7" w14:textId="336B8673" w:rsidR="00F42D53" w:rsidRPr="00730B1E" w:rsidRDefault="004A207E" w:rsidP="00F42D53">
      <w:pPr>
        <w:pStyle w:val="OdstavecASR"/>
      </w:pPr>
      <w:r w:rsidRPr="00730B1E">
        <w:lastRenderedPageBreak/>
        <w:t xml:space="preserve">Za pozornost stojí </w:t>
      </w:r>
      <w:r w:rsidR="00333D5C" w:rsidRPr="00730B1E">
        <w:t>se zaměřit na</w:t>
      </w:r>
      <w:r w:rsidR="00603BD1" w:rsidRPr="00730B1E">
        <w:t xml:space="preserve"> </w:t>
      </w:r>
      <w:r w:rsidR="00F42D53" w:rsidRPr="00730B1E">
        <w:t xml:space="preserve">výrazný nárůst pozitivního hodnocení v ČR a SK v roce 2023 (nejvyšší mezi všemi členskými zeměmi EU), dramatické zvýšení podílu respondentů, kteří nebyli schopni zaujmout jednoznačný postoj v HU, ale také změnu pořadí CZ, PL a HU v roce 2023 </w:t>
      </w:r>
      <w:r w:rsidRPr="00730B1E">
        <w:t xml:space="preserve">oproti roku </w:t>
      </w:r>
      <w:r w:rsidR="00F42D53" w:rsidRPr="00730B1E">
        <w:t>2013. Zajímav</w:t>
      </w:r>
      <w:r w:rsidR="00603BD1" w:rsidRPr="00730B1E">
        <w:t>á</w:t>
      </w:r>
      <w:r w:rsidR="00F42D53" w:rsidRPr="00730B1E">
        <w:t xml:space="preserve"> může být i skutečnost, že ani výrazné zvýšení kladného hodnocení nezávislosti justice na Slovensku v roce 2023 nevedlo k zásadnímu zlepšení jeho postavení mezi členskými zeměmi EU.</w:t>
      </w:r>
    </w:p>
    <w:p w14:paraId="22F3A56B" w14:textId="77777777" w:rsidR="00F42D53" w:rsidRPr="00730B1E" w:rsidRDefault="00F42D53" w:rsidP="00F42D53">
      <w:pPr>
        <w:pStyle w:val="OdstavecASR"/>
      </w:pPr>
      <w:r w:rsidRPr="00730B1E">
        <w:t>Také v roce 2023 pokračoval u podnikatelů v ČR pozitivní trend hodnocení nezávislosti české justice. Pro zajímavost zařazujeme vnímání podnikatelů u vybraných sousedů, kdy můžeme u všech zemí konstatovat blízkou shodu s pořadím při hodnocení veřejností:</w:t>
      </w:r>
    </w:p>
    <w:p w14:paraId="781DCB51" w14:textId="77777777" w:rsidR="00F42D53" w:rsidRPr="00730B1E" w:rsidRDefault="00F42D53" w:rsidP="00F42D53">
      <w:pPr>
        <w:pStyle w:val="OdstavecASR"/>
      </w:pPr>
      <w:r w:rsidRPr="00730B1E">
        <w:rPr>
          <w:noProof/>
          <w:lang w:eastAsia="cs-CZ"/>
        </w:rPr>
        <w:drawing>
          <wp:inline distT="0" distB="0" distL="0" distR="0" wp14:anchorId="0B3B19C2" wp14:editId="7557EB49">
            <wp:extent cx="5760720" cy="1000125"/>
            <wp:effectExtent l="0" t="0" r="0" b="9525"/>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60720" cy="1000125"/>
                    </a:xfrm>
                    <a:prstGeom prst="rect">
                      <a:avLst/>
                    </a:prstGeom>
                    <a:noFill/>
                    <a:ln>
                      <a:noFill/>
                    </a:ln>
                  </pic:spPr>
                </pic:pic>
              </a:graphicData>
            </a:graphic>
          </wp:inline>
        </w:drawing>
      </w:r>
    </w:p>
    <w:p w14:paraId="2A0DCD46" w14:textId="5A2219D5" w:rsidR="00F42D53" w:rsidRPr="00730B1E" w:rsidRDefault="00F42D53" w:rsidP="00F42D53">
      <w:pPr>
        <w:rPr>
          <w:i/>
          <w:iCs/>
          <w:sz w:val="18"/>
          <w:szCs w:val="20"/>
        </w:rPr>
      </w:pPr>
      <w:r w:rsidRPr="00730B1E">
        <w:rPr>
          <w:i/>
          <w:iCs/>
          <w:sz w:val="18"/>
          <w:szCs w:val="20"/>
        </w:rPr>
        <w:t>Zdroj: Průzkum Eurobarometr FL520, který se uskutečnil v období od 16. do 30.</w:t>
      </w:r>
      <w:r w:rsidR="008E33E0">
        <w:rPr>
          <w:i/>
          <w:iCs/>
          <w:sz w:val="18"/>
          <w:szCs w:val="20"/>
        </w:rPr>
        <w:t> </w:t>
      </w:r>
      <w:r w:rsidRPr="00730B1E">
        <w:rPr>
          <w:i/>
          <w:iCs/>
          <w:sz w:val="18"/>
          <w:szCs w:val="20"/>
        </w:rPr>
        <w:t>ledna 2023, vlastní zpracování. Interview probíhaly telefonicky s osobou s rozhodovací pravomocí ve společnosti (jednatel, generální ředitel, CEO, finanční ředitel), případně s někým, kdo vede obchodní aktivity (obchodní manažer, marketingový manažer) nebo s právníkem.</w:t>
      </w:r>
    </w:p>
    <w:p w14:paraId="6E88D12A" w14:textId="77777777" w:rsidR="00F42D53" w:rsidRPr="00730B1E" w:rsidRDefault="00F42D53" w:rsidP="00F42D53">
      <w:pPr>
        <w:pStyle w:val="Nadpis3"/>
        <w:numPr>
          <w:ilvl w:val="2"/>
          <w:numId w:val="1"/>
        </w:numPr>
        <w:rPr>
          <w:color w:val="auto"/>
        </w:rPr>
      </w:pPr>
      <w:bookmarkStart w:id="1808" w:name="_Toc144104447"/>
      <w:bookmarkStart w:id="1809" w:name="_Toc169250909"/>
      <w:bookmarkStart w:id="1810" w:name="_Toc174080945"/>
      <w:r w:rsidRPr="00730B1E">
        <w:rPr>
          <w:color w:val="auto"/>
          <w:lang w:eastAsia="cs-CZ"/>
        </w:rPr>
        <w:t>Efektivnost soudního systému</w:t>
      </w:r>
      <w:bookmarkEnd w:id="1808"/>
      <w:bookmarkEnd w:id="1809"/>
      <w:bookmarkEnd w:id="1810"/>
    </w:p>
    <w:p w14:paraId="227DFF73" w14:textId="51653E81" w:rsidR="00F42D53" w:rsidRPr="00730B1E" w:rsidRDefault="00F42D53" w:rsidP="00EA139F">
      <w:pPr>
        <w:rPr>
          <w:i/>
          <w:iCs/>
          <w:sz w:val="18"/>
          <w:szCs w:val="18"/>
        </w:rPr>
      </w:pPr>
      <w:r w:rsidRPr="00730B1E">
        <w:t xml:space="preserve">Již tradičně ji demonstrujeme na datech týkajících se sporných občanských a obchodních věcí, protože se jedná o důležitou agendu, která je celkem dobře srovnatelná mezi státy EU. </w:t>
      </w:r>
      <w:r w:rsidR="00603BD1" w:rsidRPr="00730B1E">
        <w:t>K</w:t>
      </w:r>
      <w:r w:rsidRPr="00730B1E">
        <w:t xml:space="preserve">omise „EU Justice Scoreboard 2023“. </w:t>
      </w:r>
    </w:p>
    <w:p w14:paraId="56BD98D9" w14:textId="3E5C7BD1" w:rsidR="00F42D53" w:rsidRPr="00730B1E" w:rsidRDefault="006D0B8C" w:rsidP="00F42D53">
      <w:pPr>
        <w:pStyle w:val="Podnadpis"/>
        <w:jc w:val="both"/>
        <w:rPr>
          <w:rFonts w:eastAsia="Calibri"/>
          <w:b w:val="0"/>
          <w:iCs w:val="0"/>
          <w:color w:val="auto"/>
          <w:spacing w:val="0"/>
          <w:szCs w:val="22"/>
        </w:rPr>
      </w:pPr>
      <w:bookmarkStart w:id="1811" w:name="_Toc75952298"/>
      <w:bookmarkStart w:id="1812" w:name="_Toc106106754"/>
      <w:bookmarkStart w:id="1813" w:name="_Toc106194415"/>
      <w:bookmarkStart w:id="1814" w:name="_Toc144104328"/>
      <w:r w:rsidRPr="00730B1E">
        <w:rPr>
          <w:rFonts w:eastAsia="Calibri"/>
          <w:b w:val="0"/>
          <w:iCs w:val="0"/>
          <w:color w:val="auto"/>
          <w:spacing w:val="0"/>
          <w:szCs w:val="22"/>
        </w:rPr>
        <w:t>Graf níže ukazuje, že n</w:t>
      </w:r>
      <w:r w:rsidR="00F42D53" w:rsidRPr="00730B1E">
        <w:rPr>
          <w:rFonts w:eastAsia="Calibri"/>
          <w:b w:val="0"/>
          <w:iCs w:val="0"/>
          <w:color w:val="auto"/>
          <w:spacing w:val="0"/>
          <w:szCs w:val="22"/>
        </w:rPr>
        <w:t xml:space="preserve">ápad sporných občanských a obchodních věcí a jeho vývoj v čase se mezi členskými státy </w:t>
      </w:r>
      <w:r w:rsidRPr="00730B1E">
        <w:rPr>
          <w:rFonts w:eastAsia="Calibri"/>
          <w:b w:val="0"/>
          <w:iCs w:val="0"/>
          <w:color w:val="auto"/>
          <w:spacing w:val="0"/>
          <w:szCs w:val="22"/>
        </w:rPr>
        <w:t xml:space="preserve">často velmi výrazně </w:t>
      </w:r>
      <w:r w:rsidR="00F42D53" w:rsidRPr="00730B1E">
        <w:rPr>
          <w:rFonts w:eastAsia="Calibri"/>
          <w:b w:val="0"/>
          <w:iCs w:val="0"/>
          <w:color w:val="auto"/>
          <w:spacing w:val="0"/>
          <w:szCs w:val="22"/>
        </w:rPr>
        <w:t xml:space="preserve">liší. </w:t>
      </w:r>
      <w:r w:rsidRPr="00730B1E">
        <w:rPr>
          <w:rFonts w:eastAsia="Calibri"/>
          <w:b w:val="0"/>
          <w:iCs w:val="0"/>
          <w:color w:val="auto"/>
          <w:spacing w:val="0"/>
          <w:szCs w:val="22"/>
        </w:rPr>
        <w:t xml:space="preserve">Mimo jiné můžeme pozorovat, že k </w:t>
      </w:r>
      <w:r w:rsidR="00F42D53" w:rsidRPr="00730B1E">
        <w:rPr>
          <w:rFonts w:eastAsia="Calibri"/>
          <w:b w:val="0"/>
          <w:iCs w:val="0"/>
          <w:color w:val="auto"/>
          <w:spacing w:val="0"/>
          <w:szCs w:val="22"/>
        </w:rPr>
        <w:t xml:space="preserve">propadu </w:t>
      </w:r>
      <w:r w:rsidRPr="00730B1E">
        <w:rPr>
          <w:rFonts w:eastAsia="Calibri"/>
          <w:b w:val="0"/>
          <w:iCs w:val="0"/>
          <w:color w:val="auto"/>
          <w:spacing w:val="0"/>
          <w:szCs w:val="22"/>
        </w:rPr>
        <w:t>nápadu v </w:t>
      </w:r>
      <w:r w:rsidR="00F42D53" w:rsidRPr="00730B1E">
        <w:rPr>
          <w:rFonts w:eastAsia="Calibri"/>
          <w:b w:val="0"/>
          <w:iCs w:val="0"/>
          <w:color w:val="auto"/>
          <w:spacing w:val="0"/>
          <w:szCs w:val="22"/>
        </w:rPr>
        <w:t>„covidovém“ roce 2020</w:t>
      </w:r>
      <w:r w:rsidRPr="00730B1E">
        <w:rPr>
          <w:rFonts w:eastAsia="Calibri"/>
          <w:b w:val="0"/>
          <w:iCs w:val="0"/>
          <w:color w:val="auto"/>
          <w:spacing w:val="0"/>
          <w:szCs w:val="22"/>
        </w:rPr>
        <w:t xml:space="preserve"> došlo jen v některých zemích</w:t>
      </w:r>
      <w:r w:rsidR="00F42D53" w:rsidRPr="00730B1E">
        <w:rPr>
          <w:rFonts w:eastAsia="Calibri"/>
          <w:b w:val="0"/>
          <w:iCs w:val="0"/>
          <w:color w:val="auto"/>
          <w:spacing w:val="0"/>
          <w:szCs w:val="22"/>
        </w:rPr>
        <w:t xml:space="preserve">, </w:t>
      </w:r>
      <w:r w:rsidRPr="00730B1E">
        <w:rPr>
          <w:rFonts w:eastAsia="Calibri"/>
          <w:b w:val="0"/>
          <w:iCs w:val="0"/>
          <w:color w:val="auto"/>
          <w:spacing w:val="0"/>
          <w:szCs w:val="22"/>
        </w:rPr>
        <w:t>což naznačuje, že je velmi obtížné vyvozovat obecné závěry o dopadu pandemie napříč EU</w:t>
      </w:r>
      <w:r w:rsidR="00F42D53" w:rsidRPr="00730B1E">
        <w:rPr>
          <w:rFonts w:eastAsia="Calibri"/>
          <w:b w:val="0"/>
          <w:iCs w:val="0"/>
          <w:color w:val="auto"/>
          <w:spacing w:val="0"/>
          <w:szCs w:val="22"/>
        </w:rPr>
        <w:t>.</w:t>
      </w:r>
    </w:p>
    <w:p w14:paraId="429D8DE8" w14:textId="48BF5872" w:rsidR="00F42D53" w:rsidRPr="00730B1E" w:rsidRDefault="00F42D53" w:rsidP="00F42D53">
      <w:pPr>
        <w:pStyle w:val="Podnadpis"/>
        <w:rPr>
          <w:color w:val="auto"/>
        </w:rPr>
      </w:pPr>
      <w:bookmarkStart w:id="1815" w:name="_Toc169251139"/>
      <w:bookmarkStart w:id="1816" w:name="_Toc174080825"/>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82</w:t>
      </w:r>
      <w:r w:rsidRPr="00730B1E">
        <w:rPr>
          <w:color w:val="auto"/>
        </w:rPr>
        <w:fldChar w:fldCharType="end"/>
      </w:r>
      <w:r w:rsidRPr="00730B1E">
        <w:rPr>
          <w:color w:val="auto"/>
        </w:rPr>
        <w:t>: EU – nápad sporných občanských a obch. věcí na 100 obyvatel</w:t>
      </w:r>
      <w:bookmarkEnd w:id="1811"/>
      <w:bookmarkEnd w:id="1812"/>
      <w:bookmarkEnd w:id="1813"/>
      <w:r w:rsidRPr="00730B1E">
        <w:rPr>
          <w:color w:val="auto"/>
        </w:rPr>
        <w:t xml:space="preserve"> v zemích EU, soudy 1. stupně</w:t>
      </w:r>
      <w:bookmarkEnd w:id="1814"/>
      <w:r w:rsidRPr="00730B1E">
        <w:rPr>
          <w:color w:val="auto"/>
        </w:rPr>
        <w:t xml:space="preserve"> (*)</w:t>
      </w:r>
      <w:bookmarkEnd w:id="1815"/>
      <w:bookmarkEnd w:id="1816"/>
    </w:p>
    <w:p w14:paraId="3159C54A" w14:textId="77777777" w:rsidR="00F42D53" w:rsidRPr="00730B1E" w:rsidRDefault="00F42D53" w:rsidP="00F42D53">
      <w:pPr>
        <w:keepNext/>
        <w:spacing w:before="120" w:after="120" w:line="240" w:lineRule="auto"/>
        <w:rPr>
          <w:sz w:val="20"/>
        </w:rPr>
      </w:pPr>
      <w:r w:rsidRPr="00730B1E">
        <w:rPr>
          <w:noProof/>
          <w:sz w:val="20"/>
          <w:lang w:eastAsia="cs-CZ"/>
        </w:rPr>
        <w:drawing>
          <wp:inline distT="0" distB="0" distL="0" distR="0" wp14:anchorId="7A0B6E91" wp14:editId="239DA258">
            <wp:extent cx="5760720" cy="2077085"/>
            <wp:effectExtent l="0" t="0" r="0" b="0"/>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760720" cy="2077085"/>
                    </a:xfrm>
                    <a:prstGeom prst="rect">
                      <a:avLst/>
                    </a:prstGeom>
                  </pic:spPr>
                </pic:pic>
              </a:graphicData>
            </a:graphic>
          </wp:inline>
        </w:drawing>
      </w:r>
    </w:p>
    <w:p w14:paraId="5BF270B6" w14:textId="77777777" w:rsidR="00F42D53" w:rsidRPr="00730B1E" w:rsidRDefault="00F42D53" w:rsidP="00F42D53">
      <w:pPr>
        <w:spacing w:line="240" w:lineRule="auto"/>
        <w:rPr>
          <w:i/>
          <w:iCs/>
          <w:sz w:val="18"/>
          <w:szCs w:val="20"/>
        </w:rPr>
      </w:pPr>
      <w:r w:rsidRPr="00730B1E">
        <w:rPr>
          <w:i/>
          <w:iCs/>
          <w:sz w:val="18"/>
          <w:szCs w:val="20"/>
        </w:rPr>
        <w:t>Zdroj: Evropská komise, Srovnávací přehled EU o soudnictví za rok 2023, Fig.(3), státy jsou seřazeny dle hodnot roku 2021. NL: zahrnuty i nesporné věci, (*) státy jsou seřazeny dle roku 2021</w:t>
      </w:r>
    </w:p>
    <w:p w14:paraId="7EDAE53B" w14:textId="77777777" w:rsidR="00F42D53" w:rsidRPr="00730B1E" w:rsidRDefault="00F42D53" w:rsidP="00F42D53">
      <w:pPr>
        <w:spacing w:line="240" w:lineRule="auto"/>
        <w:rPr>
          <w:i/>
          <w:iCs/>
          <w:sz w:val="18"/>
          <w:szCs w:val="20"/>
        </w:rPr>
      </w:pPr>
    </w:p>
    <w:p w14:paraId="2E9916F3" w14:textId="549CFD3B" w:rsidR="00F42D53" w:rsidRPr="00730B1E" w:rsidRDefault="00F42D53" w:rsidP="00F42D53">
      <w:pPr>
        <w:pStyle w:val="OdstavecASR"/>
      </w:pPr>
      <w:r w:rsidRPr="00730B1E">
        <w:rPr>
          <w:b/>
          <w:bCs/>
        </w:rPr>
        <w:t>ČR vykazuje stabilně jednu z nejvyšších hodnot nápadu</w:t>
      </w:r>
      <w:r w:rsidRPr="00730B1E">
        <w:t xml:space="preserve">, což může souviset s relativně snadným přístupem a vysokou důvěrou k soudnímu systému v ČR. </w:t>
      </w:r>
      <w:r w:rsidR="006D0B8C" w:rsidRPr="00730B1E">
        <w:t>České soudnictví t</w:t>
      </w:r>
      <w:r w:rsidRPr="00730B1E">
        <w:t xml:space="preserve">ento vysoký nápad řeší velmi efektivně, jak je vidět na dalším grafu </w:t>
      </w:r>
      <w:r w:rsidR="006D0B8C" w:rsidRPr="00730B1E">
        <w:t>hodnotícím</w:t>
      </w:r>
      <w:r w:rsidRPr="00730B1E">
        <w:t xml:space="preserve"> dispoziční čas za celou soudní </w:t>
      </w:r>
      <w:r w:rsidRPr="00730B1E">
        <w:lastRenderedPageBreak/>
        <w:t xml:space="preserve">soustavu. </w:t>
      </w:r>
      <w:r w:rsidR="006D0B8C" w:rsidRPr="00730B1E">
        <w:t xml:space="preserve">Česká republika </w:t>
      </w:r>
      <w:r w:rsidRPr="00730B1E">
        <w:t xml:space="preserve">své postavení mezi členskými státy </w:t>
      </w:r>
      <w:r w:rsidR="006D0B8C" w:rsidRPr="00730B1E">
        <w:t xml:space="preserve">dlouhodobě zlepšuje – v roce </w:t>
      </w:r>
      <w:r w:rsidRPr="00730B1E">
        <w:t>2017 </w:t>
      </w:r>
      <w:r w:rsidR="006D0B8C" w:rsidRPr="00730B1E">
        <w:t>jí patřila</w:t>
      </w:r>
      <w:r w:rsidRPr="00730B1E">
        <w:t xml:space="preserve"> 7. příčka, </w:t>
      </w:r>
      <w:r w:rsidR="006D0B8C" w:rsidRPr="00730B1E">
        <w:t xml:space="preserve">v roce </w:t>
      </w:r>
      <w:r w:rsidRPr="00730B1E">
        <w:t>2018 5. příčka</w:t>
      </w:r>
      <w:r w:rsidR="006D0B8C" w:rsidRPr="00730B1E">
        <w:t xml:space="preserve">, v letech </w:t>
      </w:r>
      <w:r w:rsidRPr="00730B1E">
        <w:t xml:space="preserve">2019 </w:t>
      </w:r>
      <w:r w:rsidR="006D0B8C" w:rsidRPr="00730B1E">
        <w:t>a</w:t>
      </w:r>
      <w:r w:rsidRPr="00730B1E">
        <w:t xml:space="preserve"> 2020 3. příčka </w:t>
      </w:r>
      <w:r w:rsidR="006D0B8C" w:rsidRPr="00730B1E">
        <w:t>a konečně v roce</w:t>
      </w:r>
      <w:r w:rsidRPr="00730B1E">
        <w:t xml:space="preserve"> 2021 2</w:t>
      </w:r>
      <w:r w:rsidR="006D0B8C" w:rsidRPr="00730B1E">
        <w:t>. </w:t>
      </w:r>
      <w:r w:rsidRPr="00730B1E">
        <w:t>příčka.</w:t>
      </w:r>
    </w:p>
    <w:p w14:paraId="42122E56" w14:textId="035B899C" w:rsidR="00F42D53" w:rsidRPr="00730B1E" w:rsidRDefault="00F42D53" w:rsidP="00F42D53">
      <w:pPr>
        <w:pStyle w:val="Podnadpis"/>
        <w:rPr>
          <w:color w:val="auto"/>
        </w:rPr>
      </w:pPr>
      <w:bookmarkStart w:id="1817" w:name="_Toc106106755"/>
      <w:bookmarkStart w:id="1818" w:name="_Toc106194416"/>
      <w:bookmarkStart w:id="1819" w:name="_Toc144104235"/>
      <w:bookmarkStart w:id="1820" w:name="_Toc169251042"/>
      <w:bookmarkStart w:id="1821" w:name="_Toc17408072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123</w:t>
      </w:r>
      <w:r w:rsidRPr="00730B1E">
        <w:rPr>
          <w:noProof/>
          <w:color w:val="auto"/>
        </w:rPr>
        <w:fldChar w:fldCharType="end"/>
      </w:r>
      <w:r w:rsidRPr="00730B1E">
        <w:rPr>
          <w:color w:val="auto"/>
        </w:rPr>
        <w:t>: EU – disposition time sporných obč. a obch. věcí</w:t>
      </w:r>
      <w:bookmarkEnd w:id="1817"/>
      <w:bookmarkEnd w:id="1818"/>
      <w:r w:rsidRPr="00730B1E">
        <w:rPr>
          <w:color w:val="auto"/>
        </w:rPr>
        <w:t xml:space="preserve"> v zemích EU (kal. dny), 2021 (*)</w:t>
      </w:r>
      <w:bookmarkEnd w:id="1819"/>
      <w:bookmarkEnd w:id="1820"/>
      <w:bookmarkEnd w:id="1821"/>
    </w:p>
    <w:p w14:paraId="4E886CB6" w14:textId="77777777" w:rsidR="00F42D53" w:rsidRPr="00730B1E" w:rsidRDefault="00F42D53" w:rsidP="00F42D53"/>
    <w:p w14:paraId="62BF694B" w14:textId="77777777" w:rsidR="00F42D53" w:rsidRPr="00730B1E" w:rsidRDefault="00F42D53" w:rsidP="00F42D53">
      <w:r w:rsidRPr="00730B1E">
        <w:rPr>
          <w:noProof/>
          <w:lang w:eastAsia="cs-CZ"/>
        </w:rPr>
        <w:drawing>
          <wp:inline distT="0" distB="0" distL="0" distR="0" wp14:anchorId="7169D292" wp14:editId="03C02B9F">
            <wp:extent cx="5760720" cy="1867535"/>
            <wp:effectExtent l="0" t="0" r="0" b="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760720" cy="1867535"/>
                    </a:xfrm>
                    <a:prstGeom prst="rect">
                      <a:avLst/>
                    </a:prstGeom>
                  </pic:spPr>
                </pic:pic>
              </a:graphicData>
            </a:graphic>
          </wp:inline>
        </w:drawing>
      </w:r>
    </w:p>
    <w:p w14:paraId="643740A7" w14:textId="77777777" w:rsidR="00F42D53" w:rsidRPr="00730B1E" w:rsidRDefault="00F42D53" w:rsidP="00F42D53">
      <w:pPr>
        <w:spacing w:before="120" w:line="360" w:lineRule="auto"/>
        <w:rPr>
          <w:i/>
          <w:iCs/>
          <w:sz w:val="18"/>
          <w:szCs w:val="20"/>
        </w:rPr>
      </w:pPr>
      <w:r w:rsidRPr="00730B1E">
        <w:rPr>
          <w:i/>
          <w:iCs/>
          <w:sz w:val="18"/>
          <w:szCs w:val="20"/>
        </w:rPr>
        <w:t xml:space="preserve">Zdroj: Evropská komise, Srovnávací přehled EU o soudnictví za rok 2023, Fig.(7), </w:t>
      </w:r>
      <w:r w:rsidRPr="00730B1E">
        <w:rPr>
          <w:i/>
          <w:iCs/>
          <w:sz w:val="18"/>
          <w:szCs w:val="18"/>
        </w:rPr>
        <w:t xml:space="preserve">přetisknutý graf, </w:t>
      </w:r>
      <w:r w:rsidRPr="00730B1E">
        <w:rPr>
          <w:i/>
          <w:iCs/>
          <w:sz w:val="18"/>
          <w:szCs w:val="20"/>
        </w:rPr>
        <w:t>(*) státy jsou seřazeny dle soudního stupně s nejdelším časem</w:t>
      </w:r>
    </w:p>
    <w:p w14:paraId="36B841C7" w14:textId="60CA498B" w:rsidR="00F42D53" w:rsidRPr="00730B1E" w:rsidRDefault="00F42D53" w:rsidP="00F42D53">
      <w:pPr>
        <w:pStyle w:val="OdstavecASR"/>
      </w:pPr>
      <w:r w:rsidRPr="00730B1E">
        <w:t>Dalším ukazatelem, který používáme při srovnání efektivnosti soudních soustav</w:t>
      </w:r>
      <w:r w:rsidR="006D0B8C" w:rsidRPr="00730B1E">
        <w:t>,</w:t>
      </w:r>
      <w:r w:rsidRPr="00730B1E">
        <w:t xml:space="preserve"> je počet nevyřízených sporných občanských a obchodních věcí na 100 obyvatel. Jestliže se ČR v předchozím ukazateli postupně zlepšovala, až se dostala na samou špici mezi státy EU, v počtu nevyřízených sporných občanských a obchodních zemí </w:t>
      </w:r>
      <w:r w:rsidR="006D0B8C" w:rsidRPr="00730B1E">
        <w:t>to neplatí;</w:t>
      </w:r>
      <w:r w:rsidRPr="00730B1E">
        <w:t xml:space="preserve"> </w:t>
      </w:r>
      <w:r w:rsidR="006D0B8C" w:rsidRPr="00730B1E">
        <w:t xml:space="preserve">v roce </w:t>
      </w:r>
      <w:r w:rsidRPr="00730B1E">
        <w:t xml:space="preserve">2017 </w:t>
      </w:r>
      <w:r w:rsidR="006D0B8C" w:rsidRPr="00730B1E">
        <w:t xml:space="preserve">ČR obsadila </w:t>
      </w:r>
      <w:r w:rsidRPr="00730B1E">
        <w:t>11</w:t>
      </w:r>
      <w:r w:rsidR="006D0B8C" w:rsidRPr="00730B1E">
        <w:t>. </w:t>
      </w:r>
      <w:r w:rsidRPr="00730B1E">
        <w:t>příčk</w:t>
      </w:r>
      <w:r w:rsidR="006D0B8C" w:rsidRPr="00730B1E">
        <w:t>u</w:t>
      </w:r>
      <w:r w:rsidRPr="00730B1E">
        <w:t>,</w:t>
      </w:r>
      <w:r w:rsidR="006D0B8C" w:rsidRPr="00730B1E">
        <w:t xml:space="preserve"> v roce </w:t>
      </w:r>
      <w:r w:rsidRPr="00730B1E">
        <w:t xml:space="preserve">2021 </w:t>
      </w:r>
      <w:r w:rsidR="006D0B8C" w:rsidRPr="00730B1E">
        <w:t xml:space="preserve">pak </w:t>
      </w:r>
      <w:r w:rsidRPr="00730B1E">
        <w:t>13. příčk</w:t>
      </w:r>
      <w:r w:rsidR="006D0B8C" w:rsidRPr="00730B1E">
        <w:t>u</w:t>
      </w:r>
      <w:r w:rsidRPr="00730B1E">
        <w:t>. Důvod</w:t>
      </w:r>
      <w:r w:rsidR="006D0B8C" w:rsidRPr="00730B1E">
        <w:t xml:space="preserve"> nicméně může být ve své podstatě metodologický </w:t>
      </w:r>
      <w:r w:rsidR="00564C47" w:rsidRPr="00730B1E">
        <w:t>– jak</w:t>
      </w:r>
      <w:r w:rsidRPr="00730B1E">
        <w:t xml:space="preserve"> uvádí komentář v publikaci Evropské komise, data za ČR zahrnují </w:t>
      </w:r>
      <w:r w:rsidR="006D0B8C" w:rsidRPr="00730B1E">
        <w:t xml:space="preserve">na rozdíl od ostatních zemí </w:t>
      </w:r>
      <w:r w:rsidRPr="00730B1E">
        <w:t>počty nevyřízených věcí za všechny stupně soudní soustavy.</w:t>
      </w:r>
    </w:p>
    <w:p w14:paraId="55C0337A" w14:textId="5A677D8B" w:rsidR="00F42D53" w:rsidRPr="00730B1E" w:rsidRDefault="00F42D53" w:rsidP="00F42D53">
      <w:pPr>
        <w:pStyle w:val="Podnadpis"/>
        <w:rPr>
          <w:color w:val="auto"/>
          <w:sz w:val="20"/>
        </w:rPr>
      </w:pPr>
      <w:bookmarkStart w:id="1822" w:name="_Toc106106756"/>
      <w:bookmarkStart w:id="1823" w:name="_Toc106194417"/>
      <w:bookmarkStart w:id="1824" w:name="_Toc144104236"/>
      <w:bookmarkStart w:id="1825" w:name="_Toc169251043"/>
      <w:bookmarkStart w:id="1826" w:name="_Toc174080729"/>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124</w:t>
      </w:r>
      <w:r w:rsidRPr="00730B1E">
        <w:rPr>
          <w:noProof/>
          <w:color w:val="auto"/>
        </w:rPr>
        <w:fldChar w:fldCharType="end"/>
      </w:r>
      <w:r w:rsidRPr="00730B1E">
        <w:rPr>
          <w:color w:val="auto"/>
        </w:rPr>
        <w:t xml:space="preserve">: Počet nevyřízených </w:t>
      </w:r>
      <w:bookmarkStart w:id="1827" w:name="_Hlk92907271"/>
      <w:r w:rsidRPr="00730B1E">
        <w:rPr>
          <w:color w:val="auto"/>
        </w:rPr>
        <w:t>sporných obč. a obch. věcí</w:t>
      </w:r>
      <w:bookmarkEnd w:id="1827"/>
      <w:r w:rsidRPr="00730B1E">
        <w:rPr>
          <w:color w:val="auto"/>
        </w:rPr>
        <w:t xml:space="preserve"> na 100 obyvatel</w:t>
      </w:r>
      <w:bookmarkEnd w:id="1822"/>
      <w:bookmarkEnd w:id="1823"/>
      <w:r w:rsidRPr="00730B1E">
        <w:rPr>
          <w:color w:val="auto"/>
        </w:rPr>
        <w:t>, země EU, soudy 1. stupně</w:t>
      </w:r>
      <w:bookmarkEnd w:id="1824"/>
      <w:r w:rsidRPr="00730B1E">
        <w:rPr>
          <w:color w:val="auto"/>
        </w:rPr>
        <w:t xml:space="preserve"> (*)</w:t>
      </w:r>
      <w:bookmarkEnd w:id="1825"/>
      <w:bookmarkEnd w:id="1826"/>
    </w:p>
    <w:p w14:paraId="4983B466" w14:textId="77777777" w:rsidR="00F42D53" w:rsidRPr="00730B1E" w:rsidRDefault="00F42D53" w:rsidP="00F42D53">
      <w:pPr>
        <w:keepNext/>
        <w:spacing w:before="120" w:after="120" w:line="240" w:lineRule="auto"/>
        <w:rPr>
          <w:sz w:val="20"/>
        </w:rPr>
      </w:pPr>
      <w:r w:rsidRPr="00730B1E">
        <w:rPr>
          <w:noProof/>
          <w:sz w:val="20"/>
          <w:lang w:eastAsia="cs-CZ"/>
        </w:rPr>
        <w:drawing>
          <wp:inline distT="0" distB="0" distL="0" distR="0" wp14:anchorId="7E561A8C" wp14:editId="48455802">
            <wp:extent cx="5760720" cy="2054860"/>
            <wp:effectExtent l="0" t="0" r="0" b="254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760720" cy="2054860"/>
                    </a:xfrm>
                    <a:prstGeom prst="rect">
                      <a:avLst/>
                    </a:prstGeom>
                  </pic:spPr>
                </pic:pic>
              </a:graphicData>
            </a:graphic>
          </wp:inline>
        </w:drawing>
      </w:r>
    </w:p>
    <w:p w14:paraId="5CAC882B" w14:textId="77777777" w:rsidR="00F42D53" w:rsidRPr="00730B1E" w:rsidRDefault="00F42D53" w:rsidP="00F42D53">
      <w:pPr>
        <w:keepNext/>
        <w:spacing w:before="120" w:after="120" w:line="240" w:lineRule="auto"/>
        <w:rPr>
          <w:i/>
          <w:iCs/>
          <w:sz w:val="18"/>
          <w:szCs w:val="20"/>
        </w:rPr>
      </w:pPr>
      <w:r w:rsidRPr="00730B1E">
        <w:rPr>
          <w:i/>
          <w:iCs/>
          <w:sz w:val="18"/>
          <w:szCs w:val="20"/>
        </w:rPr>
        <w:t xml:space="preserve">Zdroj: Evropská komise, Srovnávací přehled EU o soudnictví za rok 2023, Fig.(14), hodnoty za NL zahrnují i nesporné věci, </w:t>
      </w:r>
      <w:r w:rsidRPr="00730B1E">
        <w:rPr>
          <w:i/>
          <w:iCs/>
          <w:sz w:val="18"/>
          <w:szCs w:val="18"/>
        </w:rPr>
        <w:t xml:space="preserve">přetisknutý graf, </w:t>
      </w:r>
      <w:r w:rsidRPr="00730B1E">
        <w:rPr>
          <w:i/>
          <w:iCs/>
          <w:sz w:val="18"/>
          <w:szCs w:val="20"/>
        </w:rPr>
        <w:t>(*) státy jsou seřazeny dle roku 2021</w:t>
      </w:r>
    </w:p>
    <w:p w14:paraId="61F0AEAA" w14:textId="1D2E3A4A" w:rsidR="00F42D53" w:rsidRPr="00730B1E" w:rsidRDefault="00F42D53" w:rsidP="00F42D53">
      <w:pPr>
        <w:pStyle w:val="OdstavecASR"/>
      </w:pPr>
      <w:r w:rsidRPr="00730B1E">
        <w:rPr>
          <w:b/>
          <w:bCs/>
        </w:rPr>
        <w:t>Pokud jde o správní agendu,</w:t>
      </w:r>
      <w:r w:rsidRPr="00730B1E">
        <w:t xml:space="preserve"> udržela se Česká republika stejně jako v roce 2020 i v roce 2021 mezi 6 státy EU s nejnižším počtem nevyřízených správních věcí na 100 obyvatel</w:t>
      </w:r>
      <w:r w:rsidR="00076FC8" w:rsidRPr="00730B1E">
        <w:t xml:space="preserve"> (detail v kapitole 3.6.2).</w:t>
      </w:r>
    </w:p>
    <w:p w14:paraId="69698FD0" w14:textId="1E5A8866" w:rsidR="00F42D53" w:rsidRPr="00730B1E" w:rsidRDefault="00F42D53" w:rsidP="00F42D53">
      <w:pPr>
        <w:pStyle w:val="OdstavecASR"/>
      </w:pPr>
      <w:r w:rsidRPr="00730B1E">
        <w:lastRenderedPageBreak/>
        <w:t xml:space="preserve">Srovnávací přehled EU o soudnictví (EU Justice Scoreboard) samozřejmě obsahuje mnoho dalších dat. Ke stažení je na </w:t>
      </w:r>
      <w:hyperlink r:id="rId157" w:history="1">
        <w:r w:rsidRPr="00730B1E">
          <w:rPr>
            <w:rStyle w:val="Hypertextovodkaz"/>
            <w:color w:val="auto"/>
          </w:rPr>
          <w:t>https://commission.europa.eu/strategy-and-policy/policies/justice-and-fundamental-rights/upholding-rule-law/eu-justice-scoreboard_en</w:t>
        </w:r>
      </w:hyperlink>
      <w:r w:rsidRPr="00730B1E">
        <w:t xml:space="preserve">. </w:t>
      </w:r>
    </w:p>
    <w:p w14:paraId="11BF1986" w14:textId="77777777" w:rsidR="00F42D53" w:rsidRPr="00730B1E" w:rsidRDefault="00F42D53" w:rsidP="00F42D53">
      <w:pPr>
        <w:pStyle w:val="OdstavecASR"/>
      </w:pPr>
    </w:p>
    <w:p w14:paraId="6B42DFED" w14:textId="77777777" w:rsidR="00F42D53" w:rsidRPr="00730B1E" w:rsidRDefault="00F42D53" w:rsidP="00F42D53">
      <w:pPr>
        <w:pStyle w:val="Nadpis3"/>
        <w:numPr>
          <w:ilvl w:val="2"/>
          <w:numId w:val="1"/>
        </w:numPr>
        <w:rPr>
          <w:color w:val="auto"/>
        </w:rPr>
      </w:pPr>
      <w:bookmarkStart w:id="1828" w:name="_Toc169250910"/>
      <w:bookmarkStart w:id="1829" w:name="_Toc174080946"/>
      <w:r w:rsidRPr="00730B1E">
        <w:rPr>
          <w:color w:val="auto"/>
          <w:lang w:eastAsia="cs-CZ"/>
        </w:rPr>
        <w:t>Obchodování s lidmi</w:t>
      </w:r>
      <w:bookmarkEnd w:id="1828"/>
      <w:bookmarkEnd w:id="1829"/>
    </w:p>
    <w:p w14:paraId="7F95746A" w14:textId="56A1BB5A" w:rsidR="00F42D53" w:rsidRPr="00730B1E" w:rsidRDefault="00F42D53" w:rsidP="00F42D53">
      <w:pPr>
        <w:pStyle w:val="OdstavecASR"/>
      </w:pPr>
      <w:r w:rsidRPr="00730B1E">
        <w:t>V letošním vydání výroční statistické zprávy se dotkneme oblasti obchodu s lidmi. Věnujeme se zejména odsouzeným pachatelům a částečně i datům o identifikovaných obětech obchodování s lidmi. Vycházíme z webových dat Eurostatu a publikace GLOTiP 2022. Protože se jedná o dva různé zdroje dat, není možné je navzájem kombinovat</w:t>
      </w:r>
      <w:r w:rsidR="006D0B8C" w:rsidRPr="00730B1E">
        <w:t>, p</w:t>
      </w:r>
      <w:r w:rsidRPr="00730B1E">
        <w:t xml:space="preserve">řesto společně poskytují dobrý základní přehled. </w:t>
      </w:r>
    </w:p>
    <w:p w14:paraId="23A00750" w14:textId="6EE58E8C" w:rsidR="00F42D53" w:rsidRPr="00730B1E" w:rsidRDefault="00F42D53" w:rsidP="00F42D53">
      <w:pPr>
        <w:pStyle w:val="OdstavecASR"/>
      </w:pPr>
      <w:r w:rsidRPr="00730B1E">
        <w:t xml:space="preserve">Obecně lze konstatovat, že data o obchodování s lidmi můžeme rozdělit na kvantitativní a kvalitativní. Kvantitativními (někdy nazývanými „administrativní“) rozumíme data sbíraná zejména </w:t>
      </w:r>
      <w:r w:rsidR="006D0B8C" w:rsidRPr="00730B1E">
        <w:t xml:space="preserve">bezpečnostními </w:t>
      </w:r>
      <w:r w:rsidRPr="00730B1E">
        <w:t>složkami a justičními systémy státu, případně ve spolupráci s ekonomickými subjekty</w:t>
      </w:r>
      <w:r w:rsidR="006D0B8C" w:rsidRPr="00730B1E">
        <w:t>,</w:t>
      </w:r>
      <w:r w:rsidRPr="00730B1E">
        <w:t xml:space="preserve"> pokud jde o finanční výnosy. Kvalitativními daty </w:t>
      </w:r>
      <w:r w:rsidR="00394636" w:rsidRPr="00730B1E">
        <w:t xml:space="preserve">jsou </w:t>
      </w:r>
      <w:r w:rsidRPr="00730B1E">
        <w:t>data shromažďovaná pomocí průzkumů a interview s obětmi či lidmi pomáhajícími obětem</w:t>
      </w:r>
      <w:r w:rsidR="00394636" w:rsidRPr="00730B1E">
        <w:t xml:space="preserve">. Protože kvalitativní data je </w:t>
      </w:r>
      <w:r w:rsidRPr="00730B1E">
        <w:t xml:space="preserve">mnohdy obtížné získat, </w:t>
      </w:r>
      <w:r w:rsidR="00394636" w:rsidRPr="00730B1E">
        <w:t xml:space="preserve">soustředíme </w:t>
      </w:r>
      <w:r w:rsidRPr="00730B1E">
        <w:t>se spíše na data kvantitativní</w:t>
      </w:r>
      <w:r w:rsidR="00394636" w:rsidRPr="00730B1E">
        <w:t>. V této souvislosti je třeba upozornit, že v publikaci</w:t>
      </w:r>
      <w:r w:rsidRPr="00730B1E">
        <w:t xml:space="preserve"> UNODC byla </w:t>
      </w:r>
      <w:r w:rsidR="00394636" w:rsidRPr="00730B1E">
        <w:t xml:space="preserve">namísto roku </w:t>
      </w:r>
      <w:r w:rsidRPr="00730B1E">
        <w:t>2020 pro země, u kterých data za tento rok nebyla k dispozici, použita data za nejbližší známý rok (2021, 2019, 2018 nebo 2017). To platí ve všech převzatých grafech a přehledech UNODC.</w:t>
      </w:r>
    </w:p>
    <w:p w14:paraId="4D4544D4" w14:textId="77777777" w:rsidR="00F42D53" w:rsidRPr="00730B1E" w:rsidRDefault="00F42D53" w:rsidP="00F42D53">
      <w:pPr>
        <w:pStyle w:val="OdstavecASR"/>
      </w:pPr>
    </w:p>
    <w:p w14:paraId="756E5EC4" w14:textId="17D8ABD4" w:rsidR="00F42D53" w:rsidRPr="00730B1E" w:rsidRDefault="00F42D53" w:rsidP="00F42D53">
      <w:pPr>
        <w:pStyle w:val="Podnadpis"/>
        <w:rPr>
          <w:color w:val="auto"/>
        </w:rPr>
      </w:pPr>
      <w:bookmarkStart w:id="1830" w:name="_Toc169251140"/>
      <w:bookmarkStart w:id="1831" w:name="_Toc174080826"/>
      <w:r w:rsidRPr="00730B1E">
        <w:rPr>
          <w:color w:val="auto"/>
        </w:rPr>
        <w:t xml:space="preserve">Tabulka </w:t>
      </w:r>
      <w:r w:rsidRPr="00730B1E">
        <w:rPr>
          <w:color w:val="auto"/>
        </w:rPr>
        <w:fldChar w:fldCharType="begin"/>
      </w:r>
      <w:r w:rsidRPr="00730B1E">
        <w:rPr>
          <w:color w:val="auto"/>
        </w:rPr>
        <w:instrText xml:space="preserve"> SEQ Tabulka \* ARABIC </w:instrText>
      </w:r>
      <w:r w:rsidRPr="00730B1E">
        <w:rPr>
          <w:color w:val="auto"/>
        </w:rPr>
        <w:fldChar w:fldCharType="separate"/>
      </w:r>
      <w:r w:rsidR="00056825">
        <w:rPr>
          <w:noProof/>
          <w:color w:val="auto"/>
        </w:rPr>
        <w:t>83</w:t>
      </w:r>
      <w:r w:rsidRPr="00730B1E">
        <w:rPr>
          <w:color w:val="auto"/>
        </w:rPr>
        <w:fldChar w:fldCharType="end"/>
      </w:r>
      <w:r w:rsidRPr="00730B1E">
        <w:rPr>
          <w:color w:val="auto"/>
        </w:rPr>
        <w:t>: Obchodování s lidmi, globální data</w:t>
      </w:r>
      <w:bookmarkEnd w:id="1830"/>
      <w:bookmarkEnd w:id="1831"/>
    </w:p>
    <w:p w14:paraId="263678AB" w14:textId="77777777" w:rsidR="00F42D53" w:rsidRPr="00730B1E" w:rsidRDefault="00F42D53" w:rsidP="00F42D53">
      <w:r w:rsidRPr="00730B1E">
        <w:rPr>
          <w:noProof/>
          <w:lang w:eastAsia="cs-CZ"/>
        </w:rPr>
        <w:drawing>
          <wp:inline distT="0" distB="0" distL="0" distR="0" wp14:anchorId="274E14FA" wp14:editId="798782E6">
            <wp:extent cx="5760720" cy="1376045"/>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60720" cy="1376045"/>
                    </a:xfrm>
                    <a:prstGeom prst="rect">
                      <a:avLst/>
                    </a:prstGeom>
                    <a:noFill/>
                    <a:ln>
                      <a:noFill/>
                    </a:ln>
                  </pic:spPr>
                </pic:pic>
              </a:graphicData>
            </a:graphic>
          </wp:inline>
        </w:drawing>
      </w:r>
    </w:p>
    <w:p w14:paraId="12C00E84" w14:textId="77777777" w:rsidR="00F42D53" w:rsidRPr="00730B1E" w:rsidRDefault="00F42D53" w:rsidP="00F42D53">
      <w:pPr>
        <w:spacing w:line="240" w:lineRule="auto"/>
        <w:rPr>
          <w:i/>
          <w:iCs/>
          <w:noProof/>
          <w:sz w:val="18"/>
          <w:szCs w:val="18"/>
        </w:rPr>
      </w:pPr>
      <w:r w:rsidRPr="00730B1E">
        <w:rPr>
          <w:i/>
          <w:iCs/>
          <w:noProof/>
          <w:sz w:val="18"/>
          <w:szCs w:val="18"/>
        </w:rPr>
        <w:t>Zdroj: The 2022 UNODC Global Report on Trafficking in Persons, 141 států s více než 95% světové populace, seznam na str. 12, vlastní zpracování</w:t>
      </w:r>
    </w:p>
    <w:p w14:paraId="6CF9A1FC" w14:textId="77777777" w:rsidR="00F42D53" w:rsidRPr="00730B1E" w:rsidRDefault="00F42D53" w:rsidP="00F42D53">
      <w:pPr>
        <w:spacing w:line="240" w:lineRule="auto"/>
        <w:rPr>
          <w:i/>
          <w:iCs/>
          <w:noProof/>
          <w:sz w:val="18"/>
          <w:szCs w:val="18"/>
        </w:rPr>
      </w:pPr>
      <w:r w:rsidRPr="00730B1E">
        <w:rPr>
          <w:i/>
          <w:iCs/>
          <w:noProof/>
          <w:sz w:val="18"/>
          <w:szCs w:val="18"/>
        </w:rPr>
        <w:t xml:space="preserve">(*) pro země, u kterých data za rok 2020 nebyla k dispozici se použila data </w:t>
      </w:r>
      <w:bookmarkStart w:id="1832" w:name="_Hlk161986366"/>
      <w:r w:rsidRPr="00730B1E">
        <w:rPr>
          <w:i/>
          <w:iCs/>
          <w:noProof/>
          <w:sz w:val="18"/>
          <w:szCs w:val="18"/>
        </w:rPr>
        <w:t>za nejbližší známý rok (2021, 2019, 2018 nebo 2017)</w:t>
      </w:r>
      <w:bookmarkEnd w:id="1832"/>
    </w:p>
    <w:p w14:paraId="3FC83E0D" w14:textId="77777777" w:rsidR="00F42D53" w:rsidRPr="00730B1E" w:rsidRDefault="00F42D53" w:rsidP="00F42D53">
      <w:pPr>
        <w:rPr>
          <w:i/>
          <w:iCs/>
          <w:noProof/>
          <w:sz w:val="18"/>
          <w:szCs w:val="18"/>
        </w:rPr>
      </w:pPr>
    </w:p>
    <w:p w14:paraId="00015C28" w14:textId="77777777" w:rsidR="00F42D53" w:rsidRPr="00730B1E" w:rsidRDefault="00F42D53" w:rsidP="00F42D53">
      <w:pPr>
        <w:pStyle w:val="OdstavecASR"/>
      </w:pPr>
      <w:r w:rsidRPr="00730B1E">
        <w:t>Obchodování s lidmi je nejčastěji organizováno zločineckými skupinami. Generují nejvíce obětí, ale také nejvíce odsouzených pachatelů:</w:t>
      </w:r>
    </w:p>
    <w:p w14:paraId="4F391F6E" w14:textId="1F69BDAC" w:rsidR="00F42D53" w:rsidRPr="00730B1E" w:rsidRDefault="00F42D53" w:rsidP="00F42D53">
      <w:pPr>
        <w:pStyle w:val="Podnadpis"/>
        <w:rPr>
          <w:color w:val="auto"/>
        </w:rPr>
      </w:pPr>
      <w:bookmarkStart w:id="1833" w:name="_Toc169251044"/>
      <w:bookmarkStart w:id="1834" w:name="_Toc174080730"/>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125</w:t>
      </w:r>
      <w:r w:rsidRPr="00730B1E">
        <w:rPr>
          <w:noProof/>
          <w:color w:val="auto"/>
        </w:rPr>
        <w:fldChar w:fldCharType="end"/>
      </w:r>
      <w:r w:rsidRPr="00730B1E">
        <w:rPr>
          <w:color w:val="auto"/>
        </w:rPr>
        <w:t>: Hlavní zločinecké struktury obchodníků s lidmi, globální data 2012–2020</w:t>
      </w:r>
      <w:bookmarkEnd w:id="1833"/>
      <w:bookmarkEnd w:id="1834"/>
    </w:p>
    <w:p w14:paraId="5D77A1F1" w14:textId="77777777" w:rsidR="00F42D53" w:rsidRPr="00730B1E" w:rsidRDefault="00F42D53" w:rsidP="00F42D53">
      <w:r w:rsidRPr="00730B1E">
        <w:rPr>
          <w:noProof/>
          <w:lang w:eastAsia="cs-CZ"/>
        </w:rPr>
        <w:drawing>
          <wp:inline distT="0" distB="0" distL="0" distR="0" wp14:anchorId="5EB5A7B7" wp14:editId="79F0028D">
            <wp:extent cx="5760720" cy="293624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760720" cy="2936240"/>
                    </a:xfrm>
                    <a:prstGeom prst="rect">
                      <a:avLst/>
                    </a:prstGeom>
                  </pic:spPr>
                </pic:pic>
              </a:graphicData>
            </a:graphic>
          </wp:inline>
        </w:drawing>
      </w:r>
    </w:p>
    <w:p w14:paraId="518C803A" w14:textId="77777777" w:rsidR="00F42D53" w:rsidRPr="00730B1E" w:rsidRDefault="00F42D53" w:rsidP="00F42D53">
      <w:pPr>
        <w:tabs>
          <w:tab w:val="left" w:pos="142"/>
          <w:tab w:val="left" w:pos="4962"/>
        </w:tabs>
        <w:rPr>
          <w:b/>
          <w:bCs/>
          <w:sz w:val="20"/>
          <w:szCs w:val="18"/>
        </w:rPr>
      </w:pPr>
      <w:r w:rsidRPr="00730B1E">
        <w:rPr>
          <w:b/>
          <w:bCs/>
          <w:sz w:val="20"/>
          <w:szCs w:val="18"/>
        </w:rPr>
        <w:tab/>
        <w:t>oběti</w:t>
      </w:r>
      <w:r w:rsidRPr="00730B1E">
        <w:rPr>
          <w:b/>
          <w:bCs/>
          <w:sz w:val="20"/>
          <w:szCs w:val="18"/>
        </w:rPr>
        <w:tab/>
        <w:t>pachatelé</w:t>
      </w:r>
    </w:p>
    <w:p w14:paraId="16201D92" w14:textId="77777777" w:rsidR="00F42D53" w:rsidRPr="00730B1E" w:rsidRDefault="00F42D53" w:rsidP="00F42D53">
      <w:pPr>
        <w:spacing w:line="240" w:lineRule="auto"/>
        <w:rPr>
          <w:i/>
          <w:iCs/>
          <w:noProof/>
          <w:sz w:val="18"/>
          <w:szCs w:val="18"/>
        </w:rPr>
      </w:pPr>
      <w:r w:rsidRPr="00730B1E">
        <w:rPr>
          <w:i/>
          <w:iCs/>
          <w:noProof/>
          <w:sz w:val="18"/>
          <w:szCs w:val="18"/>
        </w:rPr>
        <w:t xml:space="preserve">Zdroj: The 2022 UNODC Global Report on Trafficking in Persons, Fig. 28, na základě informací o 3778 obětech a 2253 pachatelích nahlášených v 686 věcech vyřízených odsouzením </w:t>
      </w:r>
    </w:p>
    <w:p w14:paraId="691B1E1D" w14:textId="77777777" w:rsidR="00F42D53" w:rsidRPr="00730B1E" w:rsidRDefault="00F42D53" w:rsidP="00F42D53">
      <w:pPr>
        <w:spacing w:line="240" w:lineRule="auto"/>
        <w:rPr>
          <w:i/>
          <w:iCs/>
          <w:noProof/>
          <w:sz w:val="18"/>
          <w:szCs w:val="18"/>
        </w:rPr>
      </w:pPr>
    </w:p>
    <w:p w14:paraId="505F2197" w14:textId="77777777" w:rsidR="00F42D53" w:rsidRPr="00730B1E" w:rsidRDefault="00F42D53" w:rsidP="00F42D53">
      <w:pPr>
        <w:spacing w:line="240" w:lineRule="auto"/>
      </w:pPr>
      <w:r w:rsidRPr="00730B1E">
        <w:t>Připojujeme vlastní volný překlad zločineckých struktur v grafu (definice nejsou v publikaci uvedeny):</w:t>
      </w:r>
    </w:p>
    <w:p w14:paraId="6C987CA3" w14:textId="77777777" w:rsidR="00F42D53" w:rsidRPr="00730B1E" w:rsidRDefault="00F42D53" w:rsidP="00A94F8F">
      <w:pPr>
        <w:pStyle w:val="Odstavecseseznamem"/>
        <w:numPr>
          <w:ilvl w:val="0"/>
          <w:numId w:val="26"/>
        </w:numPr>
        <w:spacing w:line="240" w:lineRule="auto"/>
      </w:pPr>
      <w:r w:rsidRPr="00730B1E">
        <w:t>„</w:t>
      </w:r>
      <w:r w:rsidRPr="00730B1E">
        <w:rPr>
          <w:lang w:val="en-GB"/>
        </w:rPr>
        <w:t>business-like type of organized crime</w:t>
      </w:r>
      <w:r w:rsidRPr="00730B1E">
        <w:t xml:space="preserve">“ = podnikatelský typ organizovaného zločinu </w:t>
      </w:r>
    </w:p>
    <w:p w14:paraId="30F270CD" w14:textId="77777777" w:rsidR="00F42D53" w:rsidRPr="00730B1E" w:rsidRDefault="00F42D53" w:rsidP="00A94F8F">
      <w:pPr>
        <w:pStyle w:val="Odstavecseseznamem"/>
        <w:numPr>
          <w:ilvl w:val="0"/>
          <w:numId w:val="26"/>
        </w:numPr>
        <w:spacing w:before="240" w:line="240" w:lineRule="auto"/>
      </w:pPr>
      <w:r w:rsidRPr="00730B1E">
        <w:t xml:space="preserve">„governance-like type of organized crime“ = typ organizovaného zločinu podobný vládnímu či správnímu systému nad určitým teritoriem či trhem (mafie, povstalecké či paravojenské skupiny apod.) </w:t>
      </w:r>
    </w:p>
    <w:p w14:paraId="5FDE3E6A" w14:textId="77777777" w:rsidR="00F42D53" w:rsidRPr="00730B1E" w:rsidRDefault="00F42D53" w:rsidP="00A94F8F">
      <w:pPr>
        <w:pStyle w:val="Odstavecseseznamem"/>
        <w:numPr>
          <w:ilvl w:val="0"/>
          <w:numId w:val="26"/>
        </w:numPr>
        <w:spacing w:before="240" w:line="240" w:lineRule="auto"/>
      </w:pPr>
      <w:r w:rsidRPr="00730B1E">
        <w:t>„</w:t>
      </w:r>
      <w:r w:rsidRPr="00730B1E">
        <w:rPr>
          <w:lang w:val="en-GB"/>
        </w:rPr>
        <w:t>opportunistic association</w:t>
      </w:r>
      <w:r w:rsidRPr="00730B1E">
        <w:t xml:space="preserve">“ = příležitostné / volné zločinecké skupiny </w:t>
      </w:r>
    </w:p>
    <w:p w14:paraId="6C0D4F75" w14:textId="77777777" w:rsidR="00F42D53" w:rsidRPr="00730B1E" w:rsidRDefault="00F42D53" w:rsidP="00A94F8F">
      <w:pPr>
        <w:pStyle w:val="Odstavecseseznamem"/>
        <w:numPr>
          <w:ilvl w:val="0"/>
          <w:numId w:val="26"/>
        </w:numPr>
        <w:spacing w:before="240" w:line="240" w:lineRule="auto"/>
      </w:pPr>
      <w:r w:rsidRPr="00730B1E">
        <w:t>„</w:t>
      </w:r>
      <w:r w:rsidRPr="00730B1E">
        <w:rPr>
          <w:lang w:val="en-GB"/>
        </w:rPr>
        <w:t>individual traffickers</w:t>
      </w:r>
      <w:r w:rsidRPr="00730B1E">
        <w:t>“ = individuální obchodníci s lidmi</w:t>
      </w:r>
    </w:p>
    <w:p w14:paraId="55AE2B5F" w14:textId="77777777" w:rsidR="00F42D53" w:rsidRPr="00730B1E" w:rsidRDefault="00F42D53" w:rsidP="00F42D53">
      <w:pPr>
        <w:pStyle w:val="OdstavecASR"/>
        <w:spacing w:before="0" w:after="0"/>
      </w:pPr>
    </w:p>
    <w:p w14:paraId="15C2BCB2" w14:textId="205CCF26" w:rsidR="00F42D53" w:rsidRPr="00730B1E" w:rsidRDefault="00F42D53" w:rsidP="00F42D53">
      <w:pPr>
        <w:pStyle w:val="OdstavecASR"/>
        <w:widowControl w:val="0"/>
        <w:spacing w:before="0" w:after="0"/>
      </w:pPr>
      <w:r w:rsidRPr="00730B1E">
        <w:t>Pro region „Central and South-Eastern Europe“</w:t>
      </w:r>
      <w:r w:rsidRPr="00730B1E">
        <w:rPr>
          <w:rStyle w:val="Znakapoznpodarou"/>
          <w:lang w:val="en-GB"/>
        </w:rPr>
        <w:footnoteReference w:id="18"/>
      </w:r>
      <w:r w:rsidRPr="00730B1E">
        <w:t xml:space="preserve"> je zapojení pachatelů do různých zločineckých struktur následující (2009–2021): </w:t>
      </w:r>
      <w:r w:rsidR="00DF39E6" w:rsidRPr="00730B1E">
        <w:t xml:space="preserve">podnikatelský typ </w:t>
      </w:r>
      <w:r w:rsidRPr="00730B1E">
        <w:t>= 76</w:t>
      </w:r>
      <w:r w:rsidR="00DF39E6" w:rsidRPr="00730B1E">
        <w:t xml:space="preserve"> </w:t>
      </w:r>
      <w:r w:rsidRPr="00730B1E">
        <w:t xml:space="preserve">%, </w:t>
      </w:r>
      <w:r w:rsidR="00DF39E6" w:rsidRPr="00730B1E">
        <w:t xml:space="preserve">typ organizovaného zločinu podobný vládnímu či správnímu systému </w:t>
      </w:r>
      <w:r w:rsidRPr="00730B1E">
        <w:t>= 14</w:t>
      </w:r>
      <w:r w:rsidR="00DF39E6" w:rsidRPr="00730B1E">
        <w:t xml:space="preserve"> </w:t>
      </w:r>
      <w:r w:rsidRPr="00730B1E">
        <w:t xml:space="preserve">%, </w:t>
      </w:r>
      <w:r w:rsidR="00DF39E6" w:rsidRPr="00730B1E">
        <w:t xml:space="preserve">příležitostné / volné zločinecké skupiny </w:t>
      </w:r>
      <w:r w:rsidRPr="00730B1E">
        <w:t>= 5</w:t>
      </w:r>
      <w:r w:rsidR="00DF39E6" w:rsidRPr="00730B1E">
        <w:t xml:space="preserve"> </w:t>
      </w:r>
      <w:r w:rsidRPr="00730B1E">
        <w:t xml:space="preserve">%, </w:t>
      </w:r>
      <w:r w:rsidR="00DF39E6" w:rsidRPr="00730B1E">
        <w:t>individuální obchodníci s lidmi</w:t>
      </w:r>
      <w:r w:rsidRPr="00730B1E">
        <w:t xml:space="preserve"> = 5</w:t>
      </w:r>
      <w:r w:rsidR="00DF39E6" w:rsidRPr="00730B1E">
        <w:t xml:space="preserve"> </w:t>
      </w:r>
      <w:r w:rsidRPr="00730B1E">
        <w:t>%.</w:t>
      </w:r>
    </w:p>
    <w:p w14:paraId="6ACDC2B1" w14:textId="77777777" w:rsidR="00F42D53" w:rsidRPr="00730B1E" w:rsidRDefault="00F42D53" w:rsidP="00F42D53">
      <w:pPr>
        <w:pStyle w:val="OdstavecASR"/>
        <w:pageBreakBefore/>
        <w:spacing w:before="0" w:after="0"/>
      </w:pPr>
      <w:r w:rsidRPr="00730B1E">
        <w:lastRenderedPageBreak/>
        <w:t>Organizované zločinecké skupiny nejenom vykazují více odsouzených pachatelů a obětí, ale také trestnou činnost páchají delší dobu:</w:t>
      </w:r>
    </w:p>
    <w:p w14:paraId="72B2EBD2" w14:textId="6AE59407" w:rsidR="00F42D53" w:rsidRPr="00730B1E" w:rsidRDefault="00F42D53" w:rsidP="00F42D53">
      <w:pPr>
        <w:pStyle w:val="Podnadpis"/>
        <w:rPr>
          <w:color w:val="auto"/>
        </w:rPr>
      </w:pPr>
      <w:bookmarkStart w:id="1835" w:name="_Toc169251045"/>
      <w:bookmarkStart w:id="1836" w:name="_Toc174080731"/>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126</w:t>
      </w:r>
      <w:r w:rsidRPr="00730B1E">
        <w:rPr>
          <w:noProof/>
          <w:color w:val="auto"/>
        </w:rPr>
        <w:fldChar w:fldCharType="end"/>
      </w:r>
      <w:r w:rsidRPr="00730B1E">
        <w:rPr>
          <w:color w:val="auto"/>
        </w:rPr>
        <w:t>: Průměrné počty osob a průměrná délka na trestní věc, globální data 2012–2020 *</w:t>
      </w:r>
      <w:bookmarkEnd w:id="1835"/>
      <w:bookmarkEnd w:id="1836"/>
    </w:p>
    <w:p w14:paraId="550DCA4E" w14:textId="77777777" w:rsidR="00F42D53" w:rsidRPr="00730B1E" w:rsidRDefault="00F42D53" w:rsidP="00F42D53">
      <w:pPr>
        <w:pStyle w:val="OdstavecASR"/>
        <w:spacing w:before="0" w:after="0"/>
      </w:pPr>
      <w:r w:rsidRPr="00730B1E">
        <w:rPr>
          <w:noProof/>
          <w:lang w:eastAsia="cs-CZ"/>
        </w:rPr>
        <w:drawing>
          <wp:inline distT="0" distB="0" distL="0" distR="0" wp14:anchorId="079ECAB8" wp14:editId="71D3B31B">
            <wp:extent cx="2802693" cy="2324456"/>
            <wp:effectExtent l="0" t="0" r="0"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824887" cy="2342863"/>
                    </a:xfrm>
                    <a:prstGeom prst="rect">
                      <a:avLst/>
                    </a:prstGeom>
                  </pic:spPr>
                </pic:pic>
              </a:graphicData>
            </a:graphic>
          </wp:inline>
        </w:drawing>
      </w:r>
      <w:r w:rsidRPr="00730B1E">
        <w:t xml:space="preserve">       </w:t>
      </w:r>
      <w:r w:rsidRPr="00730B1E">
        <w:rPr>
          <w:noProof/>
          <w:lang w:eastAsia="cs-CZ"/>
        </w:rPr>
        <w:drawing>
          <wp:inline distT="0" distB="0" distL="0" distR="0" wp14:anchorId="618B10D6" wp14:editId="2F11CFAA">
            <wp:extent cx="2751746" cy="2362886"/>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769396" cy="2378042"/>
                    </a:xfrm>
                    <a:prstGeom prst="rect">
                      <a:avLst/>
                    </a:prstGeom>
                  </pic:spPr>
                </pic:pic>
              </a:graphicData>
            </a:graphic>
          </wp:inline>
        </w:drawing>
      </w:r>
    </w:p>
    <w:p w14:paraId="0D16E549" w14:textId="3784D838" w:rsidR="00F42D53" w:rsidRPr="00730B1E" w:rsidRDefault="00F42D53" w:rsidP="00F42D53">
      <w:pPr>
        <w:pStyle w:val="OdstavecASR"/>
        <w:tabs>
          <w:tab w:val="left" w:pos="709"/>
          <w:tab w:val="left" w:pos="2977"/>
          <w:tab w:val="left" w:pos="4678"/>
        </w:tabs>
        <w:spacing w:before="0" w:after="0"/>
        <w:rPr>
          <w:b/>
          <w:bCs/>
        </w:rPr>
      </w:pPr>
      <w:r w:rsidRPr="00730B1E">
        <w:tab/>
      </w:r>
      <w:r w:rsidRPr="00730B1E">
        <w:rPr>
          <w:b/>
          <w:bCs/>
          <w:sz w:val="20"/>
          <w:szCs w:val="18"/>
        </w:rPr>
        <w:t>oběti</w:t>
      </w:r>
      <w:r w:rsidRPr="00730B1E">
        <w:rPr>
          <w:b/>
          <w:bCs/>
          <w:sz w:val="20"/>
          <w:szCs w:val="18"/>
        </w:rPr>
        <w:tab/>
        <w:t>pachatelé</w:t>
      </w:r>
      <w:r w:rsidRPr="00730B1E">
        <w:rPr>
          <w:b/>
          <w:bCs/>
          <w:sz w:val="20"/>
          <w:szCs w:val="18"/>
        </w:rPr>
        <w:tab/>
        <w:t xml:space="preserve">průměrná délka aktivity obchodníka s lidmi </w:t>
      </w:r>
      <w:r w:rsidRPr="00730B1E">
        <w:rPr>
          <w:sz w:val="20"/>
          <w:szCs w:val="18"/>
        </w:rPr>
        <w:t>(měsíc</w:t>
      </w:r>
      <w:r w:rsidR="00394636" w:rsidRPr="00730B1E">
        <w:rPr>
          <w:sz w:val="20"/>
          <w:szCs w:val="18"/>
        </w:rPr>
        <w:t>e</w:t>
      </w:r>
      <w:r w:rsidRPr="00730B1E">
        <w:rPr>
          <w:sz w:val="20"/>
          <w:szCs w:val="18"/>
        </w:rPr>
        <w:t>)</w:t>
      </w:r>
    </w:p>
    <w:p w14:paraId="4266D7EB" w14:textId="77777777" w:rsidR="00F42D53" w:rsidRPr="00730B1E" w:rsidRDefault="00F42D53" w:rsidP="00F42D53">
      <w:pPr>
        <w:pStyle w:val="OdstavecASR"/>
        <w:spacing w:before="0" w:after="0"/>
      </w:pPr>
      <w:r w:rsidRPr="00730B1E">
        <w:rPr>
          <w:noProof/>
          <w:lang w:eastAsia="cs-CZ"/>
        </w:rPr>
        <w:drawing>
          <wp:inline distT="0" distB="0" distL="0" distR="0" wp14:anchorId="59587224" wp14:editId="311FB090">
            <wp:extent cx="2008262" cy="697191"/>
            <wp:effectExtent l="0" t="0" r="0" b="825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029140" cy="704439"/>
                    </a:xfrm>
                    <a:prstGeom prst="rect">
                      <a:avLst/>
                    </a:prstGeom>
                  </pic:spPr>
                </pic:pic>
              </a:graphicData>
            </a:graphic>
          </wp:inline>
        </w:drawing>
      </w:r>
    </w:p>
    <w:p w14:paraId="7E762743" w14:textId="77777777" w:rsidR="00F42D53" w:rsidRPr="00730B1E" w:rsidRDefault="00F42D53" w:rsidP="00F42D53">
      <w:pPr>
        <w:pStyle w:val="OdstavecASR"/>
        <w:spacing w:before="0" w:after="0"/>
        <w:rPr>
          <w:i/>
          <w:iCs/>
          <w:noProof/>
          <w:sz w:val="18"/>
          <w:szCs w:val="18"/>
        </w:rPr>
      </w:pPr>
      <w:r w:rsidRPr="00730B1E">
        <w:rPr>
          <w:i/>
          <w:iCs/>
          <w:noProof/>
          <w:sz w:val="18"/>
          <w:szCs w:val="18"/>
        </w:rPr>
        <w:t>Zdroj: The 2022 UNODC Global Report on Trafficking in Persons, Fig. 29 a 30, (*) detail viz report, str. 49 a 50, věci vyřízené odsouzením</w:t>
      </w:r>
    </w:p>
    <w:p w14:paraId="15CD2DD4" w14:textId="77777777" w:rsidR="00F42D53" w:rsidRPr="00730B1E" w:rsidRDefault="00F42D53" w:rsidP="00F42D53">
      <w:pPr>
        <w:pStyle w:val="OdstavecASR"/>
        <w:spacing w:before="0" w:after="0"/>
      </w:pPr>
    </w:p>
    <w:p w14:paraId="7B63D47C" w14:textId="77777777" w:rsidR="00F42D53" w:rsidRPr="00730B1E" w:rsidRDefault="00F42D53" w:rsidP="00F42D53">
      <w:pPr>
        <w:pStyle w:val="OdstavecASR"/>
        <w:spacing w:before="0" w:after="0"/>
      </w:pPr>
      <w:r w:rsidRPr="00730B1E">
        <w:t>Pokud jde o demografický profil obchodníků s lidmi, liší se nejen podle teritoria působení, ale také podle struktury organizace, jak je vidět na dalších grafech:</w:t>
      </w:r>
    </w:p>
    <w:p w14:paraId="3FDB9B46" w14:textId="5797BD0C" w:rsidR="00F42D53" w:rsidRPr="00730B1E" w:rsidRDefault="00F42D53" w:rsidP="00F42D53">
      <w:pPr>
        <w:pStyle w:val="Podnadpis"/>
        <w:rPr>
          <w:color w:val="auto"/>
        </w:rPr>
      </w:pPr>
      <w:bookmarkStart w:id="1837" w:name="_Toc169251046"/>
      <w:bookmarkStart w:id="1838" w:name="_Toc17408073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127</w:t>
      </w:r>
      <w:r w:rsidRPr="00730B1E">
        <w:rPr>
          <w:noProof/>
          <w:color w:val="auto"/>
        </w:rPr>
        <w:fldChar w:fldCharType="end"/>
      </w:r>
      <w:r w:rsidRPr="00730B1E">
        <w:rPr>
          <w:color w:val="auto"/>
        </w:rPr>
        <w:t>: Obchodníci s lidmi dle pohlaví a věku, globální data 2020 *</w:t>
      </w:r>
      <w:bookmarkEnd w:id="1837"/>
      <w:bookmarkEnd w:id="1838"/>
    </w:p>
    <w:p w14:paraId="66E09A94" w14:textId="77777777" w:rsidR="00F42D53" w:rsidRPr="00730B1E" w:rsidRDefault="00F42D53" w:rsidP="00F42D53">
      <w:pPr>
        <w:pStyle w:val="OdstavecASR"/>
        <w:spacing w:before="0" w:after="0"/>
      </w:pPr>
      <w:r w:rsidRPr="00730B1E">
        <w:rPr>
          <w:noProof/>
          <w:lang w:eastAsia="cs-CZ"/>
        </w:rPr>
        <w:drawing>
          <wp:inline distT="0" distB="0" distL="0" distR="0" wp14:anchorId="27C543DA" wp14:editId="55C8DD3B">
            <wp:extent cx="5760720" cy="2032635"/>
            <wp:effectExtent l="0" t="0" r="0" b="5715"/>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760720" cy="2032635"/>
                    </a:xfrm>
                    <a:prstGeom prst="rect">
                      <a:avLst/>
                    </a:prstGeom>
                  </pic:spPr>
                </pic:pic>
              </a:graphicData>
            </a:graphic>
          </wp:inline>
        </w:drawing>
      </w:r>
    </w:p>
    <w:p w14:paraId="51970AEA" w14:textId="77777777" w:rsidR="00F42D53" w:rsidRPr="00730B1E" w:rsidRDefault="00F42D53" w:rsidP="00F42D53">
      <w:pPr>
        <w:pStyle w:val="OdstavecASR"/>
        <w:tabs>
          <w:tab w:val="left" w:pos="1276"/>
          <w:tab w:val="left" w:pos="2977"/>
          <w:tab w:val="left" w:pos="5812"/>
        </w:tabs>
        <w:spacing w:before="0" w:after="0"/>
        <w:jc w:val="left"/>
        <w:rPr>
          <w:b/>
          <w:bCs/>
        </w:rPr>
      </w:pPr>
      <w:r w:rsidRPr="00730B1E">
        <w:tab/>
      </w:r>
      <w:r w:rsidRPr="00730B1E">
        <w:rPr>
          <w:b/>
          <w:bCs/>
          <w:sz w:val="20"/>
          <w:szCs w:val="18"/>
        </w:rPr>
        <w:t>výchozí země</w:t>
      </w:r>
      <w:r w:rsidRPr="00730B1E">
        <w:rPr>
          <w:b/>
          <w:bCs/>
          <w:sz w:val="20"/>
          <w:szCs w:val="18"/>
        </w:rPr>
        <w:tab/>
        <w:t>cílová země</w:t>
      </w:r>
      <w:r w:rsidRPr="00730B1E">
        <w:rPr>
          <w:b/>
          <w:bCs/>
          <w:sz w:val="20"/>
          <w:szCs w:val="18"/>
        </w:rPr>
        <w:tab/>
      </w:r>
      <w:r w:rsidRPr="00730B1E">
        <w:rPr>
          <w:b/>
          <w:bCs/>
          <w:noProof/>
          <w:sz w:val="20"/>
          <w:szCs w:val="18"/>
          <w:lang w:eastAsia="cs-CZ"/>
        </w:rPr>
        <w:drawing>
          <wp:inline distT="0" distB="0" distL="0" distR="0" wp14:anchorId="15DC14E0" wp14:editId="37199331">
            <wp:extent cx="109220" cy="1943100"/>
            <wp:effectExtent l="0" t="2540" r="2540" b="2540"/>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extLst>
                        <a:ext uri="{28A0092B-C50C-407E-A947-70E740481C1C}">
                          <a14:useLocalDpi xmlns:a14="http://schemas.microsoft.com/office/drawing/2010/main" val="0"/>
                        </a:ext>
                      </a:extLst>
                    </a:blip>
                    <a:stretch>
                      <a:fillRect/>
                    </a:stretch>
                  </pic:blipFill>
                  <pic:spPr>
                    <a:xfrm rot="16200000">
                      <a:off x="0" y="0"/>
                      <a:ext cx="109220" cy="1943100"/>
                    </a:xfrm>
                    <a:prstGeom prst="rect">
                      <a:avLst/>
                    </a:prstGeom>
                  </pic:spPr>
                </pic:pic>
              </a:graphicData>
            </a:graphic>
          </wp:inline>
        </w:drawing>
      </w:r>
    </w:p>
    <w:p w14:paraId="2A8A831C" w14:textId="77777777" w:rsidR="00F42D53" w:rsidRPr="00730B1E" w:rsidRDefault="00F42D53" w:rsidP="00F42D53">
      <w:pPr>
        <w:pStyle w:val="OdstavecASR"/>
        <w:tabs>
          <w:tab w:val="left" w:pos="5812"/>
        </w:tabs>
        <w:spacing w:before="0" w:after="0"/>
        <w:ind w:left="284"/>
      </w:pPr>
      <w:r w:rsidRPr="00730B1E">
        <w:rPr>
          <w:noProof/>
          <w:lang w:eastAsia="cs-CZ"/>
        </w:rPr>
        <w:drawing>
          <wp:inline distT="0" distB="0" distL="0" distR="0" wp14:anchorId="6B309305" wp14:editId="418506F3">
            <wp:extent cx="2929255" cy="1230552"/>
            <wp:effectExtent l="0" t="0" r="0" b="8255"/>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976316" cy="1250322"/>
                    </a:xfrm>
                    <a:prstGeom prst="rect">
                      <a:avLst/>
                    </a:prstGeom>
                    <a:noFill/>
                    <a:ln>
                      <a:noFill/>
                    </a:ln>
                  </pic:spPr>
                </pic:pic>
              </a:graphicData>
            </a:graphic>
          </wp:inline>
        </w:drawing>
      </w:r>
      <w:r w:rsidRPr="00730B1E">
        <w:t xml:space="preserve">                     </w:t>
      </w:r>
      <w:r w:rsidRPr="00730B1E">
        <w:rPr>
          <w:noProof/>
          <w:lang w:eastAsia="cs-CZ"/>
        </w:rPr>
        <w:drawing>
          <wp:inline distT="0" distB="0" distL="0" distR="0" wp14:anchorId="276873EB" wp14:editId="6D33B777">
            <wp:extent cx="2008262" cy="697191"/>
            <wp:effectExtent l="0" t="0" r="0" b="825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029140" cy="704439"/>
                    </a:xfrm>
                    <a:prstGeom prst="rect">
                      <a:avLst/>
                    </a:prstGeom>
                  </pic:spPr>
                </pic:pic>
              </a:graphicData>
            </a:graphic>
          </wp:inline>
        </w:drawing>
      </w:r>
    </w:p>
    <w:p w14:paraId="1ED48352" w14:textId="77777777" w:rsidR="00F42D53" w:rsidRPr="00730B1E" w:rsidRDefault="00F42D53" w:rsidP="00F42D53">
      <w:pPr>
        <w:pStyle w:val="OdstavecASR"/>
        <w:spacing w:before="0" w:after="0"/>
        <w:rPr>
          <w:i/>
          <w:iCs/>
          <w:noProof/>
          <w:sz w:val="18"/>
          <w:szCs w:val="18"/>
        </w:rPr>
      </w:pPr>
      <w:r w:rsidRPr="00730B1E">
        <w:rPr>
          <w:i/>
          <w:iCs/>
          <w:noProof/>
          <w:sz w:val="18"/>
          <w:szCs w:val="18"/>
        </w:rPr>
        <w:t>Zdroj: The 2022 UNODC Global Report on Trafficking in Persons, Fig. 35 a 36, (*) detail viz report, str. 59, věci vyřízenéh odsouzením</w:t>
      </w:r>
    </w:p>
    <w:p w14:paraId="59BE9277" w14:textId="337EA942" w:rsidR="00F42D53" w:rsidRPr="00730B1E" w:rsidRDefault="00394636" w:rsidP="00F42D53">
      <w:pPr>
        <w:pStyle w:val="OdstavecASR"/>
        <w:spacing w:before="0" w:after="0"/>
      </w:pPr>
      <w:r w:rsidRPr="00730B1E">
        <w:lastRenderedPageBreak/>
        <w:t xml:space="preserve">Z údajů vyplývá, že </w:t>
      </w:r>
      <w:r w:rsidR="00F42D53" w:rsidRPr="00730B1E">
        <w:t xml:space="preserve">obchodování s lidmi se více věnují muži (58 %) než ženy (40 %), o zbylá 2 % se rovnoměrně dělí odsouzení chlapci a dívky (graf neuveřejňujeme). Pro značný rozdíl mezi odsouzenými ženami a muži ve výchozích zemích </w:t>
      </w:r>
      <w:r w:rsidRPr="00730B1E">
        <w:t xml:space="preserve">oproti </w:t>
      </w:r>
      <w:r w:rsidR="00F42D53" w:rsidRPr="00730B1E">
        <w:t>cílový</w:t>
      </w:r>
      <w:r w:rsidRPr="00730B1E">
        <w:t>m</w:t>
      </w:r>
      <w:r w:rsidR="00F42D53" w:rsidRPr="00730B1E">
        <w:t xml:space="preserve"> destinací</w:t>
      </w:r>
      <w:r w:rsidRPr="00730B1E">
        <w:t>m</w:t>
      </w:r>
      <w:r w:rsidR="00F42D53" w:rsidRPr="00730B1E">
        <w:t xml:space="preserve"> nabízí publikace „The 2022 UNODC Global Report on Trafficking in Persons“ vysvětlení, </w:t>
      </w:r>
      <w:r w:rsidRPr="00730B1E">
        <w:t xml:space="preserve">že </w:t>
      </w:r>
      <w:r w:rsidR="00F42D53" w:rsidRPr="00730B1E">
        <w:t>ženy se pravděpodobně zapojují více ve fázi „získání“ oběti a také v aktivitách s vyšším rizikem odhalení (jako je např. výběr peněz), zejména u obchodování pro sexuální vykořisťování. Následující mapa specifikuje toto různé zapojení odsouzených mužů a žen podle hlavních světových regionů.</w:t>
      </w:r>
    </w:p>
    <w:p w14:paraId="7F05C97A" w14:textId="55618EEF" w:rsidR="00F42D53" w:rsidRPr="00730B1E" w:rsidRDefault="00F42D53" w:rsidP="00F42D53">
      <w:pPr>
        <w:pStyle w:val="Podnadpis"/>
        <w:rPr>
          <w:color w:val="auto"/>
        </w:rPr>
      </w:pPr>
      <w:bookmarkStart w:id="1839" w:name="_Toc169251047"/>
      <w:bookmarkStart w:id="1840" w:name="_Toc174080733"/>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128</w:t>
      </w:r>
      <w:r w:rsidRPr="00730B1E">
        <w:rPr>
          <w:noProof/>
          <w:color w:val="auto"/>
        </w:rPr>
        <w:fldChar w:fldCharType="end"/>
      </w:r>
      <w:r w:rsidRPr="00730B1E">
        <w:rPr>
          <w:color w:val="auto"/>
        </w:rPr>
        <w:t>: Obchodníci s lidmi dle pohlaví a věku, globální data 2020</w:t>
      </w:r>
      <w:bookmarkEnd w:id="1839"/>
      <w:bookmarkEnd w:id="1840"/>
    </w:p>
    <w:p w14:paraId="1C0F3CE4" w14:textId="77777777" w:rsidR="00F42D53" w:rsidRPr="00730B1E" w:rsidRDefault="00F42D53" w:rsidP="00F42D53"/>
    <w:p w14:paraId="0F9FBC24" w14:textId="77777777" w:rsidR="00F42D53" w:rsidRPr="00730B1E" w:rsidRDefault="00F42D53" w:rsidP="00F42D53">
      <w:pPr>
        <w:pStyle w:val="OdstavecASR"/>
        <w:spacing w:before="0" w:after="0"/>
      </w:pPr>
      <w:r w:rsidRPr="00730B1E">
        <w:rPr>
          <w:noProof/>
          <w:lang w:eastAsia="cs-CZ"/>
        </w:rPr>
        <w:drawing>
          <wp:inline distT="0" distB="0" distL="0" distR="0" wp14:anchorId="741239CD" wp14:editId="7A406B20">
            <wp:extent cx="5760720" cy="3001010"/>
            <wp:effectExtent l="0" t="0" r="0" b="8890"/>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760720" cy="3001010"/>
                    </a:xfrm>
                    <a:prstGeom prst="rect">
                      <a:avLst/>
                    </a:prstGeom>
                  </pic:spPr>
                </pic:pic>
              </a:graphicData>
            </a:graphic>
          </wp:inline>
        </w:drawing>
      </w:r>
    </w:p>
    <w:p w14:paraId="7E01653A" w14:textId="77777777" w:rsidR="00F42D53" w:rsidRPr="00730B1E" w:rsidRDefault="00F42D53" w:rsidP="00F42D53">
      <w:pPr>
        <w:pStyle w:val="OdstavecASR"/>
        <w:spacing w:before="0" w:after="0"/>
        <w:rPr>
          <w:i/>
          <w:iCs/>
          <w:noProof/>
          <w:sz w:val="18"/>
          <w:szCs w:val="18"/>
        </w:rPr>
      </w:pPr>
      <w:r w:rsidRPr="00730B1E">
        <w:rPr>
          <w:i/>
          <w:iCs/>
          <w:noProof/>
          <w:sz w:val="18"/>
          <w:szCs w:val="18"/>
        </w:rPr>
        <w:t xml:space="preserve">Zdroj: </w:t>
      </w:r>
      <w:bookmarkStart w:id="1841" w:name="_Hlk161384153"/>
      <w:r w:rsidRPr="00730B1E">
        <w:rPr>
          <w:i/>
          <w:iCs/>
          <w:noProof/>
          <w:sz w:val="18"/>
          <w:szCs w:val="18"/>
        </w:rPr>
        <w:t>The 2022 UNODC Global Report on Trafficking in Persons</w:t>
      </w:r>
      <w:bookmarkEnd w:id="1841"/>
      <w:r w:rsidRPr="00730B1E">
        <w:rPr>
          <w:i/>
          <w:iCs/>
          <w:noProof/>
          <w:sz w:val="18"/>
          <w:szCs w:val="18"/>
        </w:rPr>
        <w:t>, mapa č. 6, věci vyřízenéh odsouzením, upozornění UNODC: Zobrazené hranice a názvy a označení použitá na této mapě neznamenají oficiální podporu nebo přijetí ze strany Organizace spojených národů.</w:t>
      </w:r>
    </w:p>
    <w:p w14:paraId="16954C19" w14:textId="77777777" w:rsidR="00F42D53" w:rsidRPr="00730B1E" w:rsidRDefault="00F42D53" w:rsidP="00F42D53">
      <w:pPr>
        <w:pStyle w:val="OdstavecASR"/>
        <w:spacing w:before="0" w:after="0"/>
        <w:rPr>
          <w:i/>
          <w:iCs/>
          <w:noProof/>
          <w:sz w:val="18"/>
          <w:szCs w:val="18"/>
        </w:rPr>
      </w:pPr>
    </w:p>
    <w:p w14:paraId="78950F74" w14:textId="6068FDAD" w:rsidR="00F42D53" w:rsidRPr="00730B1E" w:rsidRDefault="00F42D53" w:rsidP="00F42D53">
      <w:pPr>
        <w:pStyle w:val="OdstavecASR"/>
        <w:spacing w:before="0" w:after="0"/>
      </w:pPr>
      <w:r w:rsidRPr="00730B1E">
        <w:t>Další data zveřejněná v publikaci „The 2022 UNODC Global Report on Trafficking in Persons“ ukazují, že s věkem pachatelů se mění i forma vykořisťování</w:t>
      </w:r>
      <w:r w:rsidR="00E5732D">
        <w:t>,</w:t>
      </w:r>
      <w:r w:rsidRPr="00730B1E">
        <w:t xml:space="preserve"> pro kterou jsou oběti obchodovány</w:t>
      </w:r>
      <w:r w:rsidR="00394636" w:rsidRPr="00730B1E">
        <w:t>.</w:t>
      </w:r>
      <w:r w:rsidRPr="00730B1E">
        <w:t xml:space="preserve"> </w:t>
      </w:r>
      <w:r w:rsidR="00394636" w:rsidRPr="00730B1E">
        <w:t>Podíl</w:t>
      </w:r>
      <w:r w:rsidRPr="00730B1E">
        <w:t xml:space="preserve"> odsouzených pachatelů za obchodování pro sexuální vykořisťování stoupá až do věku 46 let</w:t>
      </w:r>
      <w:r w:rsidR="00394636" w:rsidRPr="00730B1E">
        <w:t>,</w:t>
      </w:r>
      <w:r w:rsidRPr="00730B1E">
        <w:t xml:space="preserve"> následně prudce klesá </w:t>
      </w:r>
      <w:r w:rsidR="00FF2752" w:rsidRPr="00730B1E">
        <w:t>ve prospěch</w:t>
      </w:r>
      <w:r w:rsidRPr="00730B1E">
        <w:t xml:space="preserve"> obchodování za účelem nucených prací</w:t>
      </w:r>
      <w:r w:rsidRPr="00730B1E">
        <w:rPr>
          <w:rStyle w:val="Znakapoznpodarou"/>
        </w:rPr>
        <w:footnoteReference w:id="19"/>
      </w:r>
      <w:r w:rsidRPr="00730B1E">
        <w:t>.</w:t>
      </w:r>
    </w:p>
    <w:p w14:paraId="097ED413" w14:textId="77777777" w:rsidR="00F42D53" w:rsidRPr="00730B1E" w:rsidRDefault="00F42D53" w:rsidP="00F42D53">
      <w:pPr>
        <w:pStyle w:val="OdstavecASR"/>
        <w:spacing w:before="0" w:after="0"/>
      </w:pPr>
    </w:p>
    <w:p w14:paraId="619A84FD" w14:textId="4B3AD256" w:rsidR="00F42D53" w:rsidRPr="00730B1E" w:rsidRDefault="00F42D53" w:rsidP="00F42D53">
      <w:pPr>
        <w:pStyle w:val="OdstavecASR"/>
        <w:spacing w:before="0" w:after="0"/>
      </w:pPr>
      <w:r w:rsidRPr="00730B1E">
        <w:t>Následující mapa již specifikuje, jaké formě vykořisťování jsou jeho oběti vystaveny nejvíce podle základních světových regionů. Je zřejmé, že zatímco severní a střední Amerika a také střední a jihovýchodní Evropa jsou zaměřeny na zneužívání žen (dospělých i dětí) pro sexuální vykořisťování, jiné regiony toto zneužívání doplňují nucenými pracemi mužů. Jak UNODC upřesňuje, modré postavičky chlapců znamenají jejich zneužití převážně pro nucené kriminální aktivity</w:t>
      </w:r>
      <w:r w:rsidRPr="00730B1E">
        <w:rPr>
          <w:rStyle w:val="Znakapoznpodarou"/>
        </w:rPr>
        <w:footnoteReference w:id="20"/>
      </w:r>
      <w:r w:rsidRPr="00730B1E">
        <w:t>.</w:t>
      </w:r>
    </w:p>
    <w:p w14:paraId="7FECBE90" w14:textId="77777777" w:rsidR="00F42D53" w:rsidRPr="00730B1E" w:rsidRDefault="00F42D53" w:rsidP="00F42D53">
      <w:pPr>
        <w:pStyle w:val="OdstavecASR"/>
        <w:spacing w:before="0" w:after="0"/>
      </w:pPr>
    </w:p>
    <w:p w14:paraId="3857A6A7" w14:textId="1CAB7D19" w:rsidR="00F42D53" w:rsidRPr="00730B1E" w:rsidRDefault="00F42D53" w:rsidP="00F42D53">
      <w:pPr>
        <w:pStyle w:val="Podnadpis"/>
        <w:pageBreakBefore/>
        <w:rPr>
          <w:color w:val="auto"/>
        </w:rPr>
      </w:pPr>
      <w:bookmarkStart w:id="1842" w:name="_Toc169251048"/>
      <w:bookmarkStart w:id="1843" w:name="_Toc174080734"/>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129</w:t>
      </w:r>
      <w:r w:rsidRPr="00730B1E">
        <w:rPr>
          <w:noProof/>
          <w:color w:val="auto"/>
        </w:rPr>
        <w:fldChar w:fldCharType="end"/>
      </w:r>
      <w:r w:rsidRPr="00730B1E">
        <w:rPr>
          <w:color w:val="auto"/>
        </w:rPr>
        <w:t>: Hlavní formy zneužívání identifikovaných obětí obchodování s lidmi podle regionů,</w:t>
      </w:r>
      <w:r w:rsidR="00363F20" w:rsidRPr="00730B1E">
        <w:rPr>
          <w:color w:val="auto"/>
        </w:rPr>
        <w:t xml:space="preserve"> globální data</w:t>
      </w:r>
      <w:r w:rsidRPr="00730B1E">
        <w:rPr>
          <w:color w:val="auto"/>
        </w:rPr>
        <w:t xml:space="preserve"> 2020</w:t>
      </w:r>
      <w:bookmarkEnd w:id="1842"/>
      <w:bookmarkEnd w:id="1843"/>
    </w:p>
    <w:p w14:paraId="15A136C1" w14:textId="77777777" w:rsidR="00F42D53" w:rsidRPr="00730B1E" w:rsidRDefault="00F42D53" w:rsidP="00F42D53">
      <w:pPr>
        <w:pStyle w:val="OdstavecASR"/>
        <w:rPr>
          <w:u w:val="single"/>
        </w:rPr>
      </w:pPr>
      <w:r w:rsidRPr="00730B1E">
        <w:rPr>
          <w:noProof/>
          <w:lang w:eastAsia="cs-CZ"/>
        </w:rPr>
        <w:drawing>
          <wp:inline distT="0" distB="0" distL="0" distR="0" wp14:anchorId="145A9BFF" wp14:editId="731F325E">
            <wp:extent cx="5760720" cy="3213219"/>
            <wp:effectExtent l="0" t="0" r="0" b="635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b="1820"/>
                    <a:stretch/>
                  </pic:blipFill>
                  <pic:spPr bwMode="auto">
                    <a:xfrm>
                      <a:off x="0" y="0"/>
                      <a:ext cx="5760720" cy="3213219"/>
                    </a:xfrm>
                    <a:prstGeom prst="rect">
                      <a:avLst/>
                    </a:prstGeom>
                    <a:ln>
                      <a:noFill/>
                    </a:ln>
                    <a:extLst>
                      <a:ext uri="{53640926-AAD7-44D8-BBD7-CCE9431645EC}">
                        <a14:shadowObscured xmlns:a14="http://schemas.microsoft.com/office/drawing/2010/main"/>
                      </a:ext>
                    </a:extLst>
                  </pic:spPr>
                </pic:pic>
              </a:graphicData>
            </a:graphic>
          </wp:inline>
        </w:drawing>
      </w:r>
    </w:p>
    <w:p w14:paraId="64BE34AC" w14:textId="77777777" w:rsidR="00F42D53" w:rsidRPr="00730B1E" w:rsidRDefault="00F42D53" w:rsidP="00F42D53">
      <w:pPr>
        <w:rPr>
          <w:i/>
          <w:iCs/>
          <w:sz w:val="18"/>
          <w:szCs w:val="18"/>
        </w:rPr>
      </w:pPr>
      <w:r w:rsidRPr="00730B1E">
        <w:rPr>
          <w:i/>
          <w:iCs/>
          <w:sz w:val="18"/>
          <w:szCs w:val="18"/>
        </w:rPr>
        <w:t xml:space="preserve">Zdroj: The 2022 UNODC Global Report on Trafficking in Persons, data za rok 2020, </w:t>
      </w:r>
      <w:r w:rsidRPr="00730B1E">
        <w:rPr>
          <w:i/>
          <w:iCs/>
          <w:noProof/>
          <w:sz w:val="18"/>
          <w:szCs w:val="18"/>
        </w:rPr>
        <w:t>věci vyřízenéh odsouzením,</w:t>
      </w:r>
      <w:r w:rsidRPr="00730B1E">
        <w:rPr>
          <w:i/>
          <w:iCs/>
          <w:sz w:val="18"/>
          <w:szCs w:val="18"/>
        </w:rPr>
        <w:t xml:space="preserve"> přetisknutý graf, </w:t>
      </w:r>
      <w:r w:rsidRPr="00730B1E">
        <w:rPr>
          <w:i/>
          <w:iCs/>
          <w:noProof/>
          <w:sz w:val="18"/>
          <w:szCs w:val="18"/>
        </w:rPr>
        <w:t>upozornění UNODC</w:t>
      </w:r>
      <w:r w:rsidRPr="00730B1E">
        <w:rPr>
          <w:i/>
          <w:iCs/>
          <w:sz w:val="18"/>
          <w:szCs w:val="18"/>
        </w:rPr>
        <w:t>: „Zobrazené hranice a názvy a označení použitá na této mapě neznamenají oficiální podporu nebo přijetí ze strany Organizace spojených národů.“</w:t>
      </w:r>
    </w:p>
    <w:p w14:paraId="6FF78AEA" w14:textId="77777777" w:rsidR="00F42D53" w:rsidRPr="00730B1E" w:rsidRDefault="00F42D53" w:rsidP="00F42D53">
      <w:pPr>
        <w:pStyle w:val="OdstavecASR"/>
      </w:pPr>
    </w:p>
    <w:p w14:paraId="06992A73" w14:textId="0D0136F0" w:rsidR="00F42D53" w:rsidRPr="00730B1E" w:rsidRDefault="00F42D53" w:rsidP="00F42D53">
      <w:pPr>
        <w:pStyle w:val="OdstavecASR"/>
      </w:pPr>
      <w:r w:rsidRPr="00730B1E">
        <w:t>Detailnější pohled na formy zneužívání obětí obchodování je nepříliš překvapující</w:t>
      </w:r>
      <w:r w:rsidR="00FE5B66" w:rsidRPr="00730B1E">
        <w:t>, což nic nemění na jeho znepokojivosti</w:t>
      </w:r>
      <w:r w:rsidRPr="00730B1E">
        <w:t>:</w:t>
      </w:r>
    </w:p>
    <w:p w14:paraId="3CFE1F92" w14:textId="6538BCE9" w:rsidR="00F42D53" w:rsidRPr="00730B1E" w:rsidRDefault="00F42D53" w:rsidP="00F42D53">
      <w:pPr>
        <w:pStyle w:val="Podnadpis"/>
        <w:rPr>
          <w:color w:val="auto"/>
        </w:rPr>
      </w:pPr>
      <w:bookmarkStart w:id="1844" w:name="_Toc169251049"/>
      <w:bookmarkStart w:id="1845" w:name="_Toc174080735"/>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130</w:t>
      </w:r>
      <w:r w:rsidRPr="00730B1E">
        <w:rPr>
          <w:noProof/>
          <w:color w:val="auto"/>
        </w:rPr>
        <w:fldChar w:fldCharType="end"/>
      </w:r>
      <w:r w:rsidRPr="00730B1E">
        <w:rPr>
          <w:color w:val="auto"/>
        </w:rPr>
        <w:t>: Hlavní formy zneužívání identifikovaných obětí obchodování s lidmi podle věkových skupin,</w:t>
      </w:r>
      <w:r w:rsidR="00363F20" w:rsidRPr="00730B1E">
        <w:rPr>
          <w:color w:val="auto"/>
        </w:rPr>
        <w:t xml:space="preserve"> globální data</w:t>
      </w:r>
      <w:r w:rsidRPr="00730B1E">
        <w:rPr>
          <w:color w:val="auto"/>
        </w:rPr>
        <w:t xml:space="preserve"> 2020</w:t>
      </w:r>
      <w:bookmarkEnd w:id="1844"/>
      <w:bookmarkEnd w:id="1845"/>
    </w:p>
    <w:p w14:paraId="7C0DFACD" w14:textId="77777777" w:rsidR="00F42D53" w:rsidRPr="00730B1E" w:rsidRDefault="00F42D53" w:rsidP="00F42D53">
      <w:r w:rsidRPr="00730B1E">
        <w:rPr>
          <w:noProof/>
          <w:lang w:eastAsia="cs-CZ"/>
        </w:rPr>
        <w:drawing>
          <wp:inline distT="0" distB="0" distL="0" distR="0" wp14:anchorId="0EDC2ADA" wp14:editId="2F64937C">
            <wp:extent cx="5760720" cy="3041015"/>
            <wp:effectExtent l="0" t="0" r="0" b="6985"/>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760720" cy="3041015"/>
                    </a:xfrm>
                    <a:prstGeom prst="rect">
                      <a:avLst/>
                    </a:prstGeom>
                  </pic:spPr>
                </pic:pic>
              </a:graphicData>
            </a:graphic>
          </wp:inline>
        </w:drawing>
      </w:r>
    </w:p>
    <w:p w14:paraId="3F5B97B6" w14:textId="77777777" w:rsidR="00F42D53" w:rsidRPr="00730B1E" w:rsidRDefault="00F42D53" w:rsidP="00F42D53">
      <w:pPr>
        <w:pStyle w:val="OdstavecASR"/>
      </w:pPr>
      <w:r w:rsidRPr="00730B1E">
        <w:rPr>
          <w:i/>
          <w:iCs/>
          <w:noProof/>
          <w:sz w:val="18"/>
          <w:szCs w:val="18"/>
        </w:rPr>
        <w:t xml:space="preserve">Zdroj: </w:t>
      </w:r>
      <w:bookmarkStart w:id="1846" w:name="_Hlk161909617"/>
      <w:r w:rsidRPr="00730B1E">
        <w:rPr>
          <w:i/>
          <w:iCs/>
          <w:noProof/>
          <w:sz w:val="18"/>
          <w:szCs w:val="18"/>
        </w:rPr>
        <w:t>The 2022 UNODC Global Report on Trafficking in Persons</w:t>
      </w:r>
      <w:bookmarkEnd w:id="1846"/>
      <w:r w:rsidRPr="00730B1E">
        <w:rPr>
          <w:i/>
          <w:iCs/>
          <w:noProof/>
          <w:sz w:val="18"/>
          <w:szCs w:val="18"/>
        </w:rPr>
        <w:t>, Fig. 9, str. 27</w:t>
      </w:r>
    </w:p>
    <w:p w14:paraId="37D80A18" w14:textId="77777777" w:rsidR="00F42D53" w:rsidRPr="00730B1E" w:rsidRDefault="00F42D53" w:rsidP="00F42D53">
      <w:pPr>
        <w:pStyle w:val="OdstavecASR"/>
        <w:keepNext/>
        <w:keepLines/>
        <w:spacing w:before="0" w:after="0"/>
      </w:pPr>
      <w:r w:rsidRPr="00730B1E">
        <w:lastRenderedPageBreak/>
        <w:t xml:space="preserve">Pokud hodnoty o identifikovaných obětech agregujeme, potom situace vypadá následovně: </w:t>
      </w:r>
    </w:p>
    <w:p w14:paraId="7608008D" w14:textId="77777777" w:rsidR="00F42D53" w:rsidRPr="00730B1E" w:rsidRDefault="00F42D53" w:rsidP="00A94F8F">
      <w:pPr>
        <w:pStyle w:val="OdstavecASR"/>
        <w:keepNext/>
        <w:keepLines/>
        <w:numPr>
          <w:ilvl w:val="0"/>
          <w:numId w:val="25"/>
        </w:numPr>
        <w:spacing w:before="0" w:after="0"/>
      </w:pPr>
      <w:r w:rsidRPr="00730B1E">
        <w:t>nucené práce celkem: průměr 31 let, medián 21 let</w:t>
      </w:r>
    </w:p>
    <w:p w14:paraId="2C0A0627" w14:textId="77777777" w:rsidR="00F42D53" w:rsidRPr="00730B1E" w:rsidRDefault="00F42D53" w:rsidP="00A94F8F">
      <w:pPr>
        <w:pStyle w:val="OdstavecASR"/>
        <w:keepNext/>
        <w:keepLines/>
        <w:numPr>
          <w:ilvl w:val="0"/>
          <w:numId w:val="25"/>
        </w:numPr>
        <w:spacing w:before="0" w:after="0"/>
      </w:pPr>
      <w:r w:rsidRPr="00730B1E">
        <w:t>sexuální zneužívání celkem: průměr 22 let, medián 18 let</w:t>
      </w:r>
    </w:p>
    <w:p w14:paraId="179AD36C" w14:textId="77777777" w:rsidR="00F42D53" w:rsidRPr="00730B1E" w:rsidRDefault="00F42D53" w:rsidP="00A94F8F">
      <w:pPr>
        <w:pStyle w:val="OdstavecASR"/>
        <w:keepNext/>
        <w:keepLines/>
        <w:numPr>
          <w:ilvl w:val="0"/>
          <w:numId w:val="25"/>
        </w:numPr>
        <w:spacing w:before="0" w:after="0"/>
      </w:pPr>
      <w:r w:rsidRPr="00730B1E">
        <w:t>dětské oběti – nucené práce: průměr 15 let, medián 17 let</w:t>
      </w:r>
    </w:p>
    <w:p w14:paraId="29AD9420" w14:textId="77777777" w:rsidR="00F42D53" w:rsidRPr="00730B1E" w:rsidRDefault="00F42D53" w:rsidP="00A94F8F">
      <w:pPr>
        <w:pStyle w:val="OdstavecASR"/>
        <w:keepNext/>
        <w:keepLines/>
        <w:numPr>
          <w:ilvl w:val="0"/>
          <w:numId w:val="25"/>
        </w:numPr>
        <w:spacing w:before="0" w:after="0"/>
      </w:pPr>
      <w:r w:rsidRPr="00730B1E">
        <w:t>dětské oběti – sexuální zneužívání: průměr 15 let, medián 16 let</w:t>
      </w:r>
      <w:r w:rsidRPr="00730B1E">
        <w:rPr>
          <w:rStyle w:val="Znakapoznpodarou"/>
        </w:rPr>
        <w:footnoteReference w:id="21"/>
      </w:r>
    </w:p>
    <w:p w14:paraId="03186AD1" w14:textId="2AE9E76C" w:rsidR="00F42D53" w:rsidRPr="00730B1E" w:rsidRDefault="00F42D53" w:rsidP="00F42D53">
      <w:pPr>
        <w:pStyle w:val="OdstavecASR"/>
      </w:pPr>
      <w:r w:rsidRPr="00730B1E">
        <w:t>Omezená data o nuceném žebrání naznačují výrazně vyšší věk</w:t>
      </w:r>
      <w:r w:rsidR="00FE5B66" w:rsidRPr="00730B1E">
        <w:t xml:space="preserve"> –</w:t>
      </w:r>
      <w:r w:rsidR="00155B54" w:rsidRPr="00730B1E">
        <w:t xml:space="preserve"> </w:t>
      </w:r>
      <w:r w:rsidRPr="00730B1E">
        <w:t>některé oběti ze vzorku obětí zahrnutých v grafech výše byly ve věku 50+ let.</w:t>
      </w:r>
    </w:p>
    <w:p w14:paraId="5AC68993" w14:textId="3276DD7F" w:rsidR="00F42D53" w:rsidRPr="00730B1E" w:rsidRDefault="00F42D53" w:rsidP="00F42D53">
      <w:pPr>
        <w:pStyle w:val="OdstavecASR"/>
      </w:pPr>
      <w:r w:rsidRPr="00730B1E">
        <w:t xml:space="preserve">Pokud jde o dlouhodobý vývoj profilu obětí obchodování s lidmi, v celosvětovém měřítku se </w:t>
      </w:r>
      <w:r w:rsidR="00FE5B66" w:rsidRPr="00730B1E">
        <w:t>procento</w:t>
      </w:r>
      <w:r w:rsidRPr="00730B1E">
        <w:t xml:space="preserve"> dospělých žen významně snižuje (74 % v roce 2004 vs. 42 % v roce 2020)</w:t>
      </w:r>
      <w:r w:rsidR="00FE5B66" w:rsidRPr="00730B1E">
        <w:t>,</w:t>
      </w:r>
      <w:r w:rsidRPr="00730B1E">
        <w:t xml:space="preserve"> a to zejména na úkor chlapců (3 % vs. 17 %), dívek (13 % vs. 23 %), ale i dospělých mužů (10 % vs. </w:t>
      </w:r>
      <w:r w:rsidR="00E5732D" w:rsidRPr="00730B1E">
        <w:t>18 %</w:t>
      </w:r>
      <w:r w:rsidRPr="00730B1E">
        <w:t>)</w:t>
      </w:r>
      <w:r w:rsidRPr="00730B1E">
        <w:rPr>
          <w:rStyle w:val="Znakapoznpodarou"/>
        </w:rPr>
        <w:footnoteReference w:id="22"/>
      </w:r>
      <w:r w:rsidRPr="00730B1E">
        <w:t>.</w:t>
      </w:r>
    </w:p>
    <w:p w14:paraId="0D98A858" w14:textId="2958C0EF" w:rsidR="00F42D53" w:rsidRPr="00730B1E" w:rsidRDefault="00F42D53" w:rsidP="00F42D53">
      <w:pPr>
        <w:pStyle w:val="OdstavecASR"/>
      </w:pPr>
      <w:r w:rsidRPr="00730B1E">
        <w:t>V další části nabízíme data týkající se členských zemí Evropské unie získaná z Eurostatu</w:t>
      </w:r>
      <w:r w:rsidRPr="00730B1E">
        <w:rPr>
          <w:rStyle w:val="Znakapoznpodarou"/>
        </w:rPr>
        <w:footnoteReference w:id="23"/>
      </w:r>
      <w:r w:rsidRPr="00730B1E">
        <w:t>. Opět zdůrazňujeme, že se jedná o jiný zdroj dat a může být problematické tato data kombinovat s daty UNODC, protože to může vést k nesprávným závěrům. Bohužel ani data Eurostatu nejsou bezchybná, což je vidět hned na dalším grafu, kdy součty odsouzených žen a mužů nedávají celkovou hodnotu vyznačenou v grafu, a proto nejsou ve správném vzájemném poměru vůči vertikální ose – důvodem je skutečnost, že zejména ve vzdálených letech některé státy reportovaly pouze celkové hodnoty bez rozdělení muži vs. ženy (pro roky 2013 a 2014 chybí v online datasetu data o pohlaví u všech států, k dispozici jsou pouze data celkem)</w:t>
      </w:r>
      <w:r w:rsidRPr="00730B1E">
        <w:rPr>
          <w:rStyle w:val="Znakapoznpodarou"/>
        </w:rPr>
        <w:footnoteReference w:id="24"/>
      </w:r>
      <w:r w:rsidRPr="00730B1E">
        <w:t xml:space="preserve">. Přesto se domníváme, že data </w:t>
      </w:r>
      <w:r w:rsidR="00FE5B66" w:rsidRPr="00730B1E">
        <w:t>alespoň naznačují</w:t>
      </w:r>
      <w:r w:rsidRPr="00730B1E">
        <w:t xml:space="preserve"> pohyb jak počtu odsouzených celkem</w:t>
      </w:r>
      <w:r w:rsidR="00FE5B66" w:rsidRPr="00730B1E">
        <w:t>,</w:t>
      </w:r>
      <w:r w:rsidRPr="00730B1E">
        <w:t xml:space="preserve"> tak poměru mužů a žen. </w:t>
      </w:r>
    </w:p>
    <w:p w14:paraId="347EFD94" w14:textId="323F50F9" w:rsidR="00F42D53" w:rsidRPr="00730B1E" w:rsidRDefault="00F42D53" w:rsidP="00F42D53">
      <w:pPr>
        <w:pStyle w:val="Podnadpis"/>
        <w:rPr>
          <w:color w:val="auto"/>
        </w:rPr>
      </w:pPr>
      <w:bookmarkStart w:id="1847" w:name="_Toc169251050"/>
      <w:bookmarkStart w:id="1848" w:name="_Toc174080736"/>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131</w:t>
      </w:r>
      <w:r w:rsidRPr="00730B1E">
        <w:rPr>
          <w:noProof/>
          <w:color w:val="auto"/>
        </w:rPr>
        <w:fldChar w:fldCharType="end"/>
      </w:r>
      <w:r w:rsidRPr="00730B1E">
        <w:rPr>
          <w:color w:val="auto"/>
        </w:rPr>
        <w:t>: Boj proti obchodování s lidmi – odsouzené osoby v zemích EU (absolutní počet)</w:t>
      </w:r>
      <w:bookmarkEnd w:id="1847"/>
      <w:bookmarkEnd w:id="1848"/>
    </w:p>
    <w:p w14:paraId="06D2E6CB" w14:textId="77777777" w:rsidR="00F42D53" w:rsidRPr="00730B1E" w:rsidRDefault="00F42D53" w:rsidP="00F42D53">
      <w:r w:rsidRPr="00730B1E">
        <w:rPr>
          <w:noProof/>
          <w:lang w:eastAsia="cs-CZ"/>
        </w:rPr>
        <w:drawing>
          <wp:inline distT="0" distB="0" distL="0" distR="0" wp14:anchorId="407ACEEB" wp14:editId="4260E32A">
            <wp:extent cx="5760720" cy="2300605"/>
            <wp:effectExtent l="0" t="0" r="0" b="4445"/>
            <wp:docPr id="162" name="Grafický objekt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extLst>
                        <a:ext uri="{96DAC541-7B7A-43D3-8B79-37D633B846F1}">
                          <asvg:svgBlip xmlns:asvg="http://schemas.microsoft.com/office/drawing/2016/SVG/main" r:embed="rId170"/>
                        </a:ext>
                      </a:extLst>
                    </a:blip>
                    <a:stretch>
                      <a:fillRect/>
                    </a:stretch>
                  </pic:blipFill>
                  <pic:spPr>
                    <a:xfrm>
                      <a:off x="0" y="0"/>
                      <a:ext cx="5760720" cy="2300605"/>
                    </a:xfrm>
                    <a:prstGeom prst="rect">
                      <a:avLst/>
                    </a:prstGeom>
                  </pic:spPr>
                </pic:pic>
              </a:graphicData>
            </a:graphic>
          </wp:inline>
        </w:drawing>
      </w:r>
    </w:p>
    <w:p w14:paraId="63ECACEC" w14:textId="1D300812" w:rsidR="00F42D53" w:rsidRPr="00730B1E" w:rsidRDefault="00F42D53" w:rsidP="00F42D53">
      <w:pPr>
        <w:jc w:val="left"/>
        <w:rPr>
          <w:i/>
          <w:iCs/>
          <w:sz w:val="18"/>
          <w:szCs w:val="18"/>
        </w:rPr>
      </w:pPr>
      <w:r w:rsidRPr="00730B1E">
        <w:rPr>
          <w:i/>
          <w:iCs/>
          <w:sz w:val="18"/>
          <w:szCs w:val="18"/>
        </w:rPr>
        <w:t>Zdroj: Eurostat online data</w:t>
      </w:r>
      <w:r w:rsidRPr="00730B1E">
        <w:rPr>
          <w:sz w:val="18"/>
          <w:szCs w:val="18"/>
        </w:rPr>
        <w:t xml:space="preserve">, </w:t>
      </w:r>
      <w:r w:rsidRPr="00730B1E">
        <w:rPr>
          <w:i/>
          <w:iCs/>
          <w:sz w:val="18"/>
          <w:szCs w:val="18"/>
        </w:rPr>
        <w:t>data za roky 2013 a 2014 nebyla dle pohlaví v datasetu uvedena, hodnoty celkem převzaty z přehledu „Total“ stejného datasetu, bez UK, vlastní zpracování</w:t>
      </w:r>
    </w:p>
    <w:p w14:paraId="09B2B5E6" w14:textId="1D2B08FB" w:rsidR="00F42D53" w:rsidRPr="00730B1E" w:rsidRDefault="00F42D53" w:rsidP="00F42D53">
      <w:pPr>
        <w:pStyle w:val="OdstavecASR"/>
      </w:pPr>
      <w:r w:rsidRPr="00730B1E">
        <w:t>I když to opticky není zcela zřejmé, podíl žen na celkem odsouzených obchodnících s lidmi v EU zvolna klesá (2008 = 26 % vs. 2022 = 22 %).</w:t>
      </w:r>
    </w:p>
    <w:p w14:paraId="27F8FC11" w14:textId="541262E6" w:rsidR="00F42D53" w:rsidRPr="00730B1E" w:rsidRDefault="00FE5B66" w:rsidP="00F42D53">
      <w:pPr>
        <w:pStyle w:val="OdstavecASR"/>
      </w:pPr>
      <w:r w:rsidRPr="00730B1E">
        <w:lastRenderedPageBreak/>
        <w:t>V</w:t>
      </w:r>
      <w:r w:rsidR="00F42D53" w:rsidRPr="00730B1E">
        <w:t xml:space="preserve">ynesení počtů pravomocně odsouzených osob za obchodování s lidmi do mapy Evropy </w:t>
      </w:r>
      <w:r w:rsidRPr="00730B1E">
        <w:t>zachycují</w:t>
      </w:r>
      <w:r w:rsidR="00F42D53" w:rsidRPr="00730B1E">
        <w:t xml:space="preserve"> grafy níže</w:t>
      </w:r>
      <w:r w:rsidRPr="00730B1E">
        <w:t>.</w:t>
      </w:r>
      <w:r w:rsidR="00F42D53" w:rsidRPr="00730B1E">
        <w:t xml:space="preserve"> </w:t>
      </w:r>
      <w:r w:rsidRPr="00730B1E">
        <w:t>N</w:t>
      </w:r>
      <w:r w:rsidR="00F42D53" w:rsidRPr="00730B1E">
        <w:t>a mapě absolutního počtu je vynesen součet celkem odsouzených osob za roky 2008 až 2022</w:t>
      </w:r>
      <w:r w:rsidRPr="00730B1E">
        <w:t>,</w:t>
      </w:r>
      <w:r w:rsidR="00F42D53" w:rsidRPr="00730B1E">
        <w:t xml:space="preserve"> jak byly nahlášeny Eurostatu jednotlivými státy. </w:t>
      </w:r>
      <w:r w:rsidRPr="00730B1E">
        <w:t>S</w:t>
      </w:r>
      <w:r w:rsidR="00F42D53" w:rsidRPr="00730B1E">
        <w:t xml:space="preserve"> vědomím </w:t>
      </w:r>
      <w:r w:rsidRPr="00730B1E">
        <w:t>skutečnosti</w:t>
      </w:r>
      <w:r w:rsidR="00F42D53" w:rsidRPr="00730B1E">
        <w:t xml:space="preserve">, že některé </w:t>
      </w:r>
      <w:r w:rsidR="00E5732D" w:rsidRPr="00730B1E">
        <w:t>státy poskytovaly</w:t>
      </w:r>
      <w:r w:rsidR="00F42D53" w:rsidRPr="00730B1E">
        <w:t xml:space="preserve"> data pouze v některých letech, konstatujeme, že dle dat Eurostatu bylo v EU za 15 let odsouzeno </w:t>
      </w:r>
      <w:r w:rsidRPr="00730B1E">
        <w:t xml:space="preserve">přinejmenším </w:t>
      </w:r>
      <w:r w:rsidR="00F42D53" w:rsidRPr="00730B1E">
        <w:t xml:space="preserve">22 714 osob za obchodování s lidmi. </w:t>
      </w:r>
    </w:p>
    <w:p w14:paraId="15EAE4E8" w14:textId="65AD6E0D" w:rsidR="00F42D53" w:rsidRPr="00730B1E" w:rsidRDefault="00F42D53" w:rsidP="00F42D53">
      <w:pPr>
        <w:pStyle w:val="Podnadpis"/>
        <w:rPr>
          <w:color w:val="auto"/>
        </w:rPr>
      </w:pPr>
      <w:bookmarkStart w:id="1849" w:name="_Toc169251051"/>
      <w:bookmarkStart w:id="1850" w:name="_Toc174080737"/>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132</w:t>
      </w:r>
      <w:r w:rsidRPr="00730B1E">
        <w:rPr>
          <w:noProof/>
          <w:color w:val="auto"/>
        </w:rPr>
        <w:fldChar w:fldCharType="end"/>
      </w:r>
      <w:r w:rsidRPr="00730B1E">
        <w:rPr>
          <w:color w:val="auto"/>
        </w:rPr>
        <w:t>: Boj proti obchodování s lidmi – odsouzené osoby v zemích EU</w:t>
      </w:r>
      <w:bookmarkEnd w:id="1849"/>
      <w:bookmarkEnd w:id="1850"/>
    </w:p>
    <w:p w14:paraId="6F5C4BC1" w14:textId="77777777" w:rsidR="00F42D53" w:rsidRPr="00730B1E" w:rsidRDefault="00F42D53" w:rsidP="00F42D53"/>
    <w:p w14:paraId="42D32326" w14:textId="39B12586" w:rsidR="00F42D53" w:rsidRPr="00730B1E" w:rsidRDefault="000F0D2B" w:rsidP="00F42D53">
      <w:pPr>
        <w:jc w:val="left"/>
      </w:pPr>
      <w:r w:rsidRPr="00730B1E">
        <w:rPr>
          <w:noProof/>
          <w:lang w:eastAsia="cs-CZ"/>
        </w:rPr>
        <w:drawing>
          <wp:inline distT="0" distB="0" distL="0" distR="0" wp14:anchorId="5BF96942" wp14:editId="29B82EE1">
            <wp:extent cx="2793426" cy="3016666"/>
            <wp:effectExtent l="0" t="0" r="6985"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818339" cy="3043570"/>
                    </a:xfrm>
                    <a:prstGeom prst="rect">
                      <a:avLst/>
                    </a:prstGeom>
                  </pic:spPr>
                </pic:pic>
              </a:graphicData>
            </a:graphic>
          </wp:inline>
        </w:drawing>
      </w:r>
      <w:r w:rsidR="00F42D53" w:rsidRPr="00730B1E">
        <w:t xml:space="preserve">   </w:t>
      </w:r>
      <w:r w:rsidR="00F42D53" w:rsidRPr="00730B1E">
        <w:rPr>
          <w:noProof/>
          <w:lang w:eastAsia="cs-CZ"/>
        </w:rPr>
        <w:drawing>
          <wp:inline distT="0" distB="0" distL="0" distR="0" wp14:anchorId="3E1D04B5" wp14:editId="7A4A5DDB">
            <wp:extent cx="2808000" cy="3003000"/>
            <wp:effectExtent l="0" t="0" r="0" b="6985"/>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2808000" cy="3003000"/>
                    </a:xfrm>
                    <a:prstGeom prst="rect">
                      <a:avLst/>
                    </a:prstGeom>
                  </pic:spPr>
                </pic:pic>
              </a:graphicData>
            </a:graphic>
          </wp:inline>
        </w:drawing>
      </w:r>
    </w:p>
    <w:p w14:paraId="38F84258" w14:textId="77777777" w:rsidR="00F42D53" w:rsidRPr="00730B1E" w:rsidRDefault="00F42D53" w:rsidP="00F42D53">
      <w:pPr>
        <w:jc w:val="left"/>
        <w:rPr>
          <w:i/>
          <w:iCs/>
          <w:sz w:val="18"/>
          <w:szCs w:val="18"/>
        </w:rPr>
      </w:pPr>
      <w:r w:rsidRPr="00730B1E">
        <w:rPr>
          <w:i/>
          <w:iCs/>
          <w:sz w:val="18"/>
          <w:szCs w:val="18"/>
        </w:rPr>
        <w:t>Zdroj: Eurostat online data, vlastní zpracování, průměr EU 2008-2022 = 841 osob @ země, průměr EU 2022 = 0,48 osoby @ 100 tis. obyvatel</w:t>
      </w:r>
    </w:p>
    <w:p w14:paraId="27160622" w14:textId="77777777" w:rsidR="00F42D53" w:rsidRPr="00730B1E" w:rsidRDefault="00F42D53" w:rsidP="00F42D53">
      <w:pPr>
        <w:jc w:val="left"/>
        <w:rPr>
          <w:i/>
          <w:iCs/>
          <w:sz w:val="18"/>
          <w:szCs w:val="18"/>
        </w:rPr>
      </w:pPr>
    </w:p>
    <w:p w14:paraId="12F609DD" w14:textId="77777777" w:rsidR="00F42D53" w:rsidRPr="00730B1E" w:rsidRDefault="00F42D53" w:rsidP="00F42D53">
      <w:pPr>
        <w:pStyle w:val="OdstavecASR"/>
      </w:pPr>
      <w:r w:rsidRPr="00730B1E">
        <w:t>Jestliže odsouzeným obchodníkům v EU dominují muži, u identifikovaných obětí je to přesně naopak. Také v EU se ale potvrzuje dříve zmíněný celosvětový trend snižování podílu žen na celkových počtech identifikovaných obětí (2008 = 82 % vs. 2022 = 63 %).</w:t>
      </w:r>
    </w:p>
    <w:p w14:paraId="03E53004" w14:textId="1647AC1A" w:rsidR="00F42D53" w:rsidRPr="00730B1E" w:rsidRDefault="00F42D53" w:rsidP="00F42D53">
      <w:pPr>
        <w:pStyle w:val="Podnadpis"/>
        <w:rPr>
          <w:color w:val="auto"/>
        </w:rPr>
      </w:pPr>
      <w:bookmarkStart w:id="1851" w:name="_Toc169251052"/>
      <w:bookmarkStart w:id="1852" w:name="_Toc174080738"/>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133</w:t>
      </w:r>
      <w:r w:rsidRPr="00730B1E">
        <w:rPr>
          <w:noProof/>
          <w:color w:val="auto"/>
        </w:rPr>
        <w:fldChar w:fldCharType="end"/>
      </w:r>
      <w:r w:rsidRPr="00730B1E">
        <w:rPr>
          <w:color w:val="auto"/>
        </w:rPr>
        <w:t>: Boj proti obchodování s lidmi – identifikované oběti v zemích EU (absolutní počet)</w:t>
      </w:r>
      <w:bookmarkEnd w:id="1851"/>
      <w:bookmarkEnd w:id="1852"/>
    </w:p>
    <w:p w14:paraId="0A6FBCEF" w14:textId="77777777" w:rsidR="00F42D53" w:rsidRPr="00730B1E" w:rsidRDefault="00F42D53" w:rsidP="00F42D53"/>
    <w:p w14:paraId="7BAFC821" w14:textId="77777777" w:rsidR="00F42D53" w:rsidRPr="00730B1E" w:rsidRDefault="00F42D53" w:rsidP="00F42D53">
      <w:r w:rsidRPr="00730B1E">
        <w:rPr>
          <w:noProof/>
          <w:lang w:eastAsia="cs-CZ"/>
        </w:rPr>
        <w:drawing>
          <wp:inline distT="0" distB="0" distL="0" distR="0" wp14:anchorId="11FF8D0D" wp14:editId="13D2F42E">
            <wp:extent cx="5760720" cy="2291080"/>
            <wp:effectExtent l="0" t="0" r="0" b="0"/>
            <wp:docPr id="165" name="Grafický objekt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extLst>
                        <a:ext uri="{96DAC541-7B7A-43D3-8B79-37D633B846F1}">
                          <asvg:svgBlip xmlns:asvg="http://schemas.microsoft.com/office/drawing/2016/SVG/main" r:embed="rId174"/>
                        </a:ext>
                      </a:extLst>
                    </a:blip>
                    <a:stretch>
                      <a:fillRect/>
                    </a:stretch>
                  </pic:blipFill>
                  <pic:spPr>
                    <a:xfrm>
                      <a:off x="0" y="0"/>
                      <a:ext cx="5760720" cy="2291080"/>
                    </a:xfrm>
                    <a:prstGeom prst="rect">
                      <a:avLst/>
                    </a:prstGeom>
                  </pic:spPr>
                </pic:pic>
              </a:graphicData>
            </a:graphic>
          </wp:inline>
        </w:drawing>
      </w:r>
    </w:p>
    <w:p w14:paraId="219D99BE" w14:textId="77777777" w:rsidR="00F42D53" w:rsidRPr="00730B1E" w:rsidRDefault="00F42D53" w:rsidP="00F42D53">
      <w:pPr>
        <w:rPr>
          <w:i/>
          <w:iCs/>
          <w:sz w:val="18"/>
          <w:szCs w:val="18"/>
        </w:rPr>
      </w:pPr>
      <w:r w:rsidRPr="00730B1E">
        <w:rPr>
          <w:i/>
          <w:iCs/>
          <w:sz w:val="18"/>
          <w:szCs w:val="18"/>
        </w:rPr>
        <w:t>Zdroj: Eurostat online data, bez UK, vlastní zpracování</w:t>
      </w:r>
    </w:p>
    <w:p w14:paraId="361FDC53" w14:textId="77777777" w:rsidR="00F42D53" w:rsidRPr="00730B1E" w:rsidRDefault="00F42D53" w:rsidP="00F42D53">
      <w:pPr>
        <w:pStyle w:val="OdstavecASR"/>
      </w:pPr>
      <w:r w:rsidRPr="00730B1E">
        <w:t>Změny ve složení obětí dle pohlaví se odráží i ve vývoji různých forem jejich vykořisťování v EU a odpovídají obecným celosvětovým trendům zmíněným dříve:</w:t>
      </w:r>
    </w:p>
    <w:p w14:paraId="7F542EDF" w14:textId="1AF075B0" w:rsidR="00F42D53" w:rsidRPr="00730B1E" w:rsidRDefault="00F42D53" w:rsidP="00F42D53">
      <w:pPr>
        <w:pStyle w:val="Podnadpis"/>
        <w:rPr>
          <w:color w:val="auto"/>
        </w:rPr>
      </w:pPr>
      <w:bookmarkStart w:id="1853" w:name="_Toc169251053"/>
      <w:bookmarkStart w:id="1854" w:name="_Toc174080739"/>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134</w:t>
      </w:r>
      <w:r w:rsidRPr="00730B1E">
        <w:rPr>
          <w:noProof/>
          <w:color w:val="auto"/>
        </w:rPr>
        <w:fldChar w:fldCharType="end"/>
      </w:r>
      <w:r w:rsidRPr="00730B1E">
        <w:rPr>
          <w:color w:val="auto"/>
        </w:rPr>
        <w:t>: Boj proti obchodování s lidmi – formy vykořisťování EU 2008–2022</w:t>
      </w:r>
      <w:bookmarkEnd w:id="1853"/>
      <w:bookmarkEnd w:id="1854"/>
    </w:p>
    <w:p w14:paraId="5B970F3B" w14:textId="77777777" w:rsidR="00F42D53" w:rsidRPr="00730B1E" w:rsidRDefault="00F42D53" w:rsidP="00F42D53">
      <w:pPr>
        <w:pStyle w:val="OdstavecASR"/>
      </w:pPr>
      <w:r w:rsidRPr="00730B1E">
        <w:rPr>
          <w:noProof/>
          <w:lang w:eastAsia="cs-CZ"/>
        </w:rPr>
        <w:drawing>
          <wp:inline distT="0" distB="0" distL="0" distR="0" wp14:anchorId="1EEE54FE" wp14:editId="383F444E">
            <wp:extent cx="5760720" cy="2291080"/>
            <wp:effectExtent l="0" t="0" r="0" b="0"/>
            <wp:docPr id="166" name="Grafický objekt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extLst>
                        <a:ext uri="{96DAC541-7B7A-43D3-8B79-37D633B846F1}">
                          <asvg:svgBlip xmlns:asvg="http://schemas.microsoft.com/office/drawing/2016/SVG/main" r:embed="rId176"/>
                        </a:ext>
                      </a:extLst>
                    </a:blip>
                    <a:stretch>
                      <a:fillRect/>
                    </a:stretch>
                  </pic:blipFill>
                  <pic:spPr>
                    <a:xfrm>
                      <a:off x="0" y="0"/>
                      <a:ext cx="5760720" cy="2291080"/>
                    </a:xfrm>
                    <a:prstGeom prst="rect">
                      <a:avLst/>
                    </a:prstGeom>
                  </pic:spPr>
                </pic:pic>
              </a:graphicData>
            </a:graphic>
          </wp:inline>
        </w:drawing>
      </w:r>
    </w:p>
    <w:p w14:paraId="4D302BC4" w14:textId="77777777" w:rsidR="00F42D53" w:rsidRPr="00730B1E" w:rsidRDefault="00F42D53" w:rsidP="00F42D53">
      <w:pPr>
        <w:spacing w:line="240" w:lineRule="auto"/>
        <w:rPr>
          <w:i/>
          <w:iCs/>
          <w:sz w:val="18"/>
          <w:szCs w:val="18"/>
        </w:rPr>
      </w:pPr>
      <w:r w:rsidRPr="00730B1E">
        <w:rPr>
          <w:i/>
          <w:iCs/>
          <w:sz w:val="18"/>
          <w:szCs w:val="18"/>
        </w:rPr>
        <w:t>Zdroj: Eurostat online data, bez UK, vlastní zpracování</w:t>
      </w:r>
    </w:p>
    <w:p w14:paraId="4C0BD62B" w14:textId="77777777" w:rsidR="00F42D53" w:rsidRPr="00730B1E" w:rsidRDefault="00F42D53" w:rsidP="00F42D53">
      <w:pPr>
        <w:pStyle w:val="OdstavecASR"/>
      </w:pPr>
      <w:r w:rsidRPr="00730B1E">
        <w:t>Vynesení dat o obětech na mapu Evropy do určité míry odpovídá mapě s počty odsouzených obchodníků s lidmi v geografickém rozložení. V období 2008–2022 vykazuje Eurostat celkem 112 020 identifikovaných obětí:</w:t>
      </w:r>
    </w:p>
    <w:p w14:paraId="7D2412E6" w14:textId="46A18A01" w:rsidR="00F42D53" w:rsidRPr="00730B1E" w:rsidRDefault="00F42D53" w:rsidP="00F42D53">
      <w:pPr>
        <w:pStyle w:val="Podnadpis"/>
        <w:rPr>
          <w:color w:val="auto"/>
        </w:rPr>
      </w:pPr>
      <w:bookmarkStart w:id="1855" w:name="_Toc169251054"/>
      <w:bookmarkStart w:id="1856" w:name="_Toc174080740"/>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135</w:t>
      </w:r>
      <w:r w:rsidRPr="00730B1E">
        <w:rPr>
          <w:noProof/>
          <w:color w:val="auto"/>
        </w:rPr>
        <w:fldChar w:fldCharType="end"/>
      </w:r>
      <w:r w:rsidRPr="00730B1E">
        <w:rPr>
          <w:color w:val="auto"/>
        </w:rPr>
        <w:t>: Boj proti obchodování s lidmi – identifikované oběti v zemích EU</w:t>
      </w:r>
      <w:bookmarkEnd w:id="1855"/>
      <w:bookmarkEnd w:id="1856"/>
    </w:p>
    <w:p w14:paraId="6BF5F53E" w14:textId="77777777" w:rsidR="00F42D53" w:rsidRPr="00730B1E" w:rsidRDefault="00F42D53" w:rsidP="00F42D53">
      <w:pPr>
        <w:pStyle w:val="OdstavecASR"/>
        <w:jc w:val="left"/>
      </w:pPr>
      <w:r w:rsidRPr="00730B1E">
        <w:rPr>
          <w:noProof/>
          <w:lang w:eastAsia="cs-CZ"/>
        </w:rPr>
        <w:drawing>
          <wp:inline distT="0" distB="0" distL="0" distR="0" wp14:anchorId="6E2C285E" wp14:editId="2F159BA8">
            <wp:extent cx="2784019" cy="3024000"/>
            <wp:effectExtent l="0" t="0" r="0" b="5080"/>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2784019" cy="3024000"/>
                    </a:xfrm>
                    <a:prstGeom prst="rect">
                      <a:avLst/>
                    </a:prstGeom>
                  </pic:spPr>
                </pic:pic>
              </a:graphicData>
            </a:graphic>
          </wp:inline>
        </w:drawing>
      </w:r>
      <w:r w:rsidRPr="00730B1E">
        <w:t xml:space="preserve">     </w:t>
      </w:r>
      <w:r w:rsidRPr="00730B1E">
        <w:rPr>
          <w:noProof/>
          <w:lang w:eastAsia="cs-CZ"/>
        </w:rPr>
        <w:drawing>
          <wp:inline distT="0" distB="0" distL="0" distR="0" wp14:anchorId="6B013918" wp14:editId="28F84F59">
            <wp:extent cx="2769964" cy="3024000"/>
            <wp:effectExtent l="0" t="0" r="0" b="5080"/>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2769964" cy="3024000"/>
                    </a:xfrm>
                    <a:prstGeom prst="rect">
                      <a:avLst/>
                    </a:prstGeom>
                  </pic:spPr>
                </pic:pic>
              </a:graphicData>
            </a:graphic>
          </wp:inline>
        </w:drawing>
      </w:r>
    </w:p>
    <w:p w14:paraId="55CE36BF" w14:textId="56B24BC4" w:rsidR="00F42D53" w:rsidRPr="00730B1E" w:rsidRDefault="00F42D53" w:rsidP="00F42D53">
      <w:pPr>
        <w:rPr>
          <w:i/>
          <w:iCs/>
          <w:sz w:val="18"/>
          <w:szCs w:val="18"/>
        </w:rPr>
      </w:pPr>
      <w:r w:rsidRPr="00730B1E">
        <w:rPr>
          <w:i/>
          <w:iCs/>
          <w:sz w:val="18"/>
          <w:szCs w:val="18"/>
        </w:rPr>
        <w:t>Zdroj: Eurostat online data, vlastní zpracování, průměr EU 2008-2022 = 7205 osob @ země, průměr EU 2022 = 2,26 osoby @ 100 tis. obyvatel</w:t>
      </w:r>
    </w:p>
    <w:p w14:paraId="63171487" w14:textId="77777777" w:rsidR="00F42D53" w:rsidRPr="00730B1E" w:rsidRDefault="00F42D53" w:rsidP="00F42D53">
      <w:pPr>
        <w:rPr>
          <w:i/>
          <w:iCs/>
          <w:sz w:val="18"/>
          <w:szCs w:val="18"/>
        </w:rPr>
      </w:pPr>
    </w:p>
    <w:p w14:paraId="077B6267" w14:textId="341BBE72" w:rsidR="00F42D53" w:rsidRPr="00730B1E" w:rsidRDefault="00F42D53" w:rsidP="00F42D53">
      <w:pPr>
        <w:pStyle w:val="OdstavecASR"/>
      </w:pPr>
      <w:r w:rsidRPr="00730B1E">
        <w:t>V závěru této kapitoly publikujeme data o státní příslušnosti pachatelů a obětí obchodování s lidmi. Musíme si vypomoci daty z publikace The 2022 UNODC Global Report on Trafficking in Persons, protože webové datasety Eurostatu tyto informace pro pachatele nenabízí vůbec a u obětí pouze ve velmi hrubém rozdělení „reporting country/other EU country/non EU country“</w:t>
      </w:r>
      <w:r w:rsidRPr="00730B1E">
        <w:rPr>
          <w:rStyle w:val="Znakapoznpodarou"/>
        </w:rPr>
        <w:footnoteReference w:id="25"/>
      </w:r>
      <w:r w:rsidRPr="00730B1E">
        <w:t>. Data UNODC však nejsou specifikována pro EU, ale pro celou Evropu. Přehled UNODC upozorňuje na rozdílnou strukturu obětí i pachatelů v části Evropy, kterou nazývá „</w:t>
      </w:r>
      <w:bookmarkStart w:id="1857" w:name="_Hlk161918090"/>
      <w:r w:rsidRPr="00730B1E">
        <w:rPr>
          <w:b/>
          <w:bCs/>
          <w:i/>
          <w:iCs/>
        </w:rPr>
        <w:t>Western and Southern Europe</w:t>
      </w:r>
      <w:bookmarkEnd w:id="1857"/>
      <w:r w:rsidRPr="00730B1E">
        <w:t xml:space="preserve">“ </w:t>
      </w:r>
      <w:r w:rsidR="00FE5B66" w:rsidRPr="00730B1E">
        <w:t>oproti</w:t>
      </w:r>
      <w:r w:rsidRPr="00730B1E">
        <w:t xml:space="preserve"> „</w:t>
      </w:r>
      <w:bookmarkStart w:id="1858" w:name="_Hlk161917967"/>
      <w:r w:rsidRPr="00730B1E">
        <w:rPr>
          <w:b/>
          <w:bCs/>
          <w:i/>
          <w:iCs/>
        </w:rPr>
        <w:t>Central and South-Eastern Europe</w:t>
      </w:r>
      <w:bookmarkEnd w:id="1858"/>
      <w:r w:rsidRPr="00730B1E">
        <w:t>“ a</w:t>
      </w:r>
      <w:r w:rsidR="00C61DAB" w:rsidRPr="00730B1E">
        <w:t> </w:t>
      </w:r>
      <w:r w:rsidRPr="00730B1E">
        <w:t xml:space="preserve">takto je také přetiskujeme (pro rychlou </w:t>
      </w:r>
      <w:r w:rsidRPr="00730B1E">
        <w:lastRenderedPageBreak/>
        <w:t xml:space="preserve">orientaci jsou mapy hlavních regionů zmíněných v grafech k nahlédnutí </w:t>
      </w:r>
      <w:r w:rsidR="00C61DAB" w:rsidRPr="00730B1E">
        <w:t>na další stránce,</w:t>
      </w:r>
      <w:r w:rsidRPr="00730B1E">
        <w:t xml:space="preserve"> a</w:t>
      </w:r>
      <w:r w:rsidR="00C61DAB" w:rsidRPr="00730B1E">
        <w:t>le</w:t>
      </w:r>
      <w:r w:rsidRPr="00730B1E">
        <w:t xml:space="preserve"> některé pouze v seznamu států v poznámkách pod čarou):</w:t>
      </w:r>
    </w:p>
    <w:p w14:paraId="237AB75A" w14:textId="026D1EE1" w:rsidR="00F42D53" w:rsidRPr="00730B1E" w:rsidRDefault="00F42D53" w:rsidP="00F42D53">
      <w:pPr>
        <w:pStyle w:val="Podnadpis"/>
        <w:rPr>
          <w:color w:val="auto"/>
        </w:rPr>
      </w:pPr>
      <w:bookmarkStart w:id="1859" w:name="_Toc169251055"/>
      <w:bookmarkStart w:id="1860" w:name="_Toc174080741"/>
      <w:r w:rsidRPr="00730B1E">
        <w:rPr>
          <w:noProof/>
          <w:color w:val="auto"/>
          <w:lang w:eastAsia="cs-CZ"/>
        </w:rPr>
        <w:drawing>
          <wp:anchor distT="0" distB="0" distL="114300" distR="114300" simplePos="0" relativeHeight="251678720" behindDoc="0" locked="0" layoutInCell="1" allowOverlap="1" wp14:anchorId="5908C619" wp14:editId="1C1845FD">
            <wp:simplePos x="0" y="0"/>
            <wp:positionH relativeFrom="column">
              <wp:posOffset>3312160</wp:posOffset>
            </wp:positionH>
            <wp:positionV relativeFrom="paragraph">
              <wp:posOffset>276323</wp:posOffset>
            </wp:positionV>
            <wp:extent cx="2170430" cy="2111375"/>
            <wp:effectExtent l="0" t="0" r="1270" b="3175"/>
            <wp:wrapNone/>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170430" cy="2111375"/>
                    </a:xfrm>
                    <a:prstGeom prst="rect">
                      <a:avLst/>
                    </a:prstGeom>
                  </pic:spPr>
                </pic:pic>
              </a:graphicData>
            </a:graphic>
          </wp:anchor>
        </w:drawing>
      </w:r>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136</w:t>
      </w:r>
      <w:r w:rsidRPr="00730B1E">
        <w:rPr>
          <w:noProof/>
          <w:color w:val="auto"/>
        </w:rPr>
        <w:fldChar w:fldCharType="end"/>
      </w:r>
      <w:r w:rsidRPr="00730B1E">
        <w:rPr>
          <w:color w:val="auto"/>
        </w:rPr>
        <w:t>: Boj proti obchodování s lidmi – státní příslušnost odsouzených obchodníků s lidmi,</w:t>
      </w:r>
      <w:r w:rsidR="00363F20" w:rsidRPr="00730B1E">
        <w:rPr>
          <w:color w:val="auto"/>
        </w:rPr>
        <w:t xml:space="preserve"> Evropa</w:t>
      </w:r>
      <w:r w:rsidRPr="00730B1E">
        <w:rPr>
          <w:color w:val="auto"/>
        </w:rPr>
        <w:t xml:space="preserve"> 2020</w:t>
      </w:r>
      <w:bookmarkEnd w:id="1859"/>
      <w:bookmarkEnd w:id="1860"/>
    </w:p>
    <w:p w14:paraId="35D8B86F" w14:textId="77777777" w:rsidR="00F42D53" w:rsidRPr="00730B1E" w:rsidRDefault="00F42D53" w:rsidP="00F42D53">
      <w:pPr>
        <w:pStyle w:val="OdstavecASR"/>
      </w:pPr>
      <w:r w:rsidRPr="00730B1E">
        <w:rPr>
          <w:noProof/>
          <w:lang w:eastAsia="cs-CZ"/>
        </w:rPr>
        <w:drawing>
          <wp:inline distT="0" distB="0" distL="0" distR="0" wp14:anchorId="04A1E8D9" wp14:editId="526E7CC9">
            <wp:extent cx="2965391" cy="2004384"/>
            <wp:effectExtent l="0" t="0" r="6985"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2965391" cy="2004384"/>
                    </a:xfrm>
                    <a:prstGeom prst="rect">
                      <a:avLst/>
                    </a:prstGeom>
                  </pic:spPr>
                </pic:pic>
              </a:graphicData>
            </a:graphic>
          </wp:inline>
        </w:drawing>
      </w:r>
      <w:r w:rsidRPr="00730B1E">
        <w:t xml:space="preserve">         </w:t>
      </w:r>
    </w:p>
    <w:p w14:paraId="562851C4" w14:textId="77777777" w:rsidR="00F42D53" w:rsidRPr="00730B1E" w:rsidRDefault="00F42D53" w:rsidP="00F42D53">
      <w:pPr>
        <w:pStyle w:val="OdstavecASR"/>
        <w:tabs>
          <w:tab w:val="left" w:pos="1418"/>
          <w:tab w:val="left" w:pos="5387"/>
        </w:tabs>
        <w:rPr>
          <w:sz w:val="18"/>
          <w:szCs w:val="18"/>
        </w:rPr>
      </w:pPr>
      <w:r w:rsidRPr="00730B1E">
        <w:rPr>
          <w:b/>
          <w:bCs/>
          <w:sz w:val="18"/>
          <w:szCs w:val="18"/>
          <w:lang w:val="en-GB"/>
        </w:rPr>
        <w:tab/>
      </w:r>
      <w:bookmarkStart w:id="1861" w:name="_Hlk161913757"/>
      <w:r w:rsidRPr="00730B1E">
        <w:rPr>
          <w:b/>
          <w:bCs/>
          <w:sz w:val="18"/>
          <w:szCs w:val="18"/>
          <w:lang w:val="en-GB"/>
        </w:rPr>
        <w:t>Western and Southern Europe</w:t>
      </w:r>
      <w:bookmarkEnd w:id="1861"/>
      <w:r w:rsidRPr="00730B1E">
        <w:rPr>
          <w:b/>
          <w:bCs/>
          <w:sz w:val="18"/>
          <w:szCs w:val="18"/>
          <w:lang w:val="en-GB"/>
        </w:rPr>
        <w:tab/>
      </w:r>
      <w:bookmarkStart w:id="1862" w:name="_Hlk161913722"/>
      <w:r w:rsidRPr="00730B1E">
        <w:rPr>
          <w:b/>
          <w:bCs/>
          <w:sz w:val="18"/>
          <w:szCs w:val="18"/>
          <w:lang w:val="en-GB"/>
        </w:rPr>
        <w:t>Central and South-Eastern Europe</w:t>
      </w:r>
      <w:bookmarkEnd w:id="1862"/>
    </w:p>
    <w:p w14:paraId="63D5A511" w14:textId="77777777" w:rsidR="00F42D53" w:rsidRPr="00730B1E" w:rsidRDefault="00F42D53" w:rsidP="00F42D53">
      <w:pPr>
        <w:rPr>
          <w:i/>
          <w:iCs/>
          <w:sz w:val="18"/>
          <w:szCs w:val="18"/>
        </w:rPr>
      </w:pPr>
      <w:r w:rsidRPr="00730B1E">
        <w:rPr>
          <w:i/>
          <w:iCs/>
          <w:sz w:val="18"/>
          <w:szCs w:val="18"/>
        </w:rPr>
        <w:t xml:space="preserve">Zdroj: The 2022 UNODC Global Report on Trafficking in Persons, data za rok 2020, </w:t>
      </w:r>
      <w:r w:rsidRPr="00730B1E">
        <w:rPr>
          <w:i/>
          <w:iCs/>
          <w:noProof/>
          <w:sz w:val="18"/>
          <w:szCs w:val="18"/>
        </w:rPr>
        <w:t>věci vyřízenéh odsouzením,</w:t>
      </w:r>
      <w:r w:rsidRPr="00730B1E">
        <w:rPr>
          <w:i/>
          <w:iCs/>
          <w:sz w:val="18"/>
          <w:szCs w:val="18"/>
        </w:rPr>
        <w:t xml:space="preserve"> přetisknuté grafy č. 174 a 190, </w:t>
      </w:r>
      <w:r w:rsidRPr="00730B1E">
        <w:rPr>
          <w:i/>
          <w:iCs/>
          <w:noProof/>
          <w:sz w:val="18"/>
          <w:szCs w:val="18"/>
        </w:rPr>
        <w:t>upozornění UNODC</w:t>
      </w:r>
      <w:r w:rsidRPr="00730B1E">
        <w:rPr>
          <w:i/>
          <w:iCs/>
          <w:sz w:val="18"/>
          <w:szCs w:val="18"/>
        </w:rPr>
        <w:t>: „Zobrazené hranice a názvy a označení použitá na této mapě neznamenají oficiální podporu nebo přijetí ze strany Organizace spojených národů.“</w:t>
      </w:r>
    </w:p>
    <w:p w14:paraId="162A675A" w14:textId="77777777" w:rsidR="00F42D53" w:rsidRPr="00730B1E" w:rsidRDefault="00F42D53" w:rsidP="00F42D53">
      <w:pPr>
        <w:rPr>
          <w:i/>
          <w:iCs/>
          <w:sz w:val="18"/>
          <w:szCs w:val="18"/>
        </w:rPr>
      </w:pPr>
    </w:p>
    <w:p w14:paraId="73CBA9EE" w14:textId="408B1B0A" w:rsidR="00F42D53" w:rsidRPr="00730B1E" w:rsidRDefault="00F42D53" w:rsidP="00F42D53">
      <w:pPr>
        <w:pStyle w:val="Podnadpis"/>
        <w:spacing w:before="0"/>
        <w:rPr>
          <w:color w:val="auto"/>
        </w:rPr>
      </w:pPr>
      <w:bookmarkStart w:id="1863" w:name="_Toc169251056"/>
      <w:bookmarkStart w:id="1864" w:name="_Toc174080742"/>
      <w:r w:rsidRPr="00730B1E">
        <w:rPr>
          <w:color w:val="auto"/>
        </w:rPr>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137</w:t>
      </w:r>
      <w:r w:rsidRPr="00730B1E">
        <w:rPr>
          <w:noProof/>
          <w:color w:val="auto"/>
        </w:rPr>
        <w:fldChar w:fldCharType="end"/>
      </w:r>
      <w:r w:rsidRPr="00730B1E">
        <w:rPr>
          <w:color w:val="auto"/>
        </w:rPr>
        <w:t>: Boj proti obchodování s lidmi – státní příslušnost identifikovaných obětí obchodování s lidmi,</w:t>
      </w:r>
      <w:r w:rsidR="00363F20" w:rsidRPr="00730B1E">
        <w:rPr>
          <w:color w:val="auto"/>
        </w:rPr>
        <w:t xml:space="preserve"> Evropa</w:t>
      </w:r>
      <w:r w:rsidRPr="00730B1E">
        <w:rPr>
          <w:color w:val="auto"/>
        </w:rPr>
        <w:t xml:space="preserve"> 2020</w:t>
      </w:r>
      <w:bookmarkEnd w:id="1863"/>
      <w:bookmarkEnd w:id="1864"/>
    </w:p>
    <w:p w14:paraId="6742FF2D" w14:textId="77777777" w:rsidR="00F42D53" w:rsidRPr="00730B1E" w:rsidRDefault="00F42D53" w:rsidP="00F42D53"/>
    <w:p w14:paraId="10445AF6" w14:textId="2B87D365" w:rsidR="00F42D53" w:rsidRPr="00730B1E" w:rsidRDefault="00F42D53" w:rsidP="00F42D53">
      <w:pPr>
        <w:pStyle w:val="OdstavecASR"/>
        <w:jc w:val="left"/>
      </w:pPr>
      <w:r w:rsidRPr="00730B1E">
        <w:rPr>
          <w:noProof/>
          <w:lang w:eastAsia="cs-CZ"/>
        </w:rPr>
        <w:drawing>
          <wp:anchor distT="0" distB="0" distL="114300" distR="114300" simplePos="0" relativeHeight="251679744" behindDoc="0" locked="0" layoutInCell="1" allowOverlap="1" wp14:anchorId="73B60E72" wp14:editId="2A552D0B">
            <wp:simplePos x="0" y="0"/>
            <wp:positionH relativeFrom="column">
              <wp:posOffset>3328379</wp:posOffset>
            </wp:positionH>
            <wp:positionV relativeFrom="paragraph">
              <wp:posOffset>209550</wp:posOffset>
            </wp:positionV>
            <wp:extent cx="2181860" cy="1802765"/>
            <wp:effectExtent l="0" t="0" r="8890" b="6985"/>
            <wp:wrapNone/>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181860" cy="1802765"/>
                    </a:xfrm>
                    <a:prstGeom prst="rect">
                      <a:avLst/>
                    </a:prstGeom>
                  </pic:spPr>
                </pic:pic>
              </a:graphicData>
            </a:graphic>
            <wp14:sizeRelH relativeFrom="margin">
              <wp14:pctWidth>0</wp14:pctWidth>
            </wp14:sizeRelH>
            <wp14:sizeRelV relativeFrom="margin">
              <wp14:pctHeight>0</wp14:pctHeight>
            </wp14:sizeRelV>
          </wp:anchor>
        </w:drawing>
      </w:r>
      <w:r w:rsidRPr="00730B1E">
        <w:rPr>
          <w:noProof/>
          <w:lang w:eastAsia="cs-CZ"/>
        </w:rPr>
        <w:drawing>
          <wp:anchor distT="0" distB="0" distL="114300" distR="114300" simplePos="0" relativeHeight="251680768" behindDoc="0" locked="0" layoutInCell="1" allowOverlap="1" wp14:anchorId="20ADBBC4" wp14:editId="44090D98">
            <wp:simplePos x="0" y="0"/>
            <wp:positionH relativeFrom="column">
              <wp:posOffset>251116</wp:posOffset>
            </wp:positionH>
            <wp:positionV relativeFrom="paragraph">
              <wp:posOffset>40005</wp:posOffset>
            </wp:positionV>
            <wp:extent cx="2674620" cy="1999615"/>
            <wp:effectExtent l="0" t="0" r="0" b="635"/>
            <wp:wrapNone/>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2674620" cy="1999615"/>
                    </a:xfrm>
                    <a:prstGeom prst="rect">
                      <a:avLst/>
                    </a:prstGeom>
                  </pic:spPr>
                </pic:pic>
              </a:graphicData>
            </a:graphic>
            <wp14:sizeRelH relativeFrom="margin">
              <wp14:pctWidth>0</wp14:pctWidth>
            </wp14:sizeRelH>
            <wp14:sizeRelV relativeFrom="margin">
              <wp14:pctHeight>0</wp14:pctHeight>
            </wp14:sizeRelV>
          </wp:anchor>
        </w:drawing>
      </w:r>
    </w:p>
    <w:p w14:paraId="29623B47" w14:textId="77777777" w:rsidR="00F42D53" w:rsidRPr="00730B1E" w:rsidRDefault="00F42D53" w:rsidP="00F42D53">
      <w:pPr>
        <w:pStyle w:val="OdstavecASR"/>
        <w:jc w:val="left"/>
      </w:pPr>
    </w:p>
    <w:p w14:paraId="3888D734" w14:textId="77777777" w:rsidR="00F42D53" w:rsidRPr="00730B1E" w:rsidRDefault="00F42D53" w:rsidP="00F42D53">
      <w:pPr>
        <w:pStyle w:val="OdstavecASR"/>
        <w:jc w:val="left"/>
      </w:pPr>
    </w:p>
    <w:p w14:paraId="74B4B982" w14:textId="77777777" w:rsidR="00F42D53" w:rsidRPr="00730B1E" w:rsidRDefault="00F42D53" w:rsidP="00F42D53">
      <w:pPr>
        <w:pStyle w:val="OdstavecASR"/>
        <w:jc w:val="left"/>
      </w:pPr>
    </w:p>
    <w:p w14:paraId="543DA557" w14:textId="77777777" w:rsidR="00F42D53" w:rsidRPr="00730B1E" w:rsidRDefault="00F42D53" w:rsidP="00F42D53">
      <w:pPr>
        <w:pStyle w:val="OdstavecASR"/>
        <w:jc w:val="left"/>
      </w:pPr>
    </w:p>
    <w:p w14:paraId="5BFCD0D9" w14:textId="77777777" w:rsidR="00F42D53" w:rsidRPr="00730B1E" w:rsidRDefault="00F42D53" w:rsidP="00F42D53">
      <w:pPr>
        <w:pStyle w:val="OdstavecASR"/>
        <w:jc w:val="left"/>
      </w:pPr>
    </w:p>
    <w:p w14:paraId="0CE4F14C" w14:textId="77777777" w:rsidR="00F42D53" w:rsidRPr="00730B1E" w:rsidRDefault="00F42D53" w:rsidP="00F42D53">
      <w:pPr>
        <w:pStyle w:val="OdstavecASR"/>
        <w:jc w:val="left"/>
      </w:pPr>
    </w:p>
    <w:p w14:paraId="4609A9A1" w14:textId="77777777" w:rsidR="00F42D53" w:rsidRPr="00730B1E" w:rsidRDefault="00F42D53" w:rsidP="00F42D53">
      <w:pPr>
        <w:rPr>
          <w:i/>
          <w:iCs/>
          <w:sz w:val="18"/>
          <w:szCs w:val="18"/>
        </w:rPr>
      </w:pPr>
    </w:p>
    <w:p w14:paraId="7BBD6817" w14:textId="77777777" w:rsidR="00F42D53" w:rsidRPr="00730B1E" w:rsidRDefault="00F42D53" w:rsidP="00F42D53">
      <w:pPr>
        <w:pStyle w:val="OdstavecASR"/>
        <w:tabs>
          <w:tab w:val="left" w:pos="1418"/>
          <w:tab w:val="left" w:pos="5387"/>
        </w:tabs>
        <w:rPr>
          <w:sz w:val="18"/>
          <w:szCs w:val="18"/>
        </w:rPr>
      </w:pPr>
      <w:r w:rsidRPr="00730B1E">
        <w:rPr>
          <w:b/>
          <w:bCs/>
          <w:sz w:val="18"/>
          <w:szCs w:val="18"/>
        </w:rPr>
        <w:tab/>
      </w:r>
      <w:r w:rsidRPr="00730B1E">
        <w:rPr>
          <w:b/>
          <w:bCs/>
          <w:sz w:val="18"/>
          <w:szCs w:val="18"/>
          <w:lang w:val="en-GB"/>
        </w:rPr>
        <w:t>Western and Southern Europe</w:t>
      </w:r>
      <w:r w:rsidRPr="00730B1E">
        <w:rPr>
          <w:b/>
          <w:bCs/>
          <w:sz w:val="18"/>
          <w:szCs w:val="18"/>
          <w:lang w:val="en-GB"/>
        </w:rPr>
        <w:tab/>
        <w:t>Central and South-Eastern Europe</w:t>
      </w:r>
    </w:p>
    <w:p w14:paraId="2C4F3C0F" w14:textId="77777777" w:rsidR="00F42D53" w:rsidRPr="00730B1E" w:rsidRDefault="00F42D53" w:rsidP="00F42D53">
      <w:pPr>
        <w:rPr>
          <w:i/>
          <w:iCs/>
          <w:sz w:val="18"/>
          <w:szCs w:val="18"/>
        </w:rPr>
      </w:pPr>
      <w:r w:rsidRPr="00730B1E">
        <w:rPr>
          <w:i/>
          <w:iCs/>
          <w:sz w:val="18"/>
          <w:szCs w:val="18"/>
        </w:rPr>
        <w:t xml:space="preserve">Zdroj: The 2022 UNODC Global Report on Trafficking in Persons, data za rok 2020, </w:t>
      </w:r>
      <w:r w:rsidRPr="00730B1E">
        <w:rPr>
          <w:i/>
          <w:iCs/>
          <w:noProof/>
          <w:sz w:val="18"/>
          <w:szCs w:val="18"/>
        </w:rPr>
        <w:t>věci vyřízenéh odsouzením,</w:t>
      </w:r>
      <w:r w:rsidRPr="00730B1E">
        <w:rPr>
          <w:i/>
          <w:iCs/>
          <w:sz w:val="18"/>
          <w:szCs w:val="18"/>
        </w:rPr>
        <w:t xml:space="preserve"> přetisknuté grafy č. 186 a 24.1, </w:t>
      </w:r>
      <w:r w:rsidRPr="00730B1E">
        <w:rPr>
          <w:i/>
          <w:iCs/>
          <w:noProof/>
          <w:sz w:val="18"/>
          <w:szCs w:val="18"/>
        </w:rPr>
        <w:t>upozornění UNODC</w:t>
      </w:r>
      <w:r w:rsidRPr="00730B1E">
        <w:rPr>
          <w:i/>
          <w:iCs/>
          <w:sz w:val="18"/>
          <w:szCs w:val="18"/>
        </w:rPr>
        <w:t>: „Zobrazené hranice a názvy a označení použitá na této mapě neznamenají oficiální podporu nebo přijetí ze strany Organizace spojených národů.“</w:t>
      </w:r>
    </w:p>
    <w:p w14:paraId="76BFCF1B" w14:textId="52DEBE06" w:rsidR="00F42D53" w:rsidRPr="00730B1E" w:rsidRDefault="00FE5B66" w:rsidP="00F42D53">
      <w:pPr>
        <w:pStyle w:val="OdstavecASR"/>
        <w:widowControl w:val="0"/>
      </w:pPr>
      <w:r w:rsidRPr="00730B1E">
        <w:t xml:space="preserve">Jako </w:t>
      </w:r>
      <w:r w:rsidR="00F42D53" w:rsidRPr="00730B1E">
        <w:t xml:space="preserve">„Domestic“ </w:t>
      </w:r>
      <w:r w:rsidRPr="00730B1E">
        <w:t>jsou označeny</w:t>
      </w:r>
      <w:r w:rsidR="00F42D53" w:rsidRPr="00730B1E">
        <w:t xml:space="preserve"> oběti, které byly zobchodovány, vykořisťovány a identifikovány ve své vlastní domovské zemi, jejíž státní občanství mají. Tvoří téměř 80 % všech identifikovaných obětí v regionu „</w:t>
      </w:r>
      <w:r w:rsidR="00F42D53" w:rsidRPr="00730B1E">
        <w:rPr>
          <w:lang w:val="en-GB"/>
        </w:rPr>
        <w:t>Central and South-Eastern Europe</w:t>
      </w:r>
      <w:r w:rsidR="00F42D53" w:rsidRPr="00730B1E">
        <w:t>“. Největší část této skupiny obětí dle UNODC tvořily v roce 2020 mladé dívky a ženy zneužívané pro sexuální vykořisťování. Stojí také za povšimnutí, že oběti z této části Evropy tvoří největší skupinu obětí identifikovaných ve „Western and Southern Europe“ (</w:t>
      </w:r>
      <w:r w:rsidRPr="00730B1E">
        <w:t xml:space="preserve">celkem </w:t>
      </w:r>
      <w:r w:rsidR="00F42D53" w:rsidRPr="00730B1E">
        <w:t xml:space="preserve">20 %). Stejný podíl tvoří oběti původem z Afriky (20 %). </w:t>
      </w:r>
    </w:p>
    <w:p w14:paraId="37793FD6" w14:textId="5F255AF5" w:rsidR="00F42D53" w:rsidRPr="00730B1E" w:rsidRDefault="00F42D53" w:rsidP="00F42D53">
      <w:pPr>
        <w:pStyle w:val="Podnadpis"/>
        <w:spacing w:before="0"/>
        <w:rPr>
          <w:color w:val="auto"/>
        </w:rPr>
      </w:pPr>
      <w:bookmarkStart w:id="1865" w:name="_Toc169251057"/>
      <w:bookmarkStart w:id="1866" w:name="_Toc174080743"/>
      <w:r w:rsidRPr="00730B1E">
        <w:rPr>
          <w:color w:val="auto"/>
        </w:rPr>
        <w:lastRenderedPageBreak/>
        <w:t xml:space="preserve">Graf </w:t>
      </w:r>
      <w:r w:rsidRPr="00730B1E">
        <w:rPr>
          <w:color w:val="auto"/>
        </w:rPr>
        <w:fldChar w:fldCharType="begin"/>
      </w:r>
      <w:r w:rsidRPr="00730B1E">
        <w:rPr>
          <w:color w:val="auto"/>
        </w:rPr>
        <w:instrText xml:space="preserve"> SEQ Graf \* ARABIC </w:instrText>
      </w:r>
      <w:r w:rsidRPr="00730B1E">
        <w:rPr>
          <w:color w:val="auto"/>
        </w:rPr>
        <w:fldChar w:fldCharType="separate"/>
      </w:r>
      <w:r w:rsidR="00056825">
        <w:rPr>
          <w:noProof/>
          <w:color w:val="auto"/>
        </w:rPr>
        <w:t>138</w:t>
      </w:r>
      <w:r w:rsidRPr="00730B1E">
        <w:rPr>
          <w:noProof/>
          <w:color w:val="auto"/>
        </w:rPr>
        <w:fldChar w:fldCharType="end"/>
      </w:r>
      <w:r w:rsidRPr="00730B1E">
        <w:rPr>
          <w:color w:val="auto"/>
        </w:rPr>
        <w:t xml:space="preserve">: Boj proti obchodování s lidmi – vyznačení vybraných regionů dle </w:t>
      </w:r>
      <w:r w:rsidR="00363F20" w:rsidRPr="00730B1E">
        <w:rPr>
          <w:color w:val="auto"/>
        </w:rPr>
        <w:t>UNODC</w:t>
      </w:r>
      <w:r w:rsidRPr="00730B1E">
        <w:rPr>
          <w:rStyle w:val="Znakapoznpodarou"/>
          <w:color w:val="auto"/>
        </w:rPr>
        <w:footnoteReference w:id="26"/>
      </w:r>
      <w:bookmarkEnd w:id="1865"/>
      <w:bookmarkEnd w:id="1866"/>
    </w:p>
    <w:p w14:paraId="4192C67D" w14:textId="77777777" w:rsidR="00F42D53" w:rsidRPr="00730B1E" w:rsidRDefault="00F42D53" w:rsidP="00F42D53">
      <w:pPr>
        <w:pStyle w:val="OdstavecASR"/>
        <w:jc w:val="left"/>
      </w:pPr>
      <w:r w:rsidRPr="00730B1E">
        <w:rPr>
          <w:noProof/>
          <w:lang w:eastAsia="cs-CZ"/>
        </w:rPr>
        <w:drawing>
          <wp:inline distT="0" distB="0" distL="0" distR="0" wp14:anchorId="2A5B4D52" wp14:editId="0BB2191C">
            <wp:extent cx="5760720" cy="3729990"/>
            <wp:effectExtent l="0" t="0" r="0" b="3810"/>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760720" cy="3729990"/>
                    </a:xfrm>
                    <a:prstGeom prst="rect">
                      <a:avLst/>
                    </a:prstGeom>
                    <a:noFill/>
                    <a:ln>
                      <a:noFill/>
                    </a:ln>
                  </pic:spPr>
                </pic:pic>
              </a:graphicData>
            </a:graphic>
          </wp:inline>
        </w:drawing>
      </w:r>
    </w:p>
    <w:p w14:paraId="36D589C5" w14:textId="77777777" w:rsidR="00F42D53" w:rsidRPr="00730B1E" w:rsidRDefault="00F42D53" w:rsidP="00F42D53">
      <w:pPr>
        <w:pStyle w:val="OdstavecASR"/>
        <w:jc w:val="left"/>
      </w:pPr>
      <w:r w:rsidRPr="00730B1E">
        <w:t xml:space="preserve"> </w:t>
      </w:r>
      <w:r w:rsidRPr="00730B1E">
        <w:rPr>
          <w:noProof/>
          <w:lang w:eastAsia="cs-CZ"/>
        </w:rPr>
        <w:drawing>
          <wp:inline distT="0" distB="0" distL="0" distR="0" wp14:anchorId="4A7A043D" wp14:editId="4601736C">
            <wp:extent cx="3927764" cy="2543608"/>
            <wp:effectExtent l="0" t="0" r="0" b="9525"/>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928709" cy="2544220"/>
                    </a:xfrm>
                    <a:prstGeom prst="rect">
                      <a:avLst/>
                    </a:prstGeom>
                    <a:noFill/>
                    <a:ln>
                      <a:noFill/>
                    </a:ln>
                  </pic:spPr>
                </pic:pic>
              </a:graphicData>
            </a:graphic>
          </wp:inline>
        </w:drawing>
      </w:r>
      <w:r w:rsidRPr="00730B1E">
        <w:t xml:space="preserve"> </w:t>
      </w:r>
    </w:p>
    <w:p w14:paraId="391314AC" w14:textId="1A7B7734" w:rsidR="00F42D53" w:rsidRPr="00B64E96" w:rsidRDefault="00F42D53" w:rsidP="00F42D53">
      <w:pPr>
        <w:rPr>
          <w:i/>
          <w:iCs/>
          <w:sz w:val="18"/>
          <w:szCs w:val="18"/>
        </w:rPr>
      </w:pPr>
      <w:r w:rsidRPr="00730B1E">
        <w:rPr>
          <w:i/>
          <w:iCs/>
          <w:sz w:val="18"/>
          <w:szCs w:val="18"/>
        </w:rPr>
        <w:t xml:space="preserve">Zdroj: The 2022 UNODC Global Report on Trafficking in Persons, </w:t>
      </w:r>
      <w:r w:rsidRPr="00730B1E">
        <w:rPr>
          <w:i/>
          <w:iCs/>
          <w:noProof/>
          <w:sz w:val="18"/>
          <w:szCs w:val="18"/>
        </w:rPr>
        <w:t>upozornění UNODC</w:t>
      </w:r>
      <w:r w:rsidRPr="00730B1E">
        <w:rPr>
          <w:i/>
          <w:iCs/>
          <w:sz w:val="18"/>
          <w:szCs w:val="18"/>
        </w:rPr>
        <w:t>: „Zobrazené hranice a názvy a označení použitá na této mapě neznamenají oficiální podporu nebo přijetí ze strany Organi</w:t>
      </w:r>
      <w:r w:rsidRPr="00B64E96">
        <w:rPr>
          <w:i/>
          <w:iCs/>
          <w:sz w:val="18"/>
          <w:szCs w:val="18"/>
        </w:rPr>
        <w:t xml:space="preserve">zace spojených národů.“, šedé zóny = nepokryto </w:t>
      </w:r>
      <w:r w:rsidR="00363F20" w:rsidRPr="00B64E96">
        <w:rPr>
          <w:i/>
          <w:iCs/>
          <w:sz w:val="18"/>
          <w:szCs w:val="18"/>
        </w:rPr>
        <w:t>UNODC</w:t>
      </w:r>
    </w:p>
    <w:p w14:paraId="45BF9F08" w14:textId="29AAAA16" w:rsidR="008430BD" w:rsidRPr="00B64E96" w:rsidRDefault="008430BD" w:rsidP="005D25EA">
      <w:pPr>
        <w:pStyle w:val="Nadpis1"/>
        <w:tabs>
          <w:tab w:val="left" w:pos="3105"/>
        </w:tabs>
      </w:pPr>
      <w:bookmarkStart w:id="1867" w:name="_Toc487791314"/>
      <w:bookmarkStart w:id="1868" w:name="_Toc106092832"/>
      <w:bookmarkStart w:id="1869" w:name="_Toc169250911"/>
      <w:bookmarkStart w:id="1870" w:name="_Toc174080947"/>
      <w:r w:rsidRPr="00B64E96">
        <w:lastRenderedPageBreak/>
        <w:t>Seznam grafů</w:t>
      </w:r>
      <w:bookmarkEnd w:id="1867"/>
      <w:bookmarkEnd w:id="1868"/>
      <w:bookmarkEnd w:id="1869"/>
      <w:bookmarkEnd w:id="1870"/>
    </w:p>
    <w:p w14:paraId="4AC36193" w14:textId="059DC3B8" w:rsidR="00056825" w:rsidRDefault="00690AF6">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r w:rsidRPr="00B64E96">
        <w:fldChar w:fldCharType="begin"/>
      </w:r>
      <w:r w:rsidRPr="00B64E96">
        <w:instrText xml:space="preserve"> TOC \h \z \c "Graf" </w:instrText>
      </w:r>
      <w:r w:rsidRPr="00B64E96">
        <w:fldChar w:fldCharType="separate"/>
      </w:r>
      <w:hyperlink w:anchor="_Toc174080606" w:history="1">
        <w:r w:rsidR="00056825" w:rsidRPr="001D643E">
          <w:rPr>
            <w:rStyle w:val="Hypertextovodkaz"/>
            <w:noProof/>
          </w:rPr>
          <w:t>Graf 1: OS – počet soudců v roce 2023</w:t>
        </w:r>
        <w:r w:rsidR="00056825">
          <w:rPr>
            <w:noProof/>
            <w:webHidden/>
          </w:rPr>
          <w:tab/>
        </w:r>
        <w:r w:rsidR="00056825">
          <w:rPr>
            <w:noProof/>
            <w:webHidden/>
          </w:rPr>
          <w:fldChar w:fldCharType="begin"/>
        </w:r>
        <w:r w:rsidR="00056825">
          <w:rPr>
            <w:noProof/>
            <w:webHidden/>
          </w:rPr>
          <w:instrText xml:space="preserve"> PAGEREF _Toc174080606 \h </w:instrText>
        </w:r>
        <w:r w:rsidR="00056825">
          <w:rPr>
            <w:noProof/>
            <w:webHidden/>
          </w:rPr>
        </w:r>
        <w:r w:rsidR="00056825">
          <w:rPr>
            <w:noProof/>
            <w:webHidden/>
          </w:rPr>
          <w:fldChar w:fldCharType="separate"/>
        </w:r>
        <w:r w:rsidR="00551497">
          <w:rPr>
            <w:noProof/>
            <w:webHidden/>
          </w:rPr>
          <w:t>16</w:t>
        </w:r>
        <w:r w:rsidR="00056825">
          <w:rPr>
            <w:noProof/>
            <w:webHidden/>
          </w:rPr>
          <w:fldChar w:fldCharType="end"/>
        </w:r>
      </w:hyperlink>
    </w:p>
    <w:p w14:paraId="44832F06" w14:textId="79DC3C3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07" w:history="1">
        <w:r w:rsidR="00056825" w:rsidRPr="001D643E">
          <w:rPr>
            <w:rStyle w:val="Hypertextovodkaz"/>
            <w:noProof/>
          </w:rPr>
          <w:t>Graf 2: OS – skutečný počet soudců dle úseků v roce 2023</w:t>
        </w:r>
        <w:r w:rsidR="00056825">
          <w:rPr>
            <w:noProof/>
            <w:webHidden/>
          </w:rPr>
          <w:tab/>
        </w:r>
        <w:r w:rsidR="00056825">
          <w:rPr>
            <w:noProof/>
            <w:webHidden/>
          </w:rPr>
          <w:fldChar w:fldCharType="begin"/>
        </w:r>
        <w:r w:rsidR="00056825">
          <w:rPr>
            <w:noProof/>
            <w:webHidden/>
          </w:rPr>
          <w:instrText xml:space="preserve"> PAGEREF _Toc174080607 \h </w:instrText>
        </w:r>
        <w:r w:rsidR="00056825">
          <w:rPr>
            <w:noProof/>
            <w:webHidden/>
          </w:rPr>
        </w:r>
        <w:r w:rsidR="00056825">
          <w:rPr>
            <w:noProof/>
            <w:webHidden/>
          </w:rPr>
          <w:fldChar w:fldCharType="separate"/>
        </w:r>
        <w:r>
          <w:rPr>
            <w:noProof/>
            <w:webHidden/>
          </w:rPr>
          <w:t>17</w:t>
        </w:r>
        <w:r w:rsidR="00056825">
          <w:rPr>
            <w:noProof/>
            <w:webHidden/>
          </w:rPr>
          <w:fldChar w:fldCharType="end"/>
        </w:r>
      </w:hyperlink>
    </w:p>
    <w:p w14:paraId="77AFE539" w14:textId="100745A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08" w:history="1">
        <w:r w:rsidR="00056825" w:rsidRPr="001D643E">
          <w:rPr>
            <w:rStyle w:val="Hypertextovodkaz"/>
            <w:noProof/>
          </w:rPr>
          <w:t>Graf 3: OS – skutečný počet soudců u jednotlivých soudů, 2023</w:t>
        </w:r>
        <w:r w:rsidR="00056825">
          <w:rPr>
            <w:noProof/>
            <w:webHidden/>
          </w:rPr>
          <w:tab/>
        </w:r>
        <w:r w:rsidR="00056825">
          <w:rPr>
            <w:noProof/>
            <w:webHidden/>
          </w:rPr>
          <w:fldChar w:fldCharType="begin"/>
        </w:r>
        <w:r w:rsidR="00056825">
          <w:rPr>
            <w:noProof/>
            <w:webHidden/>
          </w:rPr>
          <w:instrText xml:space="preserve"> PAGEREF _Toc174080608 \h </w:instrText>
        </w:r>
        <w:r w:rsidR="00056825">
          <w:rPr>
            <w:noProof/>
            <w:webHidden/>
          </w:rPr>
        </w:r>
        <w:r w:rsidR="00056825">
          <w:rPr>
            <w:noProof/>
            <w:webHidden/>
          </w:rPr>
          <w:fldChar w:fldCharType="separate"/>
        </w:r>
        <w:r>
          <w:rPr>
            <w:noProof/>
            <w:webHidden/>
          </w:rPr>
          <w:t>18</w:t>
        </w:r>
        <w:r w:rsidR="00056825">
          <w:rPr>
            <w:noProof/>
            <w:webHidden/>
          </w:rPr>
          <w:fldChar w:fldCharType="end"/>
        </w:r>
      </w:hyperlink>
    </w:p>
    <w:p w14:paraId="31F9B910" w14:textId="5759E064"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09" w:history="1">
        <w:r w:rsidR="00056825" w:rsidRPr="001D643E">
          <w:rPr>
            <w:rStyle w:val="Hypertextovodkaz"/>
            <w:noProof/>
          </w:rPr>
          <w:t>Graf 4: OS – skutečný počet soudců dle pohlaví v roce 2023</w:t>
        </w:r>
        <w:r w:rsidR="00056825">
          <w:rPr>
            <w:noProof/>
            <w:webHidden/>
          </w:rPr>
          <w:tab/>
        </w:r>
        <w:r w:rsidR="00056825">
          <w:rPr>
            <w:noProof/>
            <w:webHidden/>
          </w:rPr>
          <w:fldChar w:fldCharType="begin"/>
        </w:r>
        <w:r w:rsidR="00056825">
          <w:rPr>
            <w:noProof/>
            <w:webHidden/>
          </w:rPr>
          <w:instrText xml:space="preserve"> PAGEREF _Toc174080609 \h </w:instrText>
        </w:r>
        <w:r w:rsidR="00056825">
          <w:rPr>
            <w:noProof/>
            <w:webHidden/>
          </w:rPr>
        </w:r>
        <w:r w:rsidR="00056825">
          <w:rPr>
            <w:noProof/>
            <w:webHidden/>
          </w:rPr>
          <w:fldChar w:fldCharType="separate"/>
        </w:r>
        <w:r>
          <w:rPr>
            <w:noProof/>
            <w:webHidden/>
          </w:rPr>
          <w:t>19</w:t>
        </w:r>
        <w:r w:rsidR="00056825">
          <w:rPr>
            <w:noProof/>
            <w:webHidden/>
          </w:rPr>
          <w:fldChar w:fldCharType="end"/>
        </w:r>
      </w:hyperlink>
    </w:p>
    <w:p w14:paraId="543D704E" w14:textId="1F5AAA8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0" w:history="1">
        <w:r w:rsidR="00056825" w:rsidRPr="001D643E">
          <w:rPr>
            <w:rStyle w:val="Hypertextovodkaz"/>
            <w:noProof/>
          </w:rPr>
          <w:t>Graf 5: OS – věková struktura soudců v letech 2008–2023</w:t>
        </w:r>
        <w:r w:rsidR="00056825">
          <w:rPr>
            <w:noProof/>
            <w:webHidden/>
          </w:rPr>
          <w:tab/>
        </w:r>
        <w:r w:rsidR="00056825">
          <w:rPr>
            <w:noProof/>
            <w:webHidden/>
          </w:rPr>
          <w:fldChar w:fldCharType="begin"/>
        </w:r>
        <w:r w:rsidR="00056825">
          <w:rPr>
            <w:noProof/>
            <w:webHidden/>
          </w:rPr>
          <w:instrText xml:space="preserve"> PAGEREF _Toc174080610 \h </w:instrText>
        </w:r>
        <w:r w:rsidR="00056825">
          <w:rPr>
            <w:noProof/>
            <w:webHidden/>
          </w:rPr>
        </w:r>
        <w:r w:rsidR="00056825">
          <w:rPr>
            <w:noProof/>
            <w:webHidden/>
          </w:rPr>
          <w:fldChar w:fldCharType="separate"/>
        </w:r>
        <w:r>
          <w:rPr>
            <w:noProof/>
            <w:webHidden/>
          </w:rPr>
          <w:t>20</w:t>
        </w:r>
        <w:r w:rsidR="00056825">
          <w:rPr>
            <w:noProof/>
            <w:webHidden/>
          </w:rPr>
          <w:fldChar w:fldCharType="end"/>
        </w:r>
      </w:hyperlink>
    </w:p>
    <w:p w14:paraId="540A43D7" w14:textId="57F56BC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1" w:history="1">
        <w:r w:rsidR="00056825" w:rsidRPr="001D643E">
          <w:rPr>
            <w:rStyle w:val="Hypertextovodkaz"/>
            <w:noProof/>
          </w:rPr>
          <w:t>Graf 6: OS – věková struktura soudců dle nadřízených soudů v %, 2023</w:t>
        </w:r>
        <w:r w:rsidR="00056825">
          <w:rPr>
            <w:noProof/>
            <w:webHidden/>
          </w:rPr>
          <w:tab/>
        </w:r>
        <w:r w:rsidR="00056825">
          <w:rPr>
            <w:noProof/>
            <w:webHidden/>
          </w:rPr>
          <w:fldChar w:fldCharType="begin"/>
        </w:r>
        <w:r w:rsidR="00056825">
          <w:rPr>
            <w:noProof/>
            <w:webHidden/>
          </w:rPr>
          <w:instrText xml:space="preserve"> PAGEREF _Toc174080611 \h </w:instrText>
        </w:r>
        <w:r w:rsidR="00056825">
          <w:rPr>
            <w:noProof/>
            <w:webHidden/>
          </w:rPr>
        </w:r>
        <w:r w:rsidR="00056825">
          <w:rPr>
            <w:noProof/>
            <w:webHidden/>
          </w:rPr>
          <w:fldChar w:fldCharType="separate"/>
        </w:r>
        <w:r>
          <w:rPr>
            <w:noProof/>
            <w:webHidden/>
          </w:rPr>
          <w:t>21</w:t>
        </w:r>
        <w:r w:rsidR="00056825">
          <w:rPr>
            <w:noProof/>
            <w:webHidden/>
          </w:rPr>
          <w:fldChar w:fldCharType="end"/>
        </w:r>
      </w:hyperlink>
    </w:p>
    <w:p w14:paraId="28D97157" w14:textId="1AFA481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2" w:history="1">
        <w:r w:rsidR="00056825" w:rsidRPr="001D643E">
          <w:rPr>
            <w:rStyle w:val="Hypertextovodkaz"/>
            <w:noProof/>
          </w:rPr>
          <w:t>Graf 7: OS – délka civilního řízení v letech 2014–2023</w:t>
        </w:r>
        <w:r w:rsidR="00056825">
          <w:rPr>
            <w:noProof/>
            <w:webHidden/>
          </w:rPr>
          <w:tab/>
        </w:r>
        <w:r w:rsidR="00056825">
          <w:rPr>
            <w:noProof/>
            <w:webHidden/>
          </w:rPr>
          <w:fldChar w:fldCharType="begin"/>
        </w:r>
        <w:r w:rsidR="00056825">
          <w:rPr>
            <w:noProof/>
            <w:webHidden/>
          </w:rPr>
          <w:instrText xml:space="preserve"> PAGEREF _Toc174080612 \h </w:instrText>
        </w:r>
        <w:r w:rsidR="00056825">
          <w:rPr>
            <w:noProof/>
            <w:webHidden/>
          </w:rPr>
        </w:r>
        <w:r w:rsidR="00056825">
          <w:rPr>
            <w:noProof/>
            <w:webHidden/>
          </w:rPr>
          <w:fldChar w:fldCharType="separate"/>
        </w:r>
        <w:r>
          <w:rPr>
            <w:noProof/>
            <w:webHidden/>
          </w:rPr>
          <w:t>27</w:t>
        </w:r>
        <w:r w:rsidR="00056825">
          <w:rPr>
            <w:noProof/>
            <w:webHidden/>
          </w:rPr>
          <w:fldChar w:fldCharType="end"/>
        </w:r>
      </w:hyperlink>
    </w:p>
    <w:p w14:paraId="38DDCF1A" w14:textId="1393D684"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3" w:history="1">
        <w:r w:rsidR="00056825" w:rsidRPr="001D643E">
          <w:rPr>
            <w:rStyle w:val="Hypertextovodkaz"/>
            <w:noProof/>
          </w:rPr>
          <w:t>Graf 8: OS – mediánové délky civilního řízení u jednotlivých soudů, 2023</w:t>
        </w:r>
        <w:r w:rsidR="00056825">
          <w:rPr>
            <w:noProof/>
            <w:webHidden/>
          </w:rPr>
          <w:tab/>
        </w:r>
        <w:r w:rsidR="00056825">
          <w:rPr>
            <w:noProof/>
            <w:webHidden/>
          </w:rPr>
          <w:fldChar w:fldCharType="begin"/>
        </w:r>
        <w:r w:rsidR="00056825">
          <w:rPr>
            <w:noProof/>
            <w:webHidden/>
          </w:rPr>
          <w:instrText xml:space="preserve"> PAGEREF _Toc174080613 \h </w:instrText>
        </w:r>
        <w:r w:rsidR="00056825">
          <w:rPr>
            <w:noProof/>
            <w:webHidden/>
          </w:rPr>
        </w:r>
        <w:r w:rsidR="00056825">
          <w:rPr>
            <w:noProof/>
            <w:webHidden/>
          </w:rPr>
          <w:fldChar w:fldCharType="separate"/>
        </w:r>
        <w:r>
          <w:rPr>
            <w:noProof/>
            <w:webHidden/>
          </w:rPr>
          <w:t>28</w:t>
        </w:r>
        <w:r w:rsidR="00056825">
          <w:rPr>
            <w:noProof/>
            <w:webHidden/>
          </w:rPr>
          <w:fldChar w:fldCharType="end"/>
        </w:r>
      </w:hyperlink>
    </w:p>
    <w:p w14:paraId="305EF0A3" w14:textId="6061226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4" w:history="1">
        <w:r w:rsidR="00056825" w:rsidRPr="001D643E">
          <w:rPr>
            <w:rStyle w:val="Hypertextovodkaz"/>
            <w:noProof/>
          </w:rPr>
          <w:t>Graf 9: OS – krabicové grafy, mediánové délky civilního řízení, 2023</w:t>
        </w:r>
        <w:r w:rsidR="00056825">
          <w:rPr>
            <w:noProof/>
            <w:webHidden/>
          </w:rPr>
          <w:tab/>
        </w:r>
        <w:r w:rsidR="00056825">
          <w:rPr>
            <w:noProof/>
            <w:webHidden/>
          </w:rPr>
          <w:fldChar w:fldCharType="begin"/>
        </w:r>
        <w:r w:rsidR="00056825">
          <w:rPr>
            <w:noProof/>
            <w:webHidden/>
          </w:rPr>
          <w:instrText xml:space="preserve"> PAGEREF _Toc174080614 \h </w:instrText>
        </w:r>
        <w:r w:rsidR="00056825">
          <w:rPr>
            <w:noProof/>
            <w:webHidden/>
          </w:rPr>
        </w:r>
        <w:r w:rsidR="00056825">
          <w:rPr>
            <w:noProof/>
            <w:webHidden/>
          </w:rPr>
          <w:fldChar w:fldCharType="separate"/>
        </w:r>
        <w:r>
          <w:rPr>
            <w:noProof/>
            <w:webHidden/>
          </w:rPr>
          <w:t>29</w:t>
        </w:r>
        <w:r w:rsidR="00056825">
          <w:rPr>
            <w:noProof/>
            <w:webHidden/>
          </w:rPr>
          <w:fldChar w:fldCharType="end"/>
        </w:r>
      </w:hyperlink>
    </w:p>
    <w:p w14:paraId="45426F09" w14:textId="3EA2C1B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5" w:history="1">
        <w:r w:rsidR="00056825" w:rsidRPr="001D643E">
          <w:rPr>
            <w:rStyle w:val="Hypertextovodkaz"/>
            <w:noProof/>
          </w:rPr>
          <w:t>Graf 10: OS – distribuce délek civilního řízení</w:t>
        </w:r>
        <w:r w:rsidR="00056825">
          <w:rPr>
            <w:noProof/>
            <w:webHidden/>
          </w:rPr>
          <w:tab/>
        </w:r>
        <w:r w:rsidR="00056825">
          <w:rPr>
            <w:noProof/>
            <w:webHidden/>
          </w:rPr>
          <w:fldChar w:fldCharType="begin"/>
        </w:r>
        <w:r w:rsidR="00056825">
          <w:rPr>
            <w:noProof/>
            <w:webHidden/>
          </w:rPr>
          <w:instrText xml:space="preserve"> PAGEREF _Toc174080615 \h </w:instrText>
        </w:r>
        <w:r w:rsidR="00056825">
          <w:rPr>
            <w:noProof/>
            <w:webHidden/>
          </w:rPr>
        </w:r>
        <w:r w:rsidR="00056825">
          <w:rPr>
            <w:noProof/>
            <w:webHidden/>
          </w:rPr>
          <w:fldChar w:fldCharType="separate"/>
        </w:r>
        <w:r>
          <w:rPr>
            <w:noProof/>
            <w:webHidden/>
          </w:rPr>
          <w:t>30</w:t>
        </w:r>
        <w:r w:rsidR="00056825">
          <w:rPr>
            <w:noProof/>
            <w:webHidden/>
          </w:rPr>
          <w:fldChar w:fldCharType="end"/>
        </w:r>
      </w:hyperlink>
    </w:p>
    <w:p w14:paraId="20AA9399" w14:textId="1197292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6" w:history="1">
        <w:r w:rsidR="00056825" w:rsidRPr="001D643E">
          <w:rPr>
            <w:rStyle w:val="Hypertextovodkaz"/>
            <w:noProof/>
          </w:rPr>
          <w:t>Graf 11: OS – vyřizování civilních věcí v letech 2014–2023</w:t>
        </w:r>
        <w:r w:rsidR="00056825">
          <w:rPr>
            <w:noProof/>
            <w:webHidden/>
          </w:rPr>
          <w:tab/>
        </w:r>
        <w:r w:rsidR="00056825">
          <w:rPr>
            <w:noProof/>
            <w:webHidden/>
          </w:rPr>
          <w:fldChar w:fldCharType="begin"/>
        </w:r>
        <w:r w:rsidR="00056825">
          <w:rPr>
            <w:noProof/>
            <w:webHidden/>
          </w:rPr>
          <w:instrText xml:space="preserve"> PAGEREF _Toc174080616 \h </w:instrText>
        </w:r>
        <w:r w:rsidR="00056825">
          <w:rPr>
            <w:noProof/>
            <w:webHidden/>
          </w:rPr>
        </w:r>
        <w:r w:rsidR="00056825">
          <w:rPr>
            <w:noProof/>
            <w:webHidden/>
          </w:rPr>
          <w:fldChar w:fldCharType="separate"/>
        </w:r>
        <w:r>
          <w:rPr>
            <w:noProof/>
            <w:webHidden/>
          </w:rPr>
          <w:t>31</w:t>
        </w:r>
        <w:r w:rsidR="00056825">
          <w:rPr>
            <w:noProof/>
            <w:webHidden/>
          </w:rPr>
          <w:fldChar w:fldCharType="end"/>
        </w:r>
      </w:hyperlink>
    </w:p>
    <w:p w14:paraId="4AED1A91" w14:textId="63623E7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7" w:history="1">
        <w:r w:rsidR="00056825" w:rsidRPr="001D643E">
          <w:rPr>
            <w:rStyle w:val="Hypertextovodkaz"/>
            <w:noProof/>
          </w:rPr>
          <w:t>Graf 12: OS – počet nevyř. civilních věcí na úvazek u jednotlivých soudů, 2023</w:t>
        </w:r>
        <w:r w:rsidR="00056825">
          <w:rPr>
            <w:noProof/>
            <w:webHidden/>
          </w:rPr>
          <w:tab/>
        </w:r>
        <w:r w:rsidR="00056825">
          <w:rPr>
            <w:noProof/>
            <w:webHidden/>
          </w:rPr>
          <w:fldChar w:fldCharType="begin"/>
        </w:r>
        <w:r w:rsidR="00056825">
          <w:rPr>
            <w:noProof/>
            <w:webHidden/>
          </w:rPr>
          <w:instrText xml:space="preserve"> PAGEREF _Toc174080617 \h </w:instrText>
        </w:r>
        <w:r w:rsidR="00056825">
          <w:rPr>
            <w:noProof/>
            <w:webHidden/>
          </w:rPr>
        </w:r>
        <w:r w:rsidR="00056825">
          <w:rPr>
            <w:noProof/>
            <w:webHidden/>
          </w:rPr>
          <w:fldChar w:fldCharType="separate"/>
        </w:r>
        <w:r>
          <w:rPr>
            <w:noProof/>
            <w:webHidden/>
          </w:rPr>
          <w:t>33</w:t>
        </w:r>
        <w:r w:rsidR="00056825">
          <w:rPr>
            <w:noProof/>
            <w:webHidden/>
          </w:rPr>
          <w:fldChar w:fldCharType="end"/>
        </w:r>
      </w:hyperlink>
    </w:p>
    <w:p w14:paraId="0520F92E" w14:textId="42CF6D1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8" w:history="1">
        <w:r w:rsidR="00056825" w:rsidRPr="001D643E">
          <w:rPr>
            <w:rStyle w:val="Hypertextovodkaz"/>
            <w:noProof/>
          </w:rPr>
          <w:t>Graf 13: OS – disposition time civilního řízení v letech 2014–2023</w:t>
        </w:r>
        <w:r w:rsidR="00056825">
          <w:rPr>
            <w:noProof/>
            <w:webHidden/>
          </w:rPr>
          <w:tab/>
        </w:r>
        <w:r w:rsidR="00056825">
          <w:rPr>
            <w:noProof/>
            <w:webHidden/>
          </w:rPr>
          <w:fldChar w:fldCharType="begin"/>
        </w:r>
        <w:r w:rsidR="00056825">
          <w:rPr>
            <w:noProof/>
            <w:webHidden/>
          </w:rPr>
          <w:instrText xml:space="preserve"> PAGEREF _Toc174080618 \h </w:instrText>
        </w:r>
        <w:r w:rsidR="00056825">
          <w:rPr>
            <w:noProof/>
            <w:webHidden/>
          </w:rPr>
        </w:r>
        <w:r w:rsidR="00056825">
          <w:rPr>
            <w:noProof/>
            <w:webHidden/>
          </w:rPr>
          <w:fldChar w:fldCharType="separate"/>
        </w:r>
        <w:r>
          <w:rPr>
            <w:noProof/>
            <w:webHidden/>
          </w:rPr>
          <w:t>35</w:t>
        </w:r>
        <w:r w:rsidR="00056825">
          <w:rPr>
            <w:noProof/>
            <w:webHidden/>
          </w:rPr>
          <w:fldChar w:fldCharType="end"/>
        </w:r>
      </w:hyperlink>
    </w:p>
    <w:p w14:paraId="5D041EA5" w14:textId="7D2623C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19" w:history="1">
        <w:r w:rsidR="00056825" w:rsidRPr="001D643E">
          <w:rPr>
            <w:rStyle w:val="Hypertextovodkaz"/>
            <w:noProof/>
          </w:rPr>
          <w:t>Graf 14: OS – disposition time civilního řízení u jednotlivých soudů, 2023</w:t>
        </w:r>
        <w:r w:rsidR="00056825">
          <w:rPr>
            <w:noProof/>
            <w:webHidden/>
          </w:rPr>
          <w:tab/>
        </w:r>
        <w:r w:rsidR="00056825">
          <w:rPr>
            <w:noProof/>
            <w:webHidden/>
          </w:rPr>
          <w:fldChar w:fldCharType="begin"/>
        </w:r>
        <w:r w:rsidR="00056825">
          <w:rPr>
            <w:noProof/>
            <w:webHidden/>
          </w:rPr>
          <w:instrText xml:space="preserve"> PAGEREF _Toc174080619 \h </w:instrText>
        </w:r>
        <w:r w:rsidR="00056825">
          <w:rPr>
            <w:noProof/>
            <w:webHidden/>
          </w:rPr>
        </w:r>
        <w:r w:rsidR="00056825">
          <w:rPr>
            <w:noProof/>
            <w:webHidden/>
          </w:rPr>
          <w:fldChar w:fldCharType="separate"/>
        </w:r>
        <w:r>
          <w:rPr>
            <w:noProof/>
            <w:webHidden/>
          </w:rPr>
          <w:t>36</w:t>
        </w:r>
        <w:r w:rsidR="00056825">
          <w:rPr>
            <w:noProof/>
            <w:webHidden/>
          </w:rPr>
          <w:fldChar w:fldCharType="end"/>
        </w:r>
      </w:hyperlink>
    </w:p>
    <w:p w14:paraId="02187DFB" w14:textId="6B98261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0" w:history="1">
        <w:r w:rsidR="00056825" w:rsidRPr="001D643E">
          <w:rPr>
            <w:rStyle w:val="Hypertextovodkaz"/>
            <w:noProof/>
          </w:rPr>
          <w:t>Graf 15: OS – krabicové grafy, DT civilního řízením, 2023</w:t>
        </w:r>
        <w:r w:rsidR="00056825">
          <w:rPr>
            <w:noProof/>
            <w:webHidden/>
          </w:rPr>
          <w:tab/>
        </w:r>
        <w:r w:rsidR="00056825">
          <w:rPr>
            <w:noProof/>
            <w:webHidden/>
          </w:rPr>
          <w:fldChar w:fldCharType="begin"/>
        </w:r>
        <w:r w:rsidR="00056825">
          <w:rPr>
            <w:noProof/>
            <w:webHidden/>
          </w:rPr>
          <w:instrText xml:space="preserve"> PAGEREF _Toc174080620 \h </w:instrText>
        </w:r>
        <w:r w:rsidR="00056825">
          <w:rPr>
            <w:noProof/>
            <w:webHidden/>
          </w:rPr>
        </w:r>
        <w:r w:rsidR="00056825">
          <w:rPr>
            <w:noProof/>
            <w:webHidden/>
          </w:rPr>
          <w:fldChar w:fldCharType="separate"/>
        </w:r>
        <w:r>
          <w:rPr>
            <w:noProof/>
            <w:webHidden/>
          </w:rPr>
          <w:t>36</w:t>
        </w:r>
        <w:r w:rsidR="00056825">
          <w:rPr>
            <w:noProof/>
            <w:webHidden/>
          </w:rPr>
          <w:fldChar w:fldCharType="end"/>
        </w:r>
      </w:hyperlink>
    </w:p>
    <w:p w14:paraId="00A5B817" w14:textId="3C45278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1" w:history="1">
        <w:r w:rsidR="00056825" w:rsidRPr="001D643E">
          <w:rPr>
            <w:rStyle w:val="Hypertextovodkaz"/>
            <w:noProof/>
          </w:rPr>
          <w:t>Graf 16: OS – míra odvolání u jednotlivých soudů v civilním řízení, 2023</w:t>
        </w:r>
        <w:r w:rsidR="00056825">
          <w:rPr>
            <w:noProof/>
            <w:webHidden/>
          </w:rPr>
          <w:tab/>
        </w:r>
        <w:r w:rsidR="00056825">
          <w:rPr>
            <w:noProof/>
            <w:webHidden/>
          </w:rPr>
          <w:fldChar w:fldCharType="begin"/>
        </w:r>
        <w:r w:rsidR="00056825">
          <w:rPr>
            <w:noProof/>
            <w:webHidden/>
          </w:rPr>
          <w:instrText xml:space="preserve"> PAGEREF _Toc174080621 \h </w:instrText>
        </w:r>
        <w:r w:rsidR="00056825">
          <w:rPr>
            <w:noProof/>
            <w:webHidden/>
          </w:rPr>
        </w:r>
        <w:r w:rsidR="00056825">
          <w:rPr>
            <w:noProof/>
            <w:webHidden/>
          </w:rPr>
          <w:fldChar w:fldCharType="separate"/>
        </w:r>
        <w:r>
          <w:rPr>
            <w:noProof/>
            <w:webHidden/>
          </w:rPr>
          <w:t>38</w:t>
        </w:r>
        <w:r w:rsidR="00056825">
          <w:rPr>
            <w:noProof/>
            <w:webHidden/>
          </w:rPr>
          <w:fldChar w:fldCharType="end"/>
        </w:r>
      </w:hyperlink>
    </w:p>
    <w:p w14:paraId="7093FCC8" w14:textId="4F1936B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2" w:history="1">
        <w:r w:rsidR="00056825" w:rsidRPr="001D643E">
          <w:rPr>
            <w:rStyle w:val="Hypertextovodkaz"/>
            <w:noProof/>
          </w:rPr>
          <w:t>Graf 17: OS – míra změny rozsudku u jednotlivých soudů v civilním řízení</w:t>
        </w:r>
        <w:r w:rsidR="00056825">
          <w:rPr>
            <w:noProof/>
            <w:webHidden/>
          </w:rPr>
          <w:tab/>
        </w:r>
        <w:r w:rsidR="00056825">
          <w:rPr>
            <w:noProof/>
            <w:webHidden/>
          </w:rPr>
          <w:fldChar w:fldCharType="begin"/>
        </w:r>
        <w:r w:rsidR="00056825">
          <w:rPr>
            <w:noProof/>
            <w:webHidden/>
          </w:rPr>
          <w:instrText xml:space="preserve"> PAGEREF _Toc174080622 \h </w:instrText>
        </w:r>
        <w:r w:rsidR="00056825">
          <w:rPr>
            <w:noProof/>
            <w:webHidden/>
          </w:rPr>
        </w:r>
        <w:r w:rsidR="00056825">
          <w:rPr>
            <w:noProof/>
            <w:webHidden/>
          </w:rPr>
          <w:fldChar w:fldCharType="separate"/>
        </w:r>
        <w:r>
          <w:rPr>
            <w:noProof/>
            <w:webHidden/>
          </w:rPr>
          <w:t>39</w:t>
        </w:r>
        <w:r w:rsidR="00056825">
          <w:rPr>
            <w:noProof/>
            <w:webHidden/>
          </w:rPr>
          <w:fldChar w:fldCharType="end"/>
        </w:r>
      </w:hyperlink>
    </w:p>
    <w:p w14:paraId="78557EDB" w14:textId="7074CAD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3" w:history="1">
        <w:r w:rsidR="00056825" w:rsidRPr="001D643E">
          <w:rPr>
            <w:rStyle w:val="Hypertextovodkaz"/>
            <w:noProof/>
          </w:rPr>
          <w:t>Graf 18: OS – délka civilního el. rozkazního řízení v letech 2014–2023</w:t>
        </w:r>
        <w:r w:rsidR="00056825">
          <w:rPr>
            <w:noProof/>
            <w:webHidden/>
          </w:rPr>
          <w:tab/>
        </w:r>
        <w:r w:rsidR="00056825">
          <w:rPr>
            <w:noProof/>
            <w:webHidden/>
          </w:rPr>
          <w:fldChar w:fldCharType="begin"/>
        </w:r>
        <w:r w:rsidR="00056825">
          <w:rPr>
            <w:noProof/>
            <w:webHidden/>
          </w:rPr>
          <w:instrText xml:space="preserve"> PAGEREF _Toc174080623 \h </w:instrText>
        </w:r>
        <w:r w:rsidR="00056825">
          <w:rPr>
            <w:noProof/>
            <w:webHidden/>
          </w:rPr>
        </w:r>
        <w:r w:rsidR="00056825">
          <w:rPr>
            <w:noProof/>
            <w:webHidden/>
          </w:rPr>
          <w:fldChar w:fldCharType="separate"/>
        </w:r>
        <w:r>
          <w:rPr>
            <w:noProof/>
            <w:webHidden/>
          </w:rPr>
          <w:t>42</w:t>
        </w:r>
        <w:r w:rsidR="00056825">
          <w:rPr>
            <w:noProof/>
            <w:webHidden/>
          </w:rPr>
          <w:fldChar w:fldCharType="end"/>
        </w:r>
      </w:hyperlink>
    </w:p>
    <w:p w14:paraId="02F08E79" w14:textId="04BD1A7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4" w:history="1">
        <w:r w:rsidR="00056825" w:rsidRPr="001D643E">
          <w:rPr>
            <w:rStyle w:val="Hypertextovodkaz"/>
            <w:noProof/>
          </w:rPr>
          <w:t>Graf 19: OS – vyřizování věcí v rejstříku EPR v letech 2014–2023</w:t>
        </w:r>
        <w:r w:rsidR="00056825">
          <w:rPr>
            <w:noProof/>
            <w:webHidden/>
          </w:rPr>
          <w:tab/>
        </w:r>
        <w:r w:rsidR="00056825">
          <w:rPr>
            <w:noProof/>
            <w:webHidden/>
          </w:rPr>
          <w:fldChar w:fldCharType="begin"/>
        </w:r>
        <w:r w:rsidR="00056825">
          <w:rPr>
            <w:noProof/>
            <w:webHidden/>
          </w:rPr>
          <w:instrText xml:space="preserve"> PAGEREF _Toc174080624 \h </w:instrText>
        </w:r>
        <w:r w:rsidR="00056825">
          <w:rPr>
            <w:noProof/>
            <w:webHidden/>
          </w:rPr>
        </w:r>
        <w:r w:rsidR="00056825">
          <w:rPr>
            <w:noProof/>
            <w:webHidden/>
          </w:rPr>
          <w:fldChar w:fldCharType="separate"/>
        </w:r>
        <w:r>
          <w:rPr>
            <w:noProof/>
            <w:webHidden/>
          </w:rPr>
          <w:t>44</w:t>
        </w:r>
        <w:r w:rsidR="00056825">
          <w:rPr>
            <w:noProof/>
            <w:webHidden/>
          </w:rPr>
          <w:fldChar w:fldCharType="end"/>
        </w:r>
      </w:hyperlink>
    </w:p>
    <w:p w14:paraId="6196759F" w14:textId="6A0322F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5" w:history="1">
        <w:r w:rsidR="00056825" w:rsidRPr="001D643E">
          <w:rPr>
            <w:rStyle w:val="Hypertextovodkaz"/>
            <w:noProof/>
          </w:rPr>
          <w:t>Graf 20: OS – převedeno z rejstříku EPR v letech 2014–2023</w:t>
        </w:r>
        <w:r w:rsidR="00056825">
          <w:rPr>
            <w:noProof/>
            <w:webHidden/>
          </w:rPr>
          <w:tab/>
        </w:r>
        <w:r w:rsidR="00056825">
          <w:rPr>
            <w:noProof/>
            <w:webHidden/>
          </w:rPr>
          <w:fldChar w:fldCharType="begin"/>
        </w:r>
        <w:r w:rsidR="00056825">
          <w:rPr>
            <w:noProof/>
            <w:webHidden/>
          </w:rPr>
          <w:instrText xml:space="preserve"> PAGEREF _Toc174080625 \h </w:instrText>
        </w:r>
        <w:r w:rsidR="00056825">
          <w:rPr>
            <w:noProof/>
            <w:webHidden/>
          </w:rPr>
        </w:r>
        <w:r w:rsidR="00056825">
          <w:rPr>
            <w:noProof/>
            <w:webHidden/>
          </w:rPr>
          <w:fldChar w:fldCharType="separate"/>
        </w:r>
        <w:r>
          <w:rPr>
            <w:noProof/>
            <w:webHidden/>
          </w:rPr>
          <w:t>45</w:t>
        </w:r>
        <w:r w:rsidR="00056825">
          <w:rPr>
            <w:noProof/>
            <w:webHidden/>
          </w:rPr>
          <w:fldChar w:fldCharType="end"/>
        </w:r>
      </w:hyperlink>
    </w:p>
    <w:p w14:paraId="642B4168" w14:textId="1C0BF9EC"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6" w:history="1">
        <w:r w:rsidR="00056825" w:rsidRPr="001D643E">
          <w:rPr>
            <w:rStyle w:val="Hypertextovodkaz"/>
            <w:noProof/>
          </w:rPr>
          <w:t>Graf 21: OS – délka trestního řízení v letech 2014–2023</w:t>
        </w:r>
        <w:r w:rsidR="00056825">
          <w:rPr>
            <w:noProof/>
            <w:webHidden/>
          </w:rPr>
          <w:tab/>
        </w:r>
        <w:r w:rsidR="00056825">
          <w:rPr>
            <w:noProof/>
            <w:webHidden/>
          </w:rPr>
          <w:fldChar w:fldCharType="begin"/>
        </w:r>
        <w:r w:rsidR="00056825">
          <w:rPr>
            <w:noProof/>
            <w:webHidden/>
          </w:rPr>
          <w:instrText xml:space="preserve"> PAGEREF _Toc174080626 \h </w:instrText>
        </w:r>
        <w:r w:rsidR="00056825">
          <w:rPr>
            <w:noProof/>
            <w:webHidden/>
          </w:rPr>
        </w:r>
        <w:r w:rsidR="00056825">
          <w:rPr>
            <w:noProof/>
            <w:webHidden/>
          </w:rPr>
          <w:fldChar w:fldCharType="separate"/>
        </w:r>
        <w:r>
          <w:rPr>
            <w:noProof/>
            <w:webHidden/>
          </w:rPr>
          <w:t>47</w:t>
        </w:r>
        <w:r w:rsidR="00056825">
          <w:rPr>
            <w:noProof/>
            <w:webHidden/>
          </w:rPr>
          <w:fldChar w:fldCharType="end"/>
        </w:r>
      </w:hyperlink>
    </w:p>
    <w:p w14:paraId="6A793228" w14:textId="60B9C02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7" w:history="1">
        <w:r w:rsidR="00056825" w:rsidRPr="001D643E">
          <w:rPr>
            <w:rStyle w:val="Hypertextovodkaz"/>
            <w:noProof/>
          </w:rPr>
          <w:t>Graf 22: OS – mediánové délky trestního řízení u jednotlivých soudů, 2023</w:t>
        </w:r>
        <w:r w:rsidR="00056825">
          <w:rPr>
            <w:noProof/>
            <w:webHidden/>
          </w:rPr>
          <w:tab/>
        </w:r>
        <w:r w:rsidR="00056825">
          <w:rPr>
            <w:noProof/>
            <w:webHidden/>
          </w:rPr>
          <w:fldChar w:fldCharType="begin"/>
        </w:r>
        <w:r w:rsidR="00056825">
          <w:rPr>
            <w:noProof/>
            <w:webHidden/>
          </w:rPr>
          <w:instrText xml:space="preserve"> PAGEREF _Toc174080627 \h </w:instrText>
        </w:r>
        <w:r w:rsidR="00056825">
          <w:rPr>
            <w:noProof/>
            <w:webHidden/>
          </w:rPr>
        </w:r>
        <w:r w:rsidR="00056825">
          <w:rPr>
            <w:noProof/>
            <w:webHidden/>
          </w:rPr>
          <w:fldChar w:fldCharType="separate"/>
        </w:r>
        <w:r>
          <w:rPr>
            <w:noProof/>
            <w:webHidden/>
          </w:rPr>
          <w:t>49</w:t>
        </w:r>
        <w:r w:rsidR="00056825">
          <w:rPr>
            <w:noProof/>
            <w:webHidden/>
          </w:rPr>
          <w:fldChar w:fldCharType="end"/>
        </w:r>
      </w:hyperlink>
    </w:p>
    <w:p w14:paraId="468620A4" w14:textId="61FB2D8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8" w:history="1">
        <w:r w:rsidR="00056825" w:rsidRPr="001D643E">
          <w:rPr>
            <w:rStyle w:val="Hypertextovodkaz"/>
            <w:noProof/>
          </w:rPr>
          <w:t>Graf 23: OS – krabicové grafy, mediánové délky trestního řízení</w:t>
        </w:r>
        <w:r w:rsidR="00056825">
          <w:rPr>
            <w:noProof/>
            <w:webHidden/>
          </w:rPr>
          <w:tab/>
        </w:r>
        <w:r w:rsidR="00056825">
          <w:rPr>
            <w:noProof/>
            <w:webHidden/>
          </w:rPr>
          <w:fldChar w:fldCharType="begin"/>
        </w:r>
        <w:r w:rsidR="00056825">
          <w:rPr>
            <w:noProof/>
            <w:webHidden/>
          </w:rPr>
          <w:instrText xml:space="preserve"> PAGEREF _Toc174080628 \h </w:instrText>
        </w:r>
        <w:r w:rsidR="00056825">
          <w:rPr>
            <w:noProof/>
            <w:webHidden/>
          </w:rPr>
        </w:r>
        <w:r w:rsidR="00056825">
          <w:rPr>
            <w:noProof/>
            <w:webHidden/>
          </w:rPr>
          <w:fldChar w:fldCharType="separate"/>
        </w:r>
        <w:r>
          <w:rPr>
            <w:noProof/>
            <w:webHidden/>
          </w:rPr>
          <w:t>49</w:t>
        </w:r>
        <w:r w:rsidR="00056825">
          <w:rPr>
            <w:noProof/>
            <w:webHidden/>
          </w:rPr>
          <w:fldChar w:fldCharType="end"/>
        </w:r>
      </w:hyperlink>
    </w:p>
    <w:p w14:paraId="229F13F0" w14:textId="448B76A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29" w:history="1">
        <w:r w:rsidR="00056825" w:rsidRPr="001D643E">
          <w:rPr>
            <w:rStyle w:val="Hypertextovodkaz"/>
            <w:noProof/>
          </w:rPr>
          <w:t>Graf 24: OS – distribuce délek trestního řízení, 2023</w:t>
        </w:r>
        <w:r w:rsidR="00056825">
          <w:rPr>
            <w:noProof/>
            <w:webHidden/>
          </w:rPr>
          <w:tab/>
        </w:r>
        <w:r w:rsidR="00056825">
          <w:rPr>
            <w:noProof/>
            <w:webHidden/>
          </w:rPr>
          <w:fldChar w:fldCharType="begin"/>
        </w:r>
        <w:r w:rsidR="00056825">
          <w:rPr>
            <w:noProof/>
            <w:webHidden/>
          </w:rPr>
          <w:instrText xml:space="preserve"> PAGEREF _Toc174080629 \h </w:instrText>
        </w:r>
        <w:r w:rsidR="00056825">
          <w:rPr>
            <w:noProof/>
            <w:webHidden/>
          </w:rPr>
        </w:r>
        <w:r w:rsidR="00056825">
          <w:rPr>
            <w:noProof/>
            <w:webHidden/>
          </w:rPr>
          <w:fldChar w:fldCharType="separate"/>
        </w:r>
        <w:r>
          <w:rPr>
            <w:noProof/>
            <w:webHidden/>
          </w:rPr>
          <w:t>50</w:t>
        </w:r>
        <w:r w:rsidR="00056825">
          <w:rPr>
            <w:noProof/>
            <w:webHidden/>
          </w:rPr>
          <w:fldChar w:fldCharType="end"/>
        </w:r>
      </w:hyperlink>
    </w:p>
    <w:p w14:paraId="4BCCA84B" w14:textId="5A97B9C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0" w:history="1">
        <w:r w:rsidR="00056825" w:rsidRPr="001D643E">
          <w:rPr>
            <w:rStyle w:val="Hypertextovodkaz"/>
            <w:noProof/>
          </w:rPr>
          <w:t>Graf 25: OS – vyřizování trestních věcí v letech 2014–2023</w:t>
        </w:r>
        <w:r w:rsidR="00056825">
          <w:rPr>
            <w:noProof/>
            <w:webHidden/>
          </w:rPr>
          <w:tab/>
        </w:r>
        <w:r w:rsidR="00056825">
          <w:rPr>
            <w:noProof/>
            <w:webHidden/>
          </w:rPr>
          <w:fldChar w:fldCharType="begin"/>
        </w:r>
        <w:r w:rsidR="00056825">
          <w:rPr>
            <w:noProof/>
            <w:webHidden/>
          </w:rPr>
          <w:instrText xml:space="preserve"> PAGEREF _Toc174080630 \h </w:instrText>
        </w:r>
        <w:r w:rsidR="00056825">
          <w:rPr>
            <w:noProof/>
            <w:webHidden/>
          </w:rPr>
        </w:r>
        <w:r w:rsidR="00056825">
          <w:rPr>
            <w:noProof/>
            <w:webHidden/>
          </w:rPr>
          <w:fldChar w:fldCharType="separate"/>
        </w:r>
        <w:r>
          <w:rPr>
            <w:noProof/>
            <w:webHidden/>
          </w:rPr>
          <w:t>51</w:t>
        </w:r>
        <w:r w:rsidR="00056825">
          <w:rPr>
            <w:noProof/>
            <w:webHidden/>
          </w:rPr>
          <w:fldChar w:fldCharType="end"/>
        </w:r>
      </w:hyperlink>
    </w:p>
    <w:p w14:paraId="05611161" w14:textId="6A5D213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1" w:history="1">
        <w:r w:rsidR="00056825" w:rsidRPr="001D643E">
          <w:rPr>
            <w:rStyle w:val="Hypertextovodkaz"/>
            <w:noProof/>
          </w:rPr>
          <w:t>Graf 26: OS – počet nevyř. trestních věcí na úvazek u jednotlivých soudů, 2023</w:t>
        </w:r>
        <w:r w:rsidR="00056825">
          <w:rPr>
            <w:noProof/>
            <w:webHidden/>
          </w:rPr>
          <w:tab/>
        </w:r>
        <w:r w:rsidR="00056825">
          <w:rPr>
            <w:noProof/>
            <w:webHidden/>
          </w:rPr>
          <w:fldChar w:fldCharType="begin"/>
        </w:r>
        <w:r w:rsidR="00056825">
          <w:rPr>
            <w:noProof/>
            <w:webHidden/>
          </w:rPr>
          <w:instrText xml:space="preserve"> PAGEREF _Toc174080631 \h </w:instrText>
        </w:r>
        <w:r w:rsidR="00056825">
          <w:rPr>
            <w:noProof/>
            <w:webHidden/>
          </w:rPr>
        </w:r>
        <w:r w:rsidR="00056825">
          <w:rPr>
            <w:noProof/>
            <w:webHidden/>
          </w:rPr>
          <w:fldChar w:fldCharType="separate"/>
        </w:r>
        <w:r>
          <w:rPr>
            <w:noProof/>
            <w:webHidden/>
          </w:rPr>
          <w:t>53</w:t>
        </w:r>
        <w:r w:rsidR="00056825">
          <w:rPr>
            <w:noProof/>
            <w:webHidden/>
          </w:rPr>
          <w:fldChar w:fldCharType="end"/>
        </w:r>
      </w:hyperlink>
    </w:p>
    <w:p w14:paraId="77E45854" w14:textId="637AEFC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2" w:history="1">
        <w:r w:rsidR="00056825" w:rsidRPr="001D643E">
          <w:rPr>
            <w:rStyle w:val="Hypertextovodkaz"/>
            <w:noProof/>
          </w:rPr>
          <w:t>Graf 27: OS – disposition time trestního řízení v letech 2014–2023</w:t>
        </w:r>
        <w:r w:rsidR="00056825">
          <w:rPr>
            <w:noProof/>
            <w:webHidden/>
          </w:rPr>
          <w:tab/>
        </w:r>
        <w:r w:rsidR="00056825">
          <w:rPr>
            <w:noProof/>
            <w:webHidden/>
          </w:rPr>
          <w:fldChar w:fldCharType="begin"/>
        </w:r>
        <w:r w:rsidR="00056825">
          <w:rPr>
            <w:noProof/>
            <w:webHidden/>
          </w:rPr>
          <w:instrText xml:space="preserve"> PAGEREF _Toc174080632 \h </w:instrText>
        </w:r>
        <w:r w:rsidR="00056825">
          <w:rPr>
            <w:noProof/>
            <w:webHidden/>
          </w:rPr>
        </w:r>
        <w:r w:rsidR="00056825">
          <w:rPr>
            <w:noProof/>
            <w:webHidden/>
          </w:rPr>
          <w:fldChar w:fldCharType="separate"/>
        </w:r>
        <w:r>
          <w:rPr>
            <w:noProof/>
            <w:webHidden/>
          </w:rPr>
          <w:t>54</w:t>
        </w:r>
        <w:r w:rsidR="00056825">
          <w:rPr>
            <w:noProof/>
            <w:webHidden/>
          </w:rPr>
          <w:fldChar w:fldCharType="end"/>
        </w:r>
      </w:hyperlink>
    </w:p>
    <w:p w14:paraId="0E1D8129" w14:textId="547B5394"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3" w:history="1">
        <w:r w:rsidR="00056825" w:rsidRPr="001D643E">
          <w:rPr>
            <w:rStyle w:val="Hypertextovodkaz"/>
            <w:noProof/>
          </w:rPr>
          <w:t>Graf 28: OS – disposition time trestního řízení u jednotlivých soudů, 2023</w:t>
        </w:r>
        <w:r w:rsidR="00056825">
          <w:rPr>
            <w:noProof/>
            <w:webHidden/>
          </w:rPr>
          <w:tab/>
        </w:r>
        <w:r w:rsidR="00056825">
          <w:rPr>
            <w:noProof/>
            <w:webHidden/>
          </w:rPr>
          <w:fldChar w:fldCharType="begin"/>
        </w:r>
        <w:r w:rsidR="00056825">
          <w:rPr>
            <w:noProof/>
            <w:webHidden/>
          </w:rPr>
          <w:instrText xml:space="preserve"> PAGEREF _Toc174080633 \h </w:instrText>
        </w:r>
        <w:r w:rsidR="00056825">
          <w:rPr>
            <w:noProof/>
            <w:webHidden/>
          </w:rPr>
        </w:r>
        <w:r w:rsidR="00056825">
          <w:rPr>
            <w:noProof/>
            <w:webHidden/>
          </w:rPr>
          <w:fldChar w:fldCharType="separate"/>
        </w:r>
        <w:r>
          <w:rPr>
            <w:noProof/>
            <w:webHidden/>
          </w:rPr>
          <w:t>54</w:t>
        </w:r>
        <w:r w:rsidR="00056825">
          <w:rPr>
            <w:noProof/>
            <w:webHidden/>
          </w:rPr>
          <w:fldChar w:fldCharType="end"/>
        </w:r>
      </w:hyperlink>
    </w:p>
    <w:p w14:paraId="1CF0B213" w14:textId="5424168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4" w:history="1">
        <w:r w:rsidR="00056825" w:rsidRPr="001D643E">
          <w:rPr>
            <w:rStyle w:val="Hypertextovodkaz"/>
            <w:noProof/>
          </w:rPr>
          <w:t>Graf 29: OS – krabicové grafy, DT trestního řízení</w:t>
        </w:r>
        <w:r w:rsidR="00056825">
          <w:rPr>
            <w:noProof/>
            <w:webHidden/>
          </w:rPr>
          <w:tab/>
        </w:r>
        <w:r w:rsidR="00056825">
          <w:rPr>
            <w:noProof/>
            <w:webHidden/>
          </w:rPr>
          <w:fldChar w:fldCharType="begin"/>
        </w:r>
        <w:r w:rsidR="00056825">
          <w:rPr>
            <w:noProof/>
            <w:webHidden/>
          </w:rPr>
          <w:instrText xml:space="preserve"> PAGEREF _Toc174080634 \h </w:instrText>
        </w:r>
        <w:r w:rsidR="00056825">
          <w:rPr>
            <w:noProof/>
            <w:webHidden/>
          </w:rPr>
        </w:r>
        <w:r w:rsidR="00056825">
          <w:rPr>
            <w:noProof/>
            <w:webHidden/>
          </w:rPr>
          <w:fldChar w:fldCharType="separate"/>
        </w:r>
        <w:r>
          <w:rPr>
            <w:noProof/>
            <w:webHidden/>
          </w:rPr>
          <w:t>55</w:t>
        </w:r>
        <w:r w:rsidR="00056825">
          <w:rPr>
            <w:noProof/>
            <w:webHidden/>
          </w:rPr>
          <w:fldChar w:fldCharType="end"/>
        </w:r>
      </w:hyperlink>
    </w:p>
    <w:p w14:paraId="58EC54DF" w14:textId="1893348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5" w:history="1">
        <w:r w:rsidR="00056825" w:rsidRPr="001D643E">
          <w:rPr>
            <w:rStyle w:val="Hypertextovodkaz"/>
            <w:noProof/>
          </w:rPr>
          <w:t>Graf 30: OS – míra odvolání u jednotlivých soudů v trestním řízení, 2023</w:t>
        </w:r>
        <w:r w:rsidR="00056825">
          <w:rPr>
            <w:noProof/>
            <w:webHidden/>
          </w:rPr>
          <w:tab/>
        </w:r>
        <w:r w:rsidR="00056825">
          <w:rPr>
            <w:noProof/>
            <w:webHidden/>
          </w:rPr>
          <w:fldChar w:fldCharType="begin"/>
        </w:r>
        <w:r w:rsidR="00056825">
          <w:rPr>
            <w:noProof/>
            <w:webHidden/>
          </w:rPr>
          <w:instrText xml:space="preserve"> PAGEREF _Toc174080635 \h </w:instrText>
        </w:r>
        <w:r w:rsidR="00056825">
          <w:rPr>
            <w:noProof/>
            <w:webHidden/>
          </w:rPr>
        </w:r>
        <w:r w:rsidR="00056825">
          <w:rPr>
            <w:noProof/>
            <w:webHidden/>
          </w:rPr>
          <w:fldChar w:fldCharType="separate"/>
        </w:r>
        <w:r>
          <w:rPr>
            <w:noProof/>
            <w:webHidden/>
          </w:rPr>
          <w:t>56</w:t>
        </w:r>
        <w:r w:rsidR="00056825">
          <w:rPr>
            <w:noProof/>
            <w:webHidden/>
          </w:rPr>
          <w:fldChar w:fldCharType="end"/>
        </w:r>
      </w:hyperlink>
    </w:p>
    <w:p w14:paraId="7D80E445" w14:textId="3106812C"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6" w:history="1">
        <w:r w:rsidR="00056825" w:rsidRPr="001D643E">
          <w:rPr>
            <w:rStyle w:val="Hypertextovodkaz"/>
            <w:noProof/>
          </w:rPr>
          <w:t>Graf 31: OS – míra zm. rozsudku u jednotlivých soudů v trestním řízení, 2023</w:t>
        </w:r>
        <w:r w:rsidR="00056825">
          <w:rPr>
            <w:noProof/>
            <w:webHidden/>
          </w:rPr>
          <w:tab/>
        </w:r>
        <w:r w:rsidR="00056825">
          <w:rPr>
            <w:noProof/>
            <w:webHidden/>
          </w:rPr>
          <w:fldChar w:fldCharType="begin"/>
        </w:r>
        <w:r w:rsidR="00056825">
          <w:rPr>
            <w:noProof/>
            <w:webHidden/>
          </w:rPr>
          <w:instrText xml:space="preserve"> PAGEREF _Toc174080636 \h </w:instrText>
        </w:r>
        <w:r w:rsidR="00056825">
          <w:rPr>
            <w:noProof/>
            <w:webHidden/>
          </w:rPr>
        </w:r>
        <w:r w:rsidR="00056825">
          <w:rPr>
            <w:noProof/>
            <w:webHidden/>
          </w:rPr>
          <w:fldChar w:fldCharType="separate"/>
        </w:r>
        <w:r>
          <w:rPr>
            <w:noProof/>
            <w:webHidden/>
          </w:rPr>
          <w:t>58</w:t>
        </w:r>
        <w:r w:rsidR="00056825">
          <w:rPr>
            <w:noProof/>
            <w:webHidden/>
          </w:rPr>
          <w:fldChar w:fldCharType="end"/>
        </w:r>
      </w:hyperlink>
    </w:p>
    <w:p w14:paraId="54C23588" w14:textId="2961305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7" w:history="1">
        <w:r w:rsidR="00056825" w:rsidRPr="001D643E">
          <w:rPr>
            <w:rStyle w:val="Hypertextovodkaz"/>
            <w:noProof/>
          </w:rPr>
          <w:t>Graf 32: OS – suma uložených peněžitých trestů</w:t>
        </w:r>
        <w:r w:rsidR="00056825">
          <w:rPr>
            <w:noProof/>
            <w:webHidden/>
          </w:rPr>
          <w:tab/>
        </w:r>
        <w:r w:rsidR="00056825">
          <w:rPr>
            <w:noProof/>
            <w:webHidden/>
          </w:rPr>
          <w:fldChar w:fldCharType="begin"/>
        </w:r>
        <w:r w:rsidR="00056825">
          <w:rPr>
            <w:noProof/>
            <w:webHidden/>
          </w:rPr>
          <w:instrText xml:space="preserve"> PAGEREF _Toc174080637 \h </w:instrText>
        </w:r>
        <w:r w:rsidR="00056825">
          <w:rPr>
            <w:noProof/>
            <w:webHidden/>
          </w:rPr>
        </w:r>
        <w:r w:rsidR="00056825">
          <w:rPr>
            <w:noProof/>
            <w:webHidden/>
          </w:rPr>
          <w:fldChar w:fldCharType="separate"/>
        </w:r>
        <w:r>
          <w:rPr>
            <w:noProof/>
            <w:webHidden/>
          </w:rPr>
          <w:t>59</w:t>
        </w:r>
        <w:r w:rsidR="00056825">
          <w:rPr>
            <w:noProof/>
            <w:webHidden/>
          </w:rPr>
          <w:fldChar w:fldCharType="end"/>
        </w:r>
      </w:hyperlink>
    </w:p>
    <w:p w14:paraId="398C9605" w14:textId="6E36CFD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8" w:history="1">
        <w:r w:rsidR="00056825" w:rsidRPr="001D643E">
          <w:rPr>
            <w:rStyle w:val="Hypertextovodkaz"/>
            <w:noProof/>
          </w:rPr>
          <w:t>Graf 33: OS – počet a průměrná výše uložených peněžitých trestů</w:t>
        </w:r>
        <w:r w:rsidR="00056825">
          <w:rPr>
            <w:noProof/>
            <w:webHidden/>
          </w:rPr>
          <w:tab/>
        </w:r>
        <w:r w:rsidR="00056825">
          <w:rPr>
            <w:noProof/>
            <w:webHidden/>
          </w:rPr>
          <w:fldChar w:fldCharType="begin"/>
        </w:r>
        <w:r w:rsidR="00056825">
          <w:rPr>
            <w:noProof/>
            <w:webHidden/>
          </w:rPr>
          <w:instrText xml:space="preserve"> PAGEREF _Toc174080638 \h </w:instrText>
        </w:r>
        <w:r w:rsidR="00056825">
          <w:rPr>
            <w:noProof/>
            <w:webHidden/>
          </w:rPr>
        </w:r>
        <w:r w:rsidR="00056825">
          <w:rPr>
            <w:noProof/>
            <w:webHidden/>
          </w:rPr>
          <w:fldChar w:fldCharType="separate"/>
        </w:r>
        <w:r>
          <w:rPr>
            <w:noProof/>
            <w:webHidden/>
          </w:rPr>
          <w:t>60</w:t>
        </w:r>
        <w:r w:rsidR="00056825">
          <w:rPr>
            <w:noProof/>
            <w:webHidden/>
          </w:rPr>
          <w:fldChar w:fldCharType="end"/>
        </w:r>
      </w:hyperlink>
    </w:p>
    <w:p w14:paraId="61642212" w14:textId="00E435A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39" w:history="1">
        <w:r w:rsidR="00056825" w:rsidRPr="001D643E">
          <w:rPr>
            <w:rStyle w:val="Hypertextovodkaz"/>
            <w:noProof/>
          </w:rPr>
          <w:t>Graf 34: OS – míra odsouzení v letech 2014 až 2023</w:t>
        </w:r>
        <w:r w:rsidR="00056825">
          <w:rPr>
            <w:noProof/>
            <w:webHidden/>
          </w:rPr>
          <w:tab/>
        </w:r>
        <w:r w:rsidR="00056825">
          <w:rPr>
            <w:noProof/>
            <w:webHidden/>
          </w:rPr>
          <w:fldChar w:fldCharType="begin"/>
        </w:r>
        <w:r w:rsidR="00056825">
          <w:rPr>
            <w:noProof/>
            <w:webHidden/>
          </w:rPr>
          <w:instrText xml:space="preserve"> PAGEREF _Toc174080639 \h </w:instrText>
        </w:r>
        <w:r w:rsidR="00056825">
          <w:rPr>
            <w:noProof/>
            <w:webHidden/>
          </w:rPr>
        </w:r>
        <w:r w:rsidR="00056825">
          <w:rPr>
            <w:noProof/>
            <w:webHidden/>
          </w:rPr>
          <w:fldChar w:fldCharType="separate"/>
        </w:r>
        <w:r>
          <w:rPr>
            <w:noProof/>
            <w:webHidden/>
          </w:rPr>
          <w:t>62</w:t>
        </w:r>
        <w:r w:rsidR="00056825">
          <w:rPr>
            <w:noProof/>
            <w:webHidden/>
          </w:rPr>
          <w:fldChar w:fldCharType="end"/>
        </w:r>
      </w:hyperlink>
    </w:p>
    <w:p w14:paraId="597BE7BA" w14:textId="3BD4332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0" w:history="1">
        <w:r w:rsidR="00056825" w:rsidRPr="001D643E">
          <w:rPr>
            <w:rStyle w:val="Hypertextovodkaz"/>
            <w:noProof/>
          </w:rPr>
          <w:t>Graf 35: OS – podíl věcí skončených trestním příkazem v letech 2014–2023</w:t>
        </w:r>
        <w:r w:rsidR="00056825">
          <w:rPr>
            <w:noProof/>
            <w:webHidden/>
          </w:rPr>
          <w:tab/>
        </w:r>
        <w:r w:rsidR="00056825">
          <w:rPr>
            <w:noProof/>
            <w:webHidden/>
          </w:rPr>
          <w:fldChar w:fldCharType="begin"/>
        </w:r>
        <w:r w:rsidR="00056825">
          <w:rPr>
            <w:noProof/>
            <w:webHidden/>
          </w:rPr>
          <w:instrText xml:space="preserve"> PAGEREF _Toc174080640 \h </w:instrText>
        </w:r>
        <w:r w:rsidR="00056825">
          <w:rPr>
            <w:noProof/>
            <w:webHidden/>
          </w:rPr>
        </w:r>
        <w:r w:rsidR="00056825">
          <w:rPr>
            <w:noProof/>
            <w:webHidden/>
          </w:rPr>
          <w:fldChar w:fldCharType="separate"/>
        </w:r>
        <w:r>
          <w:rPr>
            <w:noProof/>
            <w:webHidden/>
          </w:rPr>
          <w:t>63</w:t>
        </w:r>
        <w:r w:rsidR="00056825">
          <w:rPr>
            <w:noProof/>
            <w:webHidden/>
          </w:rPr>
          <w:fldChar w:fldCharType="end"/>
        </w:r>
      </w:hyperlink>
    </w:p>
    <w:p w14:paraId="0175A696" w14:textId="35BC818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1" w:history="1">
        <w:r w:rsidR="00056825" w:rsidRPr="001D643E">
          <w:rPr>
            <w:rStyle w:val="Hypertextovodkaz"/>
            <w:noProof/>
          </w:rPr>
          <w:t>Graf 36: OS – délka řízení v opatrovnické agendě v letech 2014–2023</w:t>
        </w:r>
        <w:r w:rsidR="00056825">
          <w:rPr>
            <w:noProof/>
            <w:webHidden/>
          </w:rPr>
          <w:tab/>
        </w:r>
        <w:r w:rsidR="00056825">
          <w:rPr>
            <w:noProof/>
            <w:webHidden/>
          </w:rPr>
          <w:fldChar w:fldCharType="begin"/>
        </w:r>
        <w:r w:rsidR="00056825">
          <w:rPr>
            <w:noProof/>
            <w:webHidden/>
          </w:rPr>
          <w:instrText xml:space="preserve"> PAGEREF _Toc174080641 \h </w:instrText>
        </w:r>
        <w:r w:rsidR="00056825">
          <w:rPr>
            <w:noProof/>
            <w:webHidden/>
          </w:rPr>
        </w:r>
        <w:r w:rsidR="00056825">
          <w:rPr>
            <w:noProof/>
            <w:webHidden/>
          </w:rPr>
          <w:fldChar w:fldCharType="separate"/>
        </w:r>
        <w:r>
          <w:rPr>
            <w:noProof/>
            <w:webHidden/>
          </w:rPr>
          <w:t>65</w:t>
        </w:r>
        <w:r w:rsidR="00056825">
          <w:rPr>
            <w:noProof/>
            <w:webHidden/>
          </w:rPr>
          <w:fldChar w:fldCharType="end"/>
        </w:r>
      </w:hyperlink>
    </w:p>
    <w:p w14:paraId="19847E12" w14:textId="78EBC92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2" w:history="1">
        <w:r w:rsidR="00056825" w:rsidRPr="001D643E">
          <w:rPr>
            <w:rStyle w:val="Hypertextovodkaz"/>
            <w:noProof/>
          </w:rPr>
          <w:t>Graf 37: OS – mediánové délky opatrov. řízení u jednotlivých soudů, 2023</w:t>
        </w:r>
        <w:r w:rsidR="00056825">
          <w:rPr>
            <w:noProof/>
            <w:webHidden/>
          </w:rPr>
          <w:tab/>
        </w:r>
        <w:r w:rsidR="00056825">
          <w:rPr>
            <w:noProof/>
            <w:webHidden/>
          </w:rPr>
          <w:fldChar w:fldCharType="begin"/>
        </w:r>
        <w:r w:rsidR="00056825">
          <w:rPr>
            <w:noProof/>
            <w:webHidden/>
          </w:rPr>
          <w:instrText xml:space="preserve"> PAGEREF _Toc174080642 \h </w:instrText>
        </w:r>
        <w:r w:rsidR="00056825">
          <w:rPr>
            <w:noProof/>
            <w:webHidden/>
          </w:rPr>
        </w:r>
        <w:r w:rsidR="00056825">
          <w:rPr>
            <w:noProof/>
            <w:webHidden/>
          </w:rPr>
          <w:fldChar w:fldCharType="separate"/>
        </w:r>
        <w:r>
          <w:rPr>
            <w:noProof/>
            <w:webHidden/>
          </w:rPr>
          <w:t>67</w:t>
        </w:r>
        <w:r w:rsidR="00056825">
          <w:rPr>
            <w:noProof/>
            <w:webHidden/>
          </w:rPr>
          <w:fldChar w:fldCharType="end"/>
        </w:r>
      </w:hyperlink>
    </w:p>
    <w:p w14:paraId="0AE52726" w14:textId="23DAA4C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3" w:history="1">
        <w:r w:rsidR="00056825" w:rsidRPr="001D643E">
          <w:rPr>
            <w:rStyle w:val="Hypertextovodkaz"/>
            <w:noProof/>
          </w:rPr>
          <w:t>Graf 38: OS – krabicové grafy, mediánové délky opatrovnického řízení, 2023</w:t>
        </w:r>
        <w:r w:rsidR="00056825">
          <w:rPr>
            <w:noProof/>
            <w:webHidden/>
          </w:rPr>
          <w:tab/>
        </w:r>
        <w:r w:rsidR="00056825">
          <w:rPr>
            <w:noProof/>
            <w:webHidden/>
          </w:rPr>
          <w:fldChar w:fldCharType="begin"/>
        </w:r>
        <w:r w:rsidR="00056825">
          <w:rPr>
            <w:noProof/>
            <w:webHidden/>
          </w:rPr>
          <w:instrText xml:space="preserve"> PAGEREF _Toc174080643 \h </w:instrText>
        </w:r>
        <w:r w:rsidR="00056825">
          <w:rPr>
            <w:noProof/>
            <w:webHidden/>
          </w:rPr>
        </w:r>
        <w:r w:rsidR="00056825">
          <w:rPr>
            <w:noProof/>
            <w:webHidden/>
          </w:rPr>
          <w:fldChar w:fldCharType="separate"/>
        </w:r>
        <w:r>
          <w:rPr>
            <w:noProof/>
            <w:webHidden/>
          </w:rPr>
          <w:t>68</w:t>
        </w:r>
        <w:r w:rsidR="00056825">
          <w:rPr>
            <w:noProof/>
            <w:webHidden/>
          </w:rPr>
          <w:fldChar w:fldCharType="end"/>
        </w:r>
      </w:hyperlink>
    </w:p>
    <w:p w14:paraId="141B9B09" w14:textId="0B1DF4A4"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4" w:history="1">
        <w:r w:rsidR="00056825" w:rsidRPr="001D643E">
          <w:rPr>
            <w:rStyle w:val="Hypertextovodkaz"/>
            <w:noProof/>
          </w:rPr>
          <w:t>Graf 39: OS –distribuce délky opatrovnického řízení, 2023</w:t>
        </w:r>
        <w:r w:rsidR="00056825">
          <w:rPr>
            <w:noProof/>
            <w:webHidden/>
          </w:rPr>
          <w:tab/>
        </w:r>
        <w:r w:rsidR="00056825">
          <w:rPr>
            <w:noProof/>
            <w:webHidden/>
          </w:rPr>
          <w:fldChar w:fldCharType="begin"/>
        </w:r>
        <w:r w:rsidR="00056825">
          <w:rPr>
            <w:noProof/>
            <w:webHidden/>
          </w:rPr>
          <w:instrText xml:space="preserve"> PAGEREF _Toc174080644 \h </w:instrText>
        </w:r>
        <w:r w:rsidR="00056825">
          <w:rPr>
            <w:noProof/>
            <w:webHidden/>
          </w:rPr>
        </w:r>
        <w:r w:rsidR="00056825">
          <w:rPr>
            <w:noProof/>
            <w:webHidden/>
          </w:rPr>
          <w:fldChar w:fldCharType="separate"/>
        </w:r>
        <w:r>
          <w:rPr>
            <w:noProof/>
            <w:webHidden/>
          </w:rPr>
          <w:t>68</w:t>
        </w:r>
        <w:r w:rsidR="00056825">
          <w:rPr>
            <w:noProof/>
            <w:webHidden/>
          </w:rPr>
          <w:fldChar w:fldCharType="end"/>
        </w:r>
      </w:hyperlink>
    </w:p>
    <w:p w14:paraId="02176946" w14:textId="53E8AA94"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5" w:history="1">
        <w:r w:rsidR="00056825" w:rsidRPr="001D643E">
          <w:rPr>
            <w:rStyle w:val="Hypertextovodkaz"/>
            <w:noProof/>
          </w:rPr>
          <w:t>Graf 40: OS – péče o dítě, délka řízení v letech 2014–2023</w:t>
        </w:r>
        <w:r w:rsidR="00056825">
          <w:rPr>
            <w:noProof/>
            <w:webHidden/>
          </w:rPr>
          <w:tab/>
        </w:r>
        <w:r w:rsidR="00056825">
          <w:rPr>
            <w:noProof/>
            <w:webHidden/>
          </w:rPr>
          <w:fldChar w:fldCharType="begin"/>
        </w:r>
        <w:r w:rsidR="00056825">
          <w:rPr>
            <w:noProof/>
            <w:webHidden/>
          </w:rPr>
          <w:instrText xml:space="preserve"> PAGEREF _Toc174080645 \h </w:instrText>
        </w:r>
        <w:r w:rsidR="00056825">
          <w:rPr>
            <w:noProof/>
            <w:webHidden/>
          </w:rPr>
        </w:r>
        <w:r w:rsidR="00056825">
          <w:rPr>
            <w:noProof/>
            <w:webHidden/>
          </w:rPr>
          <w:fldChar w:fldCharType="separate"/>
        </w:r>
        <w:r>
          <w:rPr>
            <w:noProof/>
            <w:webHidden/>
          </w:rPr>
          <w:t>69</w:t>
        </w:r>
        <w:r w:rsidR="00056825">
          <w:rPr>
            <w:noProof/>
            <w:webHidden/>
          </w:rPr>
          <w:fldChar w:fldCharType="end"/>
        </w:r>
      </w:hyperlink>
    </w:p>
    <w:p w14:paraId="572E58B7" w14:textId="15F672A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6" w:history="1">
        <w:r w:rsidR="00056825" w:rsidRPr="001D643E">
          <w:rPr>
            <w:rStyle w:val="Hypertextovodkaz"/>
            <w:noProof/>
          </w:rPr>
          <w:t>Graf 41: OS – vyřizování věcí v opatrovnické agendě v letech 2014–2023</w:t>
        </w:r>
        <w:r w:rsidR="00056825">
          <w:rPr>
            <w:noProof/>
            <w:webHidden/>
          </w:rPr>
          <w:tab/>
        </w:r>
        <w:r w:rsidR="00056825">
          <w:rPr>
            <w:noProof/>
            <w:webHidden/>
          </w:rPr>
          <w:fldChar w:fldCharType="begin"/>
        </w:r>
        <w:r w:rsidR="00056825">
          <w:rPr>
            <w:noProof/>
            <w:webHidden/>
          </w:rPr>
          <w:instrText xml:space="preserve"> PAGEREF _Toc174080646 \h </w:instrText>
        </w:r>
        <w:r w:rsidR="00056825">
          <w:rPr>
            <w:noProof/>
            <w:webHidden/>
          </w:rPr>
        </w:r>
        <w:r w:rsidR="00056825">
          <w:rPr>
            <w:noProof/>
            <w:webHidden/>
          </w:rPr>
          <w:fldChar w:fldCharType="separate"/>
        </w:r>
        <w:r>
          <w:rPr>
            <w:noProof/>
            <w:webHidden/>
          </w:rPr>
          <w:t>70</w:t>
        </w:r>
        <w:r w:rsidR="00056825">
          <w:rPr>
            <w:noProof/>
            <w:webHidden/>
          </w:rPr>
          <w:fldChar w:fldCharType="end"/>
        </w:r>
      </w:hyperlink>
    </w:p>
    <w:p w14:paraId="280E421C" w14:textId="64F3886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7" w:history="1">
        <w:r w:rsidR="00056825" w:rsidRPr="001D643E">
          <w:rPr>
            <w:rStyle w:val="Hypertextovodkaz"/>
            <w:noProof/>
          </w:rPr>
          <w:t>Graf 42: OS – počet nevyř. opatrov. věcí na úvazek u jednotlivých soudů, 2023</w:t>
        </w:r>
        <w:r w:rsidR="00056825">
          <w:rPr>
            <w:noProof/>
            <w:webHidden/>
          </w:rPr>
          <w:tab/>
        </w:r>
        <w:r w:rsidR="00056825">
          <w:rPr>
            <w:noProof/>
            <w:webHidden/>
          </w:rPr>
          <w:fldChar w:fldCharType="begin"/>
        </w:r>
        <w:r w:rsidR="00056825">
          <w:rPr>
            <w:noProof/>
            <w:webHidden/>
          </w:rPr>
          <w:instrText xml:space="preserve"> PAGEREF _Toc174080647 \h </w:instrText>
        </w:r>
        <w:r w:rsidR="00056825">
          <w:rPr>
            <w:noProof/>
            <w:webHidden/>
          </w:rPr>
        </w:r>
        <w:r w:rsidR="00056825">
          <w:rPr>
            <w:noProof/>
            <w:webHidden/>
          </w:rPr>
          <w:fldChar w:fldCharType="separate"/>
        </w:r>
        <w:r>
          <w:rPr>
            <w:noProof/>
            <w:webHidden/>
          </w:rPr>
          <w:t>72</w:t>
        </w:r>
        <w:r w:rsidR="00056825">
          <w:rPr>
            <w:noProof/>
            <w:webHidden/>
          </w:rPr>
          <w:fldChar w:fldCharType="end"/>
        </w:r>
      </w:hyperlink>
    </w:p>
    <w:p w14:paraId="460AE1E5" w14:textId="502EA58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8" w:history="1">
        <w:r w:rsidR="00056825" w:rsidRPr="001D643E">
          <w:rPr>
            <w:rStyle w:val="Hypertextovodkaz"/>
            <w:noProof/>
          </w:rPr>
          <w:t>Graf 43: OS – disposition time v opatrovnické agendě v letech 2014–2023</w:t>
        </w:r>
        <w:r w:rsidR="00056825">
          <w:rPr>
            <w:noProof/>
            <w:webHidden/>
          </w:rPr>
          <w:tab/>
        </w:r>
        <w:r w:rsidR="00056825">
          <w:rPr>
            <w:noProof/>
            <w:webHidden/>
          </w:rPr>
          <w:fldChar w:fldCharType="begin"/>
        </w:r>
        <w:r w:rsidR="00056825">
          <w:rPr>
            <w:noProof/>
            <w:webHidden/>
          </w:rPr>
          <w:instrText xml:space="preserve"> PAGEREF _Toc174080648 \h </w:instrText>
        </w:r>
        <w:r w:rsidR="00056825">
          <w:rPr>
            <w:noProof/>
            <w:webHidden/>
          </w:rPr>
        </w:r>
        <w:r w:rsidR="00056825">
          <w:rPr>
            <w:noProof/>
            <w:webHidden/>
          </w:rPr>
          <w:fldChar w:fldCharType="separate"/>
        </w:r>
        <w:r>
          <w:rPr>
            <w:noProof/>
            <w:webHidden/>
          </w:rPr>
          <w:t>73</w:t>
        </w:r>
        <w:r w:rsidR="00056825">
          <w:rPr>
            <w:noProof/>
            <w:webHidden/>
          </w:rPr>
          <w:fldChar w:fldCharType="end"/>
        </w:r>
      </w:hyperlink>
    </w:p>
    <w:p w14:paraId="2A88F119" w14:textId="1021B8A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49" w:history="1">
        <w:r w:rsidR="00056825" w:rsidRPr="001D643E">
          <w:rPr>
            <w:rStyle w:val="Hypertextovodkaz"/>
            <w:noProof/>
          </w:rPr>
          <w:t>Graf 44: OS – disposition time v opatrov. agendě u jednotlivých soudů, 2023</w:t>
        </w:r>
        <w:r w:rsidR="00056825">
          <w:rPr>
            <w:noProof/>
            <w:webHidden/>
          </w:rPr>
          <w:tab/>
        </w:r>
        <w:r w:rsidR="00056825">
          <w:rPr>
            <w:noProof/>
            <w:webHidden/>
          </w:rPr>
          <w:fldChar w:fldCharType="begin"/>
        </w:r>
        <w:r w:rsidR="00056825">
          <w:rPr>
            <w:noProof/>
            <w:webHidden/>
          </w:rPr>
          <w:instrText xml:space="preserve"> PAGEREF _Toc174080649 \h </w:instrText>
        </w:r>
        <w:r w:rsidR="00056825">
          <w:rPr>
            <w:noProof/>
            <w:webHidden/>
          </w:rPr>
        </w:r>
        <w:r w:rsidR="00056825">
          <w:rPr>
            <w:noProof/>
            <w:webHidden/>
          </w:rPr>
          <w:fldChar w:fldCharType="separate"/>
        </w:r>
        <w:r>
          <w:rPr>
            <w:noProof/>
            <w:webHidden/>
          </w:rPr>
          <w:t>73</w:t>
        </w:r>
        <w:r w:rsidR="00056825">
          <w:rPr>
            <w:noProof/>
            <w:webHidden/>
          </w:rPr>
          <w:fldChar w:fldCharType="end"/>
        </w:r>
      </w:hyperlink>
    </w:p>
    <w:p w14:paraId="62961CEE" w14:textId="505FD7F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0" w:history="1">
        <w:r w:rsidR="00056825" w:rsidRPr="001D643E">
          <w:rPr>
            <w:rStyle w:val="Hypertextovodkaz"/>
            <w:noProof/>
          </w:rPr>
          <w:t>Graf 45: OS – krabicové grafy, DT opatrovnické agendy</w:t>
        </w:r>
        <w:r w:rsidR="00056825">
          <w:rPr>
            <w:noProof/>
            <w:webHidden/>
          </w:rPr>
          <w:tab/>
        </w:r>
        <w:r w:rsidR="00056825">
          <w:rPr>
            <w:noProof/>
            <w:webHidden/>
          </w:rPr>
          <w:fldChar w:fldCharType="begin"/>
        </w:r>
        <w:r w:rsidR="00056825">
          <w:rPr>
            <w:noProof/>
            <w:webHidden/>
          </w:rPr>
          <w:instrText xml:space="preserve"> PAGEREF _Toc174080650 \h </w:instrText>
        </w:r>
        <w:r w:rsidR="00056825">
          <w:rPr>
            <w:noProof/>
            <w:webHidden/>
          </w:rPr>
        </w:r>
        <w:r w:rsidR="00056825">
          <w:rPr>
            <w:noProof/>
            <w:webHidden/>
          </w:rPr>
          <w:fldChar w:fldCharType="separate"/>
        </w:r>
        <w:r>
          <w:rPr>
            <w:noProof/>
            <w:webHidden/>
          </w:rPr>
          <w:t>74</w:t>
        </w:r>
        <w:r w:rsidR="00056825">
          <w:rPr>
            <w:noProof/>
            <w:webHidden/>
          </w:rPr>
          <w:fldChar w:fldCharType="end"/>
        </w:r>
      </w:hyperlink>
    </w:p>
    <w:p w14:paraId="33E0AFED" w14:textId="4050BE1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1" w:history="1">
        <w:r w:rsidR="00056825" w:rsidRPr="001D643E">
          <w:rPr>
            <w:rStyle w:val="Hypertextovodkaz"/>
            <w:noProof/>
          </w:rPr>
          <w:t>Graf 46: OS – míra odvolání u jednotlivých soudů v opatrov. řízení, 2023</w:t>
        </w:r>
        <w:r w:rsidR="00056825">
          <w:rPr>
            <w:noProof/>
            <w:webHidden/>
          </w:rPr>
          <w:tab/>
        </w:r>
        <w:r w:rsidR="00056825">
          <w:rPr>
            <w:noProof/>
            <w:webHidden/>
          </w:rPr>
          <w:fldChar w:fldCharType="begin"/>
        </w:r>
        <w:r w:rsidR="00056825">
          <w:rPr>
            <w:noProof/>
            <w:webHidden/>
          </w:rPr>
          <w:instrText xml:space="preserve"> PAGEREF _Toc174080651 \h </w:instrText>
        </w:r>
        <w:r w:rsidR="00056825">
          <w:rPr>
            <w:noProof/>
            <w:webHidden/>
          </w:rPr>
        </w:r>
        <w:r w:rsidR="00056825">
          <w:rPr>
            <w:noProof/>
            <w:webHidden/>
          </w:rPr>
          <w:fldChar w:fldCharType="separate"/>
        </w:r>
        <w:r>
          <w:rPr>
            <w:noProof/>
            <w:webHidden/>
          </w:rPr>
          <w:t>75</w:t>
        </w:r>
        <w:r w:rsidR="00056825">
          <w:rPr>
            <w:noProof/>
            <w:webHidden/>
          </w:rPr>
          <w:fldChar w:fldCharType="end"/>
        </w:r>
      </w:hyperlink>
    </w:p>
    <w:p w14:paraId="4DC9EC4A" w14:textId="194F5C9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2" w:history="1">
        <w:r w:rsidR="00056825" w:rsidRPr="001D643E">
          <w:rPr>
            <w:rStyle w:val="Hypertextovodkaz"/>
            <w:noProof/>
          </w:rPr>
          <w:t>Graf 47: OS – míra změny rozsudku u jednotlivých soudů v opatrov. řízení</w:t>
        </w:r>
        <w:r w:rsidR="00056825">
          <w:rPr>
            <w:noProof/>
            <w:webHidden/>
          </w:rPr>
          <w:tab/>
        </w:r>
        <w:r w:rsidR="00056825">
          <w:rPr>
            <w:noProof/>
            <w:webHidden/>
          </w:rPr>
          <w:fldChar w:fldCharType="begin"/>
        </w:r>
        <w:r w:rsidR="00056825">
          <w:rPr>
            <w:noProof/>
            <w:webHidden/>
          </w:rPr>
          <w:instrText xml:space="preserve"> PAGEREF _Toc174080652 \h </w:instrText>
        </w:r>
        <w:r w:rsidR="00056825">
          <w:rPr>
            <w:noProof/>
            <w:webHidden/>
          </w:rPr>
        </w:r>
        <w:r w:rsidR="00056825">
          <w:rPr>
            <w:noProof/>
            <w:webHidden/>
          </w:rPr>
          <w:fldChar w:fldCharType="separate"/>
        </w:r>
        <w:r>
          <w:rPr>
            <w:noProof/>
            <w:webHidden/>
          </w:rPr>
          <w:t>76</w:t>
        </w:r>
        <w:r w:rsidR="00056825">
          <w:rPr>
            <w:noProof/>
            <w:webHidden/>
          </w:rPr>
          <w:fldChar w:fldCharType="end"/>
        </w:r>
      </w:hyperlink>
    </w:p>
    <w:p w14:paraId="567AC0E0" w14:textId="5856B80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3" w:history="1">
        <w:r w:rsidR="00056825" w:rsidRPr="001D643E">
          <w:rPr>
            <w:rStyle w:val="Hypertextovodkaz"/>
            <w:noProof/>
          </w:rPr>
          <w:t>Graf 48: OS – průměrná výše výživného dle povinné osoby v letech 2014–2023</w:t>
        </w:r>
        <w:r w:rsidR="00056825">
          <w:rPr>
            <w:noProof/>
            <w:webHidden/>
          </w:rPr>
          <w:tab/>
        </w:r>
        <w:r w:rsidR="00056825">
          <w:rPr>
            <w:noProof/>
            <w:webHidden/>
          </w:rPr>
          <w:fldChar w:fldCharType="begin"/>
        </w:r>
        <w:r w:rsidR="00056825">
          <w:rPr>
            <w:noProof/>
            <w:webHidden/>
          </w:rPr>
          <w:instrText xml:space="preserve"> PAGEREF _Toc174080653 \h </w:instrText>
        </w:r>
        <w:r w:rsidR="00056825">
          <w:rPr>
            <w:noProof/>
            <w:webHidden/>
          </w:rPr>
        </w:r>
        <w:r w:rsidR="00056825">
          <w:rPr>
            <w:noProof/>
            <w:webHidden/>
          </w:rPr>
          <w:fldChar w:fldCharType="separate"/>
        </w:r>
        <w:r>
          <w:rPr>
            <w:noProof/>
            <w:webHidden/>
          </w:rPr>
          <w:t>77</w:t>
        </w:r>
        <w:r w:rsidR="00056825">
          <w:rPr>
            <w:noProof/>
            <w:webHidden/>
          </w:rPr>
          <w:fldChar w:fldCharType="end"/>
        </w:r>
      </w:hyperlink>
    </w:p>
    <w:p w14:paraId="3E464417" w14:textId="1A26224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4" w:history="1">
        <w:r w:rsidR="00056825" w:rsidRPr="001D643E">
          <w:rPr>
            <w:rStyle w:val="Hypertextovodkaz"/>
            <w:noProof/>
          </w:rPr>
          <w:t>Graf 49: OS – podíl na příjmu povinné osoby v letech 2014–2023</w:t>
        </w:r>
        <w:r w:rsidR="00056825">
          <w:rPr>
            <w:noProof/>
            <w:webHidden/>
          </w:rPr>
          <w:tab/>
        </w:r>
        <w:r w:rsidR="00056825">
          <w:rPr>
            <w:noProof/>
            <w:webHidden/>
          </w:rPr>
          <w:fldChar w:fldCharType="begin"/>
        </w:r>
        <w:r w:rsidR="00056825">
          <w:rPr>
            <w:noProof/>
            <w:webHidden/>
          </w:rPr>
          <w:instrText xml:space="preserve"> PAGEREF _Toc174080654 \h </w:instrText>
        </w:r>
        <w:r w:rsidR="00056825">
          <w:rPr>
            <w:noProof/>
            <w:webHidden/>
          </w:rPr>
        </w:r>
        <w:r w:rsidR="00056825">
          <w:rPr>
            <w:noProof/>
            <w:webHidden/>
          </w:rPr>
          <w:fldChar w:fldCharType="separate"/>
        </w:r>
        <w:r>
          <w:rPr>
            <w:noProof/>
            <w:webHidden/>
          </w:rPr>
          <w:t>78</w:t>
        </w:r>
        <w:r w:rsidR="00056825">
          <w:rPr>
            <w:noProof/>
            <w:webHidden/>
          </w:rPr>
          <w:fldChar w:fldCharType="end"/>
        </w:r>
      </w:hyperlink>
    </w:p>
    <w:p w14:paraId="28AF03B8" w14:textId="5AEB420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5" w:history="1">
        <w:r w:rsidR="00056825" w:rsidRPr="001D643E">
          <w:rPr>
            <w:rStyle w:val="Hypertextovodkaz"/>
            <w:noProof/>
          </w:rPr>
          <w:t>Graf 50: OS – svěřování dítěte do péče</w:t>
        </w:r>
        <w:r w:rsidR="00056825">
          <w:rPr>
            <w:noProof/>
            <w:webHidden/>
          </w:rPr>
          <w:tab/>
        </w:r>
        <w:r w:rsidR="00056825">
          <w:rPr>
            <w:noProof/>
            <w:webHidden/>
          </w:rPr>
          <w:fldChar w:fldCharType="begin"/>
        </w:r>
        <w:r w:rsidR="00056825">
          <w:rPr>
            <w:noProof/>
            <w:webHidden/>
          </w:rPr>
          <w:instrText xml:space="preserve"> PAGEREF _Toc174080655 \h </w:instrText>
        </w:r>
        <w:r w:rsidR="00056825">
          <w:rPr>
            <w:noProof/>
            <w:webHidden/>
          </w:rPr>
        </w:r>
        <w:r w:rsidR="00056825">
          <w:rPr>
            <w:noProof/>
            <w:webHidden/>
          </w:rPr>
          <w:fldChar w:fldCharType="separate"/>
        </w:r>
        <w:r>
          <w:rPr>
            <w:noProof/>
            <w:webHidden/>
          </w:rPr>
          <w:t>79</w:t>
        </w:r>
        <w:r w:rsidR="00056825">
          <w:rPr>
            <w:noProof/>
            <w:webHidden/>
          </w:rPr>
          <w:fldChar w:fldCharType="end"/>
        </w:r>
      </w:hyperlink>
    </w:p>
    <w:p w14:paraId="5D2E69C2" w14:textId="1F1A658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6" w:history="1">
        <w:r w:rsidR="00056825" w:rsidRPr="001D643E">
          <w:rPr>
            <w:rStyle w:val="Hypertextovodkaz"/>
            <w:noProof/>
          </w:rPr>
          <w:t>Graf 51: OS – podíl věcí vyřízených dohodou rodičů</w:t>
        </w:r>
        <w:r w:rsidR="00056825">
          <w:rPr>
            <w:noProof/>
            <w:webHidden/>
          </w:rPr>
          <w:tab/>
        </w:r>
        <w:r w:rsidR="00056825">
          <w:rPr>
            <w:noProof/>
            <w:webHidden/>
          </w:rPr>
          <w:fldChar w:fldCharType="begin"/>
        </w:r>
        <w:r w:rsidR="00056825">
          <w:rPr>
            <w:noProof/>
            <w:webHidden/>
          </w:rPr>
          <w:instrText xml:space="preserve"> PAGEREF _Toc174080656 \h </w:instrText>
        </w:r>
        <w:r w:rsidR="00056825">
          <w:rPr>
            <w:noProof/>
            <w:webHidden/>
          </w:rPr>
        </w:r>
        <w:r w:rsidR="00056825">
          <w:rPr>
            <w:noProof/>
            <w:webHidden/>
          </w:rPr>
          <w:fldChar w:fldCharType="separate"/>
        </w:r>
        <w:r>
          <w:rPr>
            <w:noProof/>
            <w:webHidden/>
          </w:rPr>
          <w:t>80</w:t>
        </w:r>
        <w:r w:rsidR="00056825">
          <w:rPr>
            <w:noProof/>
            <w:webHidden/>
          </w:rPr>
          <w:fldChar w:fldCharType="end"/>
        </w:r>
      </w:hyperlink>
    </w:p>
    <w:p w14:paraId="589C0EFE" w14:textId="56F15E9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7" w:history="1">
        <w:r w:rsidR="00056825" w:rsidRPr="001D643E">
          <w:rPr>
            <w:rStyle w:val="Hypertextovodkaz"/>
            <w:noProof/>
          </w:rPr>
          <w:t>Graf 52: KS – počet soudců v roce 2023</w:t>
        </w:r>
        <w:r w:rsidR="00056825">
          <w:rPr>
            <w:noProof/>
            <w:webHidden/>
          </w:rPr>
          <w:tab/>
        </w:r>
        <w:r w:rsidR="00056825">
          <w:rPr>
            <w:noProof/>
            <w:webHidden/>
          </w:rPr>
          <w:fldChar w:fldCharType="begin"/>
        </w:r>
        <w:r w:rsidR="00056825">
          <w:rPr>
            <w:noProof/>
            <w:webHidden/>
          </w:rPr>
          <w:instrText xml:space="preserve"> PAGEREF _Toc174080657 \h </w:instrText>
        </w:r>
        <w:r w:rsidR="00056825">
          <w:rPr>
            <w:noProof/>
            <w:webHidden/>
          </w:rPr>
        </w:r>
        <w:r w:rsidR="00056825">
          <w:rPr>
            <w:noProof/>
            <w:webHidden/>
          </w:rPr>
          <w:fldChar w:fldCharType="separate"/>
        </w:r>
        <w:r>
          <w:rPr>
            <w:noProof/>
            <w:webHidden/>
          </w:rPr>
          <w:t>81</w:t>
        </w:r>
        <w:r w:rsidR="00056825">
          <w:rPr>
            <w:noProof/>
            <w:webHidden/>
          </w:rPr>
          <w:fldChar w:fldCharType="end"/>
        </w:r>
      </w:hyperlink>
    </w:p>
    <w:p w14:paraId="75F8061B" w14:textId="4B7D26A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8" w:history="1">
        <w:r w:rsidR="00056825" w:rsidRPr="001D643E">
          <w:rPr>
            <w:rStyle w:val="Hypertextovodkaz"/>
            <w:noProof/>
          </w:rPr>
          <w:t>Graf 53: KS – skutečný počet soudců dle úseků v roce 2023</w:t>
        </w:r>
        <w:r w:rsidR="00056825">
          <w:rPr>
            <w:noProof/>
            <w:webHidden/>
          </w:rPr>
          <w:tab/>
        </w:r>
        <w:r w:rsidR="00056825">
          <w:rPr>
            <w:noProof/>
            <w:webHidden/>
          </w:rPr>
          <w:fldChar w:fldCharType="begin"/>
        </w:r>
        <w:r w:rsidR="00056825">
          <w:rPr>
            <w:noProof/>
            <w:webHidden/>
          </w:rPr>
          <w:instrText xml:space="preserve"> PAGEREF _Toc174080658 \h </w:instrText>
        </w:r>
        <w:r w:rsidR="00056825">
          <w:rPr>
            <w:noProof/>
            <w:webHidden/>
          </w:rPr>
        </w:r>
        <w:r w:rsidR="00056825">
          <w:rPr>
            <w:noProof/>
            <w:webHidden/>
          </w:rPr>
          <w:fldChar w:fldCharType="separate"/>
        </w:r>
        <w:r>
          <w:rPr>
            <w:noProof/>
            <w:webHidden/>
          </w:rPr>
          <w:t>82</w:t>
        </w:r>
        <w:r w:rsidR="00056825">
          <w:rPr>
            <w:noProof/>
            <w:webHidden/>
          </w:rPr>
          <w:fldChar w:fldCharType="end"/>
        </w:r>
      </w:hyperlink>
    </w:p>
    <w:p w14:paraId="470F1FDC" w14:textId="447EA1D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59" w:history="1">
        <w:r w:rsidR="00056825" w:rsidRPr="001D643E">
          <w:rPr>
            <w:rStyle w:val="Hypertextovodkaz"/>
            <w:noProof/>
          </w:rPr>
          <w:t>Graf 54: KS – skutečný počet soudců dle pohlaví v roce 2023</w:t>
        </w:r>
        <w:r w:rsidR="00056825">
          <w:rPr>
            <w:noProof/>
            <w:webHidden/>
          </w:rPr>
          <w:tab/>
        </w:r>
        <w:r w:rsidR="00056825">
          <w:rPr>
            <w:noProof/>
            <w:webHidden/>
          </w:rPr>
          <w:fldChar w:fldCharType="begin"/>
        </w:r>
        <w:r w:rsidR="00056825">
          <w:rPr>
            <w:noProof/>
            <w:webHidden/>
          </w:rPr>
          <w:instrText xml:space="preserve"> PAGEREF _Toc174080659 \h </w:instrText>
        </w:r>
        <w:r w:rsidR="00056825">
          <w:rPr>
            <w:noProof/>
            <w:webHidden/>
          </w:rPr>
        </w:r>
        <w:r w:rsidR="00056825">
          <w:rPr>
            <w:noProof/>
            <w:webHidden/>
          </w:rPr>
          <w:fldChar w:fldCharType="separate"/>
        </w:r>
        <w:r>
          <w:rPr>
            <w:noProof/>
            <w:webHidden/>
          </w:rPr>
          <w:t>84</w:t>
        </w:r>
        <w:r w:rsidR="00056825">
          <w:rPr>
            <w:noProof/>
            <w:webHidden/>
          </w:rPr>
          <w:fldChar w:fldCharType="end"/>
        </w:r>
      </w:hyperlink>
    </w:p>
    <w:p w14:paraId="2A46240C" w14:textId="659C74A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0" w:history="1">
        <w:r w:rsidR="00056825" w:rsidRPr="001D643E">
          <w:rPr>
            <w:rStyle w:val="Hypertextovodkaz"/>
            <w:noProof/>
          </w:rPr>
          <w:t>Graf 55: KS – věkové složení soudců v letech 2008–2023</w:t>
        </w:r>
        <w:r w:rsidR="00056825">
          <w:rPr>
            <w:noProof/>
            <w:webHidden/>
          </w:rPr>
          <w:tab/>
        </w:r>
        <w:r w:rsidR="00056825">
          <w:rPr>
            <w:noProof/>
            <w:webHidden/>
          </w:rPr>
          <w:fldChar w:fldCharType="begin"/>
        </w:r>
        <w:r w:rsidR="00056825">
          <w:rPr>
            <w:noProof/>
            <w:webHidden/>
          </w:rPr>
          <w:instrText xml:space="preserve"> PAGEREF _Toc174080660 \h </w:instrText>
        </w:r>
        <w:r w:rsidR="00056825">
          <w:rPr>
            <w:noProof/>
            <w:webHidden/>
          </w:rPr>
        </w:r>
        <w:r w:rsidR="00056825">
          <w:rPr>
            <w:noProof/>
            <w:webHidden/>
          </w:rPr>
          <w:fldChar w:fldCharType="separate"/>
        </w:r>
        <w:r>
          <w:rPr>
            <w:noProof/>
            <w:webHidden/>
          </w:rPr>
          <w:t>85</w:t>
        </w:r>
        <w:r w:rsidR="00056825">
          <w:rPr>
            <w:noProof/>
            <w:webHidden/>
          </w:rPr>
          <w:fldChar w:fldCharType="end"/>
        </w:r>
      </w:hyperlink>
    </w:p>
    <w:p w14:paraId="5FE1B421" w14:textId="1F1D5CA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1" w:history="1">
        <w:r w:rsidR="00056825" w:rsidRPr="001D643E">
          <w:rPr>
            <w:rStyle w:val="Hypertextovodkaz"/>
            <w:noProof/>
          </w:rPr>
          <w:t>Graf 56: KS – věková struktura soudců dle soudů v %, 2023</w:t>
        </w:r>
        <w:r w:rsidR="00056825">
          <w:rPr>
            <w:noProof/>
            <w:webHidden/>
          </w:rPr>
          <w:tab/>
        </w:r>
        <w:r w:rsidR="00056825">
          <w:rPr>
            <w:noProof/>
            <w:webHidden/>
          </w:rPr>
          <w:fldChar w:fldCharType="begin"/>
        </w:r>
        <w:r w:rsidR="00056825">
          <w:rPr>
            <w:noProof/>
            <w:webHidden/>
          </w:rPr>
          <w:instrText xml:space="preserve"> PAGEREF _Toc174080661 \h </w:instrText>
        </w:r>
        <w:r w:rsidR="00056825">
          <w:rPr>
            <w:noProof/>
            <w:webHidden/>
          </w:rPr>
        </w:r>
        <w:r w:rsidR="00056825">
          <w:rPr>
            <w:noProof/>
            <w:webHidden/>
          </w:rPr>
          <w:fldChar w:fldCharType="separate"/>
        </w:r>
        <w:r>
          <w:rPr>
            <w:noProof/>
            <w:webHidden/>
          </w:rPr>
          <w:t>85</w:t>
        </w:r>
        <w:r w:rsidR="00056825">
          <w:rPr>
            <w:noProof/>
            <w:webHidden/>
          </w:rPr>
          <w:fldChar w:fldCharType="end"/>
        </w:r>
      </w:hyperlink>
    </w:p>
    <w:p w14:paraId="70C832AC" w14:textId="5054D66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2" w:history="1">
        <w:r w:rsidR="00056825" w:rsidRPr="001D643E">
          <w:rPr>
            <w:rStyle w:val="Hypertextovodkaz"/>
            <w:noProof/>
          </w:rPr>
          <w:t>Graf 57: KS – délka prvostupňového civilního řízení v letech 2014–2023</w:t>
        </w:r>
        <w:r w:rsidR="00056825">
          <w:rPr>
            <w:noProof/>
            <w:webHidden/>
          </w:rPr>
          <w:tab/>
        </w:r>
        <w:r w:rsidR="00056825">
          <w:rPr>
            <w:noProof/>
            <w:webHidden/>
          </w:rPr>
          <w:fldChar w:fldCharType="begin"/>
        </w:r>
        <w:r w:rsidR="00056825">
          <w:rPr>
            <w:noProof/>
            <w:webHidden/>
          </w:rPr>
          <w:instrText xml:space="preserve"> PAGEREF _Toc174080662 \h </w:instrText>
        </w:r>
        <w:r w:rsidR="00056825">
          <w:rPr>
            <w:noProof/>
            <w:webHidden/>
          </w:rPr>
        </w:r>
        <w:r w:rsidR="00056825">
          <w:rPr>
            <w:noProof/>
            <w:webHidden/>
          </w:rPr>
          <w:fldChar w:fldCharType="separate"/>
        </w:r>
        <w:r>
          <w:rPr>
            <w:noProof/>
            <w:webHidden/>
          </w:rPr>
          <w:t>90</w:t>
        </w:r>
        <w:r w:rsidR="00056825">
          <w:rPr>
            <w:noProof/>
            <w:webHidden/>
          </w:rPr>
          <w:fldChar w:fldCharType="end"/>
        </w:r>
      </w:hyperlink>
    </w:p>
    <w:p w14:paraId="4B4CE4C6" w14:textId="509D861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3" w:history="1">
        <w:r w:rsidR="00056825" w:rsidRPr="001D643E">
          <w:rPr>
            <w:rStyle w:val="Hypertextovodkaz"/>
            <w:noProof/>
          </w:rPr>
          <w:t>Graf 58: KS – distribuce délek civilního řízení, 2023</w:t>
        </w:r>
        <w:r w:rsidR="00056825">
          <w:rPr>
            <w:noProof/>
            <w:webHidden/>
          </w:rPr>
          <w:tab/>
        </w:r>
        <w:r w:rsidR="00056825">
          <w:rPr>
            <w:noProof/>
            <w:webHidden/>
          </w:rPr>
          <w:fldChar w:fldCharType="begin"/>
        </w:r>
        <w:r w:rsidR="00056825">
          <w:rPr>
            <w:noProof/>
            <w:webHidden/>
          </w:rPr>
          <w:instrText xml:space="preserve"> PAGEREF _Toc174080663 \h </w:instrText>
        </w:r>
        <w:r w:rsidR="00056825">
          <w:rPr>
            <w:noProof/>
            <w:webHidden/>
          </w:rPr>
        </w:r>
        <w:r w:rsidR="00056825">
          <w:rPr>
            <w:noProof/>
            <w:webHidden/>
          </w:rPr>
          <w:fldChar w:fldCharType="separate"/>
        </w:r>
        <w:r>
          <w:rPr>
            <w:noProof/>
            <w:webHidden/>
          </w:rPr>
          <w:t>91</w:t>
        </w:r>
        <w:r w:rsidR="00056825">
          <w:rPr>
            <w:noProof/>
            <w:webHidden/>
          </w:rPr>
          <w:fldChar w:fldCharType="end"/>
        </w:r>
      </w:hyperlink>
    </w:p>
    <w:p w14:paraId="5FF1562C" w14:textId="7725BED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4" w:history="1">
        <w:r w:rsidR="00056825" w:rsidRPr="001D643E">
          <w:rPr>
            <w:rStyle w:val="Hypertextovodkaz"/>
            <w:noProof/>
          </w:rPr>
          <w:t>Graf 59: KS – vyřizování prvostupňových civilních věcí v letech 2014–2023</w:t>
        </w:r>
        <w:r w:rsidR="00056825">
          <w:rPr>
            <w:noProof/>
            <w:webHidden/>
          </w:rPr>
          <w:tab/>
        </w:r>
        <w:r w:rsidR="00056825">
          <w:rPr>
            <w:noProof/>
            <w:webHidden/>
          </w:rPr>
          <w:fldChar w:fldCharType="begin"/>
        </w:r>
        <w:r w:rsidR="00056825">
          <w:rPr>
            <w:noProof/>
            <w:webHidden/>
          </w:rPr>
          <w:instrText xml:space="preserve"> PAGEREF _Toc174080664 \h </w:instrText>
        </w:r>
        <w:r w:rsidR="00056825">
          <w:rPr>
            <w:noProof/>
            <w:webHidden/>
          </w:rPr>
        </w:r>
        <w:r w:rsidR="00056825">
          <w:rPr>
            <w:noProof/>
            <w:webHidden/>
          </w:rPr>
          <w:fldChar w:fldCharType="separate"/>
        </w:r>
        <w:r>
          <w:rPr>
            <w:noProof/>
            <w:webHidden/>
          </w:rPr>
          <w:t>92</w:t>
        </w:r>
        <w:r w:rsidR="00056825">
          <w:rPr>
            <w:noProof/>
            <w:webHidden/>
          </w:rPr>
          <w:fldChar w:fldCharType="end"/>
        </w:r>
      </w:hyperlink>
    </w:p>
    <w:p w14:paraId="4883B272" w14:textId="66D080F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5" w:history="1">
        <w:r w:rsidR="00056825" w:rsidRPr="001D643E">
          <w:rPr>
            <w:rStyle w:val="Hypertextovodkaz"/>
            <w:noProof/>
          </w:rPr>
          <w:t>Graf 60: KS – vyřizování věcí v letech 2014–2023, pouze rejstřík Cm</w:t>
        </w:r>
        <w:r w:rsidR="00056825">
          <w:rPr>
            <w:noProof/>
            <w:webHidden/>
          </w:rPr>
          <w:tab/>
        </w:r>
        <w:r w:rsidR="00056825">
          <w:rPr>
            <w:noProof/>
            <w:webHidden/>
          </w:rPr>
          <w:fldChar w:fldCharType="begin"/>
        </w:r>
        <w:r w:rsidR="00056825">
          <w:rPr>
            <w:noProof/>
            <w:webHidden/>
          </w:rPr>
          <w:instrText xml:space="preserve"> PAGEREF _Toc174080665 \h </w:instrText>
        </w:r>
        <w:r w:rsidR="00056825">
          <w:rPr>
            <w:noProof/>
            <w:webHidden/>
          </w:rPr>
        </w:r>
        <w:r w:rsidR="00056825">
          <w:rPr>
            <w:noProof/>
            <w:webHidden/>
          </w:rPr>
          <w:fldChar w:fldCharType="separate"/>
        </w:r>
        <w:r>
          <w:rPr>
            <w:noProof/>
            <w:webHidden/>
          </w:rPr>
          <w:t>93</w:t>
        </w:r>
        <w:r w:rsidR="00056825">
          <w:rPr>
            <w:noProof/>
            <w:webHidden/>
          </w:rPr>
          <w:fldChar w:fldCharType="end"/>
        </w:r>
      </w:hyperlink>
    </w:p>
    <w:p w14:paraId="7F619ECB" w14:textId="009B154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6" w:history="1">
        <w:r w:rsidR="00056825" w:rsidRPr="001D643E">
          <w:rPr>
            <w:rStyle w:val="Hypertextovodkaz"/>
            <w:noProof/>
          </w:rPr>
          <w:t>Graf 61: KS – DT prvostupňového civilního řízení v letech 2014–2023</w:t>
        </w:r>
        <w:r w:rsidR="00056825">
          <w:rPr>
            <w:noProof/>
            <w:webHidden/>
          </w:rPr>
          <w:tab/>
        </w:r>
        <w:r w:rsidR="00056825">
          <w:rPr>
            <w:noProof/>
            <w:webHidden/>
          </w:rPr>
          <w:fldChar w:fldCharType="begin"/>
        </w:r>
        <w:r w:rsidR="00056825">
          <w:rPr>
            <w:noProof/>
            <w:webHidden/>
          </w:rPr>
          <w:instrText xml:space="preserve"> PAGEREF _Toc174080666 \h </w:instrText>
        </w:r>
        <w:r w:rsidR="00056825">
          <w:rPr>
            <w:noProof/>
            <w:webHidden/>
          </w:rPr>
        </w:r>
        <w:r w:rsidR="00056825">
          <w:rPr>
            <w:noProof/>
            <w:webHidden/>
          </w:rPr>
          <w:fldChar w:fldCharType="separate"/>
        </w:r>
        <w:r>
          <w:rPr>
            <w:noProof/>
            <w:webHidden/>
          </w:rPr>
          <w:t>95</w:t>
        </w:r>
        <w:r w:rsidR="00056825">
          <w:rPr>
            <w:noProof/>
            <w:webHidden/>
          </w:rPr>
          <w:fldChar w:fldCharType="end"/>
        </w:r>
      </w:hyperlink>
    </w:p>
    <w:p w14:paraId="5F15DAB7" w14:textId="1A7DF5C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7" w:history="1">
        <w:r w:rsidR="00056825" w:rsidRPr="001D643E">
          <w:rPr>
            <w:rStyle w:val="Hypertextovodkaz"/>
            <w:noProof/>
          </w:rPr>
          <w:t>Graf 62: KS – podíl vybraných předmětů sporu v letech 2014–2023</w:t>
        </w:r>
        <w:r w:rsidR="00056825">
          <w:rPr>
            <w:noProof/>
            <w:webHidden/>
          </w:rPr>
          <w:tab/>
        </w:r>
        <w:r w:rsidR="00056825">
          <w:rPr>
            <w:noProof/>
            <w:webHidden/>
          </w:rPr>
          <w:fldChar w:fldCharType="begin"/>
        </w:r>
        <w:r w:rsidR="00056825">
          <w:rPr>
            <w:noProof/>
            <w:webHidden/>
          </w:rPr>
          <w:instrText xml:space="preserve"> PAGEREF _Toc174080667 \h </w:instrText>
        </w:r>
        <w:r w:rsidR="00056825">
          <w:rPr>
            <w:noProof/>
            <w:webHidden/>
          </w:rPr>
        </w:r>
        <w:r w:rsidR="00056825">
          <w:rPr>
            <w:noProof/>
            <w:webHidden/>
          </w:rPr>
          <w:fldChar w:fldCharType="separate"/>
        </w:r>
        <w:r>
          <w:rPr>
            <w:noProof/>
            <w:webHidden/>
          </w:rPr>
          <w:t>98</w:t>
        </w:r>
        <w:r w:rsidR="00056825">
          <w:rPr>
            <w:noProof/>
            <w:webHidden/>
          </w:rPr>
          <w:fldChar w:fldCharType="end"/>
        </w:r>
      </w:hyperlink>
    </w:p>
    <w:p w14:paraId="647479D1" w14:textId="59BCED3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8" w:history="1">
        <w:r w:rsidR="00056825" w:rsidRPr="001D643E">
          <w:rPr>
            <w:rStyle w:val="Hypertextovodkaz"/>
            <w:noProof/>
          </w:rPr>
          <w:t>Graf 63: KS – délka odvolacího civilního řízení v letech 2014–2023</w:t>
        </w:r>
        <w:r w:rsidR="00056825">
          <w:rPr>
            <w:noProof/>
            <w:webHidden/>
          </w:rPr>
          <w:tab/>
        </w:r>
        <w:r w:rsidR="00056825">
          <w:rPr>
            <w:noProof/>
            <w:webHidden/>
          </w:rPr>
          <w:fldChar w:fldCharType="begin"/>
        </w:r>
        <w:r w:rsidR="00056825">
          <w:rPr>
            <w:noProof/>
            <w:webHidden/>
          </w:rPr>
          <w:instrText xml:space="preserve"> PAGEREF _Toc174080668 \h </w:instrText>
        </w:r>
        <w:r w:rsidR="00056825">
          <w:rPr>
            <w:noProof/>
            <w:webHidden/>
          </w:rPr>
        </w:r>
        <w:r w:rsidR="00056825">
          <w:rPr>
            <w:noProof/>
            <w:webHidden/>
          </w:rPr>
          <w:fldChar w:fldCharType="separate"/>
        </w:r>
        <w:r>
          <w:rPr>
            <w:noProof/>
            <w:webHidden/>
          </w:rPr>
          <w:t>101</w:t>
        </w:r>
        <w:r w:rsidR="00056825">
          <w:rPr>
            <w:noProof/>
            <w:webHidden/>
          </w:rPr>
          <w:fldChar w:fldCharType="end"/>
        </w:r>
      </w:hyperlink>
    </w:p>
    <w:p w14:paraId="637230DF" w14:textId="0447752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69" w:history="1">
        <w:r w:rsidR="00056825" w:rsidRPr="001D643E">
          <w:rPr>
            <w:rStyle w:val="Hypertextovodkaz"/>
            <w:noProof/>
          </w:rPr>
          <w:t>Graf 64: KS – distribuce délek odvolacího civilního řízení</w:t>
        </w:r>
        <w:r w:rsidR="00056825">
          <w:rPr>
            <w:noProof/>
            <w:webHidden/>
          </w:rPr>
          <w:tab/>
        </w:r>
        <w:r w:rsidR="00056825">
          <w:rPr>
            <w:noProof/>
            <w:webHidden/>
          </w:rPr>
          <w:fldChar w:fldCharType="begin"/>
        </w:r>
        <w:r w:rsidR="00056825">
          <w:rPr>
            <w:noProof/>
            <w:webHidden/>
          </w:rPr>
          <w:instrText xml:space="preserve"> PAGEREF _Toc174080669 \h </w:instrText>
        </w:r>
        <w:r w:rsidR="00056825">
          <w:rPr>
            <w:noProof/>
            <w:webHidden/>
          </w:rPr>
        </w:r>
        <w:r w:rsidR="00056825">
          <w:rPr>
            <w:noProof/>
            <w:webHidden/>
          </w:rPr>
          <w:fldChar w:fldCharType="separate"/>
        </w:r>
        <w:r>
          <w:rPr>
            <w:noProof/>
            <w:webHidden/>
          </w:rPr>
          <w:t>102</w:t>
        </w:r>
        <w:r w:rsidR="00056825">
          <w:rPr>
            <w:noProof/>
            <w:webHidden/>
          </w:rPr>
          <w:fldChar w:fldCharType="end"/>
        </w:r>
      </w:hyperlink>
    </w:p>
    <w:p w14:paraId="2EC9D512" w14:textId="49F222D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0" w:history="1">
        <w:r w:rsidR="00056825" w:rsidRPr="001D643E">
          <w:rPr>
            <w:rStyle w:val="Hypertextovodkaz"/>
            <w:noProof/>
          </w:rPr>
          <w:t>Graf 65: KS – vyřizování odvolacích civilních věcí v letech 2014–2023</w:t>
        </w:r>
        <w:r w:rsidR="00056825">
          <w:rPr>
            <w:noProof/>
            <w:webHidden/>
          </w:rPr>
          <w:tab/>
        </w:r>
        <w:r w:rsidR="00056825">
          <w:rPr>
            <w:noProof/>
            <w:webHidden/>
          </w:rPr>
          <w:fldChar w:fldCharType="begin"/>
        </w:r>
        <w:r w:rsidR="00056825">
          <w:rPr>
            <w:noProof/>
            <w:webHidden/>
          </w:rPr>
          <w:instrText xml:space="preserve"> PAGEREF _Toc174080670 \h </w:instrText>
        </w:r>
        <w:r w:rsidR="00056825">
          <w:rPr>
            <w:noProof/>
            <w:webHidden/>
          </w:rPr>
        </w:r>
        <w:r w:rsidR="00056825">
          <w:rPr>
            <w:noProof/>
            <w:webHidden/>
          </w:rPr>
          <w:fldChar w:fldCharType="separate"/>
        </w:r>
        <w:r>
          <w:rPr>
            <w:noProof/>
            <w:webHidden/>
          </w:rPr>
          <w:t>103</w:t>
        </w:r>
        <w:r w:rsidR="00056825">
          <w:rPr>
            <w:noProof/>
            <w:webHidden/>
          </w:rPr>
          <w:fldChar w:fldCharType="end"/>
        </w:r>
      </w:hyperlink>
    </w:p>
    <w:p w14:paraId="0FFFE943" w14:textId="6210FA7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1" w:history="1">
        <w:r w:rsidR="00056825" w:rsidRPr="001D643E">
          <w:rPr>
            <w:rStyle w:val="Hypertextovodkaz"/>
            <w:noProof/>
          </w:rPr>
          <w:t>Graf 66: KS – DT odvolacího civilního řízení v letech 2014–2023</w:t>
        </w:r>
        <w:r w:rsidR="00056825">
          <w:rPr>
            <w:noProof/>
            <w:webHidden/>
          </w:rPr>
          <w:tab/>
        </w:r>
        <w:r w:rsidR="00056825">
          <w:rPr>
            <w:noProof/>
            <w:webHidden/>
          </w:rPr>
          <w:fldChar w:fldCharType="begin"/>
        </w:r>
        <w:r w:rsidR="00056825">
          <w:rPr>
            <w:noProof/>
            <w:webHidden/>
          </w:rPr>
          <w:instrText xml:space="preserve"> PAGEREF _Toc174080671 \h </w:instrText>
        </w:r>
        <w:r w:rsidR="00056825">
          <w:rPr>
            <w:noProof/>
            <w:webHidden/>
          </w:rPr>
        </w:r>
        <w:r w:rsidR="00056825">
          <w:rPr>
            <w:noProof/>
            <w:webHidden/>
          </w:rPr>
          <w:fldChar w:fldCharType="separate"/>
        </w:r>
        <w:r>
          <w:rPr>
            <w:noProof/>
            <w:webHidden/>
          </w:rPr>
          <w:t>105</w:t>
        </w:r>
        <w:r w:rsidR="00056825">
          <w:rPr>
            <w:noProof/>
            <w:webHidden/>
          </w:rPr>
          <w:fldChar w:fldCharType="end"/>
        </w:r>
      </w:hyperlink>
    </w:p>
    <w:p w14:paraId="67A45B05" w14:textId="67B4EE4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2" w:history="1">
        <w:r w:rsidR="00056825" w:rsidRPr="001D643E">
          <w:rPr>
            <w:rStyle w:val="Hypertextovodkaz"/>
            <w:noProof/>
          </w:rPr>
          <w:t>Graf 67: KS – délka prvostupňového trestního řízení v letech 2014–2023</w:t>
        </w:r>
        <w:r w:rsidR="00056825">
          <w:rPr>
            <w:noProof/>
            <w:webHidden/>
          </w:rPr>
          <w:tab/>
        </w:r>
        <w:r w:rsidR="00056825">
          <w:rPr>
            <w:noProof/>
            <w:webHidden/>
          </w:rPr>
          <w:fldChar w:fldCharType="begin"/>
        </w:r>
        <w:r w:rsidR="00056825">
          <w:rPr>
            <w:noProof/>
            <w:webHidden/>
          </w:rPr>
          <w:instrText xml:space="preserve"> PAGEREF _Toc174080672 \h </w:instrText>
        </w:r>
        <w:r w:rsidR="00056825">
          <w:rPr>
            <w:noProof/>
            <w:webHidden/>
          </w:rPr>
        </w:r>
        <w:r w:rsidR="00056825">
          <w:rPr>
            <w:noProof/>
            <w:webHidden/>
          </w:rPr>
          <w:fldChar w:fldCharType="separate"/>
        </w:r>
        <w:r>
          <w:rPr>
            <w:noProof/>
            <w:webHidden/>
          </w:rPr>
          <w:t>107</w:t>
        </w:r>
        <w:r w:rsidR="00056825">
          <w:rPr>
            <w:noProof/>
            <w:webHidden/>
          </w:rPr>
          <w:fldChar w:fldCharType="end"/>
        </w:r>
      </w:hyperlink>
    </w:p>
    <w:p w14:paraId="2744CB0D" w14:textId="0CD9962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3" w:history="1">
        <w:r w:rsidR="00056825" w:rsidRPr="001D643E">
          <w:rPr>
            <w:rStyle w:val="Hypertextovodkaz"/>
            <w:noProof/>
          </w:rPr>
          <w:t>Graf 68: KS – distribuce délek prvostupňového trestního řízení, 2023</w:t>
        </w:r>
        <w:r w:rsidR="00056825">
          <w:rPr>
            <w:noProof/>
            <w:webHidden/>
          </w:rPr>
          <w:tab/>
        </w:r>
        <w:r w:rsidR="00056825">
          <w:rPr>
            <w:noProof/>
            <w:webHidden/>
          </w:rPr>
          <w:fldChar w:fldCharType="begin"/>
        </w:r>
        <w:r w:rsidR="00056825">
          <w:rPr>
            <w:noProof/>
            <w:webHidden/>
          </w:rPr>
          <w:instrText xml:space="preserve"> PAGEREF _Toc174080673 \h </w:instrText>
        </w:r>
        <w:r w:rsidR="00056825">
          <w:rPr>
            <w:noProof/>
            <w:webHidden/>
          </w:rPr>
        </w:r>
        <w:r w:rsidR="00056825">
          <w:rPr>
            <w:noProof/>
            <w:webHidden/>
          </w:rPr>
          <w:fldChar w:fldCharType="separate"/>
        </w:r>
        <w:r>
          <w:rPr>
            <w:noProof/>
            <w:webHidden/>
          </w:rPr>
          <w:t>108</w:t>
        </w:r>
        <w:r w:rsidR="00056825">
          <w:rPr>
            <w:noProof/>
            <w:webHidden/>
          </w:rPr>
          <w:fldChar w:fldCharType="end"/>
        </w:r>
      </w:hyperlink>
    </w:p>
    <w:p w14:paraId="152E6B58" w14:textId="142B29A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4" w:history="1">
        <w:r w:rsidR="00056825" w:rsidRPr="001D643E">
          <w:rPr>
            <w:rStyle w:val="Hypertextovodkaz"/>
            <w:noProof/>
          </w:rPr>
          <w:t>Graf 69: KS – vyřizování prvostupňových trestních věcí v letech 2014–2023</w:t>
        </w:r>
        <w:r w:rsidR="00056825">
          <w:rPr>
            <w:noProof/>
            <w:webHidden/>
          </w:rPr>
          <w:tab/>
        </w:r>
        <w:r w:rsidR="00056825">
          <w:rPr>
            <w:noProof/>
            <w:webHidden/>
          </w:rPr>
          <w:fldChar w:fldCharType="begin"/>
        </w:r>
        <w:r w:rsidR="00056825">
          <w:rPr>
            <w:noProof/>
            <w:webHidden/>
          </w:rPr>
          <w:instrText xml:space="preserve"> PAGEREF _Toc174080674 \h </w:instrText>
        </w:r>
        <w:r w:rsidR="00056825">
          <w:rPr>
            <w:noProof/>
            <w:webHidden/>
          </w:rPr>
        </w:r>
        <w:r w:rsidR="00056825">
          <w:rPr>
            <w:noProof/>
            <w:webHidden/>
          </w:rPr>
          <w:fldChar w:fldCharType="separate"/>
        </w:r>
        <w:r>
          <w:rPr>
            <w:noProof/>
            <w:webHidden/>
          </w:rPr>
          <w:t>109</w:t>
        </w:r>
        <w:r w:rsidR="00056825">
          <w:rPr>
            <w:noProof/>
            <w:webHidden/>
          </w:rPr>
          <w:fldChar w:fldCharType="end"/>
        </w:r>
      </w:hyperlink>
    </w:p>
    <w:p w14:paraId="30D8DC99" w14:textId="04F57AD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5" w:history="1">
        <w:r w:rsidR="00056825" w:rsidRPr="001D643E">
          <w:rPr>
            <w:rStyle w:val="Hypertextovodkaz"/>
            <w:noProof/>
          </w:rPr>
          <w:t>Graf 70: KS – DT prvostupňového trestního řízení v letech 2014–2023</w:t>
        </w:r>
        <w:r w:rsidR="00056825">
          <w:rPr>
            <w:noProof/>
            <w:webHidden/>
          </w:rPr>
          <w:tab/>
        </w:r>
        <w:r w:rsidR="00056825">
          <w:rPr>
            <w:noProof/>
            <w:webHidden/>
          </w:rPr>
          <w:fldChar w:fldCharType="begin"/>
        </w:r>
        <w:r w:rsidR="00056825">
          <w:rPr>
            <w:noProof/>
            <w:webHidden/>
          </w:rPr>
          <w:instrText xml:space="preserve"> PAGEREF _Toc174080675 \h </w:instrText>
        </w:r>
        <w:r w:rsidR="00056825">
          <w:rPr>
            <w:noProof/>
            <w:webHidden/>
          </w:rPr>
        </w:r>
        <w:r w:rsidR="00056825">
          <w:rPr>
            <w:noProof/>
            <w:webHidden/>
          </w:rPr>
          <w:fldChar w:fldCharType="separate"/>
        </w:r>
        <w:r>
          <w:rPr>
            <w:noProof/>
            <w:webHidden/>
          </w:rPr>
          <w:t>112</w:t>
        </w:r>
        <w:r w:rsidR="00056825">
          <w:rPr>
            <w:noProof/>
            <w:webHidden/>
          </w:rPr>
          <w:fldChar w:fldCharType="end"/>
        </w:r>
      </w:hyperlink>
    </w:p>
    <w:p w14:paraId="0A9393F4" w14:textId="77D40FB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6" w:history="1">
        <w:r w:rsidR="00056825" w:rsidRPr="001D643E">
          <w:rPr>
            <w:rStyle w:val="Hypertextovodkaz"/>
            <w:noProof/>
          </w:rPr>
          <w:t>Graf 71: KS – míra odsouzení v letech 2014 až 2023</w:t>
        </w:r>
        <w:r w:rsidR="00056825">
          <w:rPr>
            <w:noProof/>
            <w:webHidden/>
          </w:rPr>
          <w:tab/>
        </w:r>
        <w:r w:rsidR="00056825">
          <w:rPr>
            <w:noProof/>
            <w:webHidden/>
          </w:rPr>
          <w:fldChar w:fldCharType="begin"/>
        </w:r>
        <w:r w:rsidR="00056825">
          <w:rPr>
            <w:noProof/>
            <w:webHidden/>
          </w:rPr>
          <w:instrText xml:space="preserve"> PAGEREF _Toc174080676 \h </w:instrText>
        </w:r>
        <w:r w:rsidR="00056825">
          <w:rPr>
            <w:noProof/>
            <w:webHidden/>
          </w:rPr>
        </w:r>
        <w:r w:rsidR="00056825">
          <w:rPr>
            <w:noProof/>
            <w:webHidden/>
          </w:rPr>
          <w:fldChar w:fldCharType="separate"/>
        </w:r>
        <w:r>
          <w:rPr>
            <w:noProof/>
            <w:webHidden/>
          </w:rPr>
          <w:t>115</w:t>
        </w:r>
        <w:r w:rsidR="00056825">
          <w:rPr>
            <w:noProof/>
            <w:webHidden/>
          </w:rPr>
          <w:fldChar w:fldCharType="end"/>
        </w:r>
      </w:hyperlink>
    </w:p>
    <w:p w14:paraId="5A9FBE39" w14:textId="297A303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7" w:history="1">
        <w:r w:rsidR="00056825" w:rsidRPr="001D643E">
          <w:rPr>
            <w:rStyle w:val="Hypertextovodkaz"/>
            <w:noProof/>
          </w:rPr>
          <w:t>Graf 72: KS – délka odvolacího trestního řízení v letech 2014–2023</w:t>
        </w:r>
        <w:r w:rsidR="00056825">
          <w:rPr>
            <w:noProof/>
            <w:webHidden/>
          </w:rPr>
          <w:tab/>
        </w:r>
        <w:r w:rsidR="00056825">
          <w:rPr>
            <w:noProof/>
            <w:webHidden/>
          </w:rPr>
          <w:fldChar w:fldCharType="begin"/>
        </w:r>
        <w:r w:rsidR="00056825">
          <w:rPr>
            <w:noProof/>
            <w:webHidden/>
          </w:rPr>
          <w:instrText xml:space="preserve"> PAGEREF _Toc174080677 \h </w:instrText>
        </w:r>
        <w:r w:rsidR="00056825">
          <w:rPr>
            <w:noProof/>
            <w:webHidden/>
          </w:rPr>
        </w:r>
        <w:r w:rsidR="00056825">
          <w:rPr>
            <w:noProof/>
            <w:webHidden/>
          </w:rPr>
          <w:fldChar w:fldCharType="separate"/>
        </w:r>
        <w:r>
          <w:rPr>
            <w:noProof/>
            <w:webHidden/>
          </w:rPr>
          <w:t>117</w:t>
        </w:r>
        <w:r w:rsidR="00056825">
          <w:rPr>
            <w:noProof/>
            <w:webHidden/>
          </w:rPr>
          <w:fldChar w:fldCharType="end"/>
        </w:r>
      </w:hyperlink>
    </w:p>
    <w:p w14:paraId="3D516E98" w14:textId="7CCC9D9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8" w:history="1">
        <w:r w:rsidR="00056825" w:rsidRPr="001D643E">
          <w:rPr>
            <w:rStyle w:val="Hypertextovodkaz"/>
            <w:noProof/>
          </w:rPr>
          <w:t>Graf 73: KS – distribuce délek trestního odvolacího řízení</w:t>
        </w:r>
        <w:r w:rsidR="00056825">
          <w:rPr>
            <w:noProof/>
            <w:webHidden/>
          </w:rPr>
          <w:tab/>
        </w:r>
        <w:r w:rsidR="00056825">
          <w:rPr>
            <w:noProof/>
            <w:webHidden/>
          </w:rPr>
          <w:fldChar w:fldCharType="begin"/>
        </w:r>
        <w:r w:rsidR="00056825">
          <w:rPr>
            <w:noProof/>
            <w:webHidden/>
          </w:rPr>
          <w:instrText xml:space="preserve"> PAGEREF _Toc174080678 \h </w:instrText>
        </w:r>
        <w:r w:rsidR="00056825">
          <w:rPr>
            <w:noProof/>
            <w:webHidden/>
          </w:rPr>
        </w:r>
        <w:r w:rsidR="00056825">
          <w:rPr>
            <w:noProof/>
            <w:webHidden/>
          </w:rPr>
          <w:fldChar w:fldCharType="separate"/>
        </w:r>
        <w:r>
          <w:rPr>
            <w:noProof/>
            <w:webHidden/>
          </w:rPr>
          <w:t>118</w:t>
        </w:r>
        <w:r w:rsidR="00056825">
          <w:rPr>
            <w:noProof/>
            <w:webHidden/>
          </w:rPr>
          <w:fldChar w:fldCharType="end"/>
        </w:r>
      </w:hyperlink>
    </w:p>
    <w:p w14:paraId="780C878B" w14:textId="562882D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79" w:history="1">
        <w:r w:rsidR="00056825" w:rsidRPr="001D643E">
          <w:rPr>
            <w:rStyle w:val="Hypertextovodkaz"/>
            <w:noProof/>
          </w:rPr>
          <w:t>Graf 74: KS – vyřizování odvolacích trestních věcí v letech 2014–2023</w:t>
        </w:r>
        <w:r w:rsidR="00056825">
          <w:rPr>
            <w:noProof/>
            <w:webHidden/>
          </w:rPr>
          <w:tab/>
        </w:r>
        <w:r w:rsidR="00056825">
          <w:rPr>
            <w:noProof/>
            <w:webHidden/>
          </w:rPr>
          <w:fldChar w:fldCharType="begin"/>
        </w:r>
        <w:r w:rsidR="00056825">
          <w:rPr>
            <w:noProof/>
            <w:webHidden/>
          </w:rPr>
          <w:instrText xml:space="preserve"> PAGEREF _Toc174080679 \h </w:instrText>
        </w:r>
        <w:r w:rsidR="00056825">
          <w:rPr>
            <w:noProof/>
            <w:webHidden/>
          </w:rPr>
        </w:r>
        <w:r w:rsidR="00056825">
          <w:rPr>
            <w:noProof/>
            <w:webHidden/>
          </w:rPr>
          <w:fldChar w:fldCharType="separate"/>
        </w:r>
        <w:r>
          <w:rPr>
            <w:noProof/>
            <w:webHidden/>
          </w:rPr>
          <w:t>119</w:t>
        </w:r>
        <w:r w:rsidR="00056825">
          <w:rPr>
            <w:noProof/>
            <w:webHidden/>
          </w:rPr>
          <w:fldChar w:fldCharType="end"/>
        </w:r>
      </w:hyperlink>
    </w:p>
    <w:p w14:paraId="13B8E6E5" w14:textId="1103984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0" w:history="1">
        <w:r w:rsidR="00056825" w:rsidRPr="001D643E">
          <w:rPr>
            <w:rStyle w:val="Hypertextovodkaz"/>
            <w:noProof/>
          </w:rPr>
          <w:t>Graf 75: KS – DT odvolacího trestního řízení v letech 2014–2023</w:t>
        </w:r>
        <w:r w:rsidR="00056825">
          <w:rPr>
            <w:noProof/>
            <w:webHidden/>
          </w:rPr>
          <w:tab/>
        </w:r>
        <w:r w:rsidR="00056825">
          <w:rPr>
            <w:noProof/>
            <w:webHidden/>
          </w:rPr>
          <w:fldChar w:fldCharType="begin"/>
        </w:r>
        <w:r w:rsidR="00056825">
          <w:rPr>
            <w:noProof/>
            <w:webHidden/>
          </w:rPr>
          <w:instrText xml:space="preserve"> PAGEREF _Toc174080680 \h </w:instrText>
        </w:r>
        <w:r w:rsidR="00056825">
          <w:rPr>
            <w:noProof/>
            <w:webHidden/>
          </w:rPr>
        </w:r>
        <w:r w:rsidR="00056825">
          <w:rPr>
            <w:noProof/>
            <w:webHidden/>
          </w:rPr>
          <w:fldChar w:fldCharType="separate"/>
        </w:r>
        <w:r>
          <w:rPr>
            <w:noProof/>
            <w:webHidden/>
          </w:rPr>
          <w:t>121</w:t>
        </w:r>
        <w:r w:rsidR="00056825">
          <w:rPr>
            <w:noProof/>
            <w:webHidden/>
          </w:rPr>
          <w:fldChar w:fldCharType="end"/>
        </w:r>
      </w:hyperlink>
    </w:p>
    <w:p w14:paraId="377E9B5C" w14:textId="5D04162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1" w:history="1">
        <w:r w:rsidR="00056825" w:rsidRPr="001D643E">
          <w:rPr>
            <w:rStyle w:val="Hypertextovodkaz"/>
            <w:noProof/>
          </w:rPr>
          <w:t>Graf 76: KS – délka správního řízení u KS v letech 2014–2023</w:t>
        </w:r>
        <w:r w:rsidR="00056825">
          <w:rPr>
            <w:noProof/>
            <w:webHidden/>
          </w:rPr>
          <w:tab/>
        </w:r>
        <w:r w:rsidR="00056825">
          <w:rPr>
            <w:noProof/>
            <w:webHidden/>
          </w:rPr>
          <w:fldChar w:fldCharType="begin"/>
        </w:r>
        <w:r w:rsidR="00056825">
          <w:rPr>
            <w:noProof/>
            <w:webHidden/>
          </w:rPr>
          <w:instrText xml:space="preserve"> PAGEREF _Toc174080681 \h </w:instrText>
        </w:r>
        <w:r w:rsidR="00056825">
          <w:rPr>
            <w:noProof/>
            <w:webHidden/>
          </w:rPr>
        </w:r>
        <w:r w:rsidR="00056825">
          <w:rPr>
            <w:noProof/>
            <w:webHidden/>
          </w:rPr>
          <w:fldChar w:fldCharType="separate"/>
        </w:r>
        <w:r>
          <w:rPr>
            <w:noProof/>
            <w:webHidden/>
          </w:rPr>
          <w:t>122</w:t>
        </w:r>
        <w:r w:rsidR="00056825">
          <w:rPr>
            <w:noProof/>
            <w:webHidden/>
          </w:rPr>
          <w:fldChar w:fldCharType="end"/>
        </w:r>
      </w:hyperlink>
    </w:p>
    <w:p w14:paraId="0F1AECCB" w14:textId="4C0E70CC"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2" w:history="1">
        <w:r w:rsidR="00056825" w:rsidRPr="001D643E">
          <w:rPr>
            <w:rStyle w:val="Hypertextovodkaz"/>
            <w:noProof/>
          </w:rPr>
          <w:t>Graf 77: KS – distribuce délek o řízení ve správních věcech, 2022 a 2023</w:t>
        </w:r>
        <w:r w:rsidR="00056825">
          <w:rPr>
            <w:noProof/>
            <w:webHidden/>
          </w:rPr>
          <w:tab/>
        </w:r>
        <w:r w:rsidR="00056825">
          <w:rPr>
            <w:noProof/>
            <w:webHidden/>
          </w:rPr>
          <w:fldChar w:fldCharType="begin"/>
        </w:r>
        <w:r w:rsidR="00056825">
          <w:rPr>
            <w:noProof/>
            <w:webHidden/>
          </w:rPr>
          <w:instrText xml:space="preserve"> PAGEREF _Toc174080682 \h </w:instrText>
        </w:r>
        <w:r w:rsidR="00056825">
          <w:rPr>
            <w:noProof/>
            <w:webHidden/>
          </w:rPr>
        </w:r>
        <w:r w:rsidR="00056825">
          <w:rPr>
            <w:noProof/>
            <w:webHidden/>
          </w:rPr>
          <w:fldChar w:fldCharType="separate"/>
        </w:r>
        <w:r>
          <w:rPr>
            <w:noProof/>
            <w:webHidden/>
          </w:rPr>
          <w:t>123</w:t>
        </w:r>
        <w:r w:rsidR="00056825">
          <w:rPr>
            <w:noProof/>
            <w:webHidden/>
          </w:rPr>
          <w:fldChar w:fldCharType="end"/>
        </w:r>
      </w:hyperlink>
    </w:p>
    <w:p w14:paraId="16FAEF75" w14:textId="5C67E9C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3" w:history="1">
        <w:r w:rsidR="00056825" w:rsidRPr="001D643E">
          <w:rPr>
            <w:rStyle w:val="Hypertextovodkaz"/>
            <w:noProof/>
          </w:rPr>
          <w:t>Graf 78: KS – vyřizování správních věcí v letech 2014–2023</w:t>
        </w:r>
        <w:r w:rsidR="00056825">
          <w:rPr>
            <w:noProof/>
            <w:webHidden/>
          </w:rPr>
          <w:tab/>
        </w:r>
        <w:r w:rsidR="00056825">
          <w:rPr>
            <w:noProof/>
            <w:webHidden/>
          </w:rPr>
          <w:fldChar w:fldCharType="begin"/>
        </w:r>
        <w:r w:rsidR="00056825">
          <w:rPr>
            <w:noProof/>
            <w:webHidden/>
          </w:rPr>
          <w:instrText xml:space="preserve"> PAGEREF _Toc174080683 \h </w:instrText>
        </w:r>
        <w:r w:rsidR="00056825">
          <w:rPr>
            <w:noProof/>
            <w:webHidden/>
          </w:rPr>
        </w:r>
        <w:r w:rsidR="00056825">
          <w:rPr>
            <w:noProof/>
            <w:webHidden/>
          </w:rPr>
          <w:fldChar w:fldCharType="separate"/>
        </w:r>
        <w:r>
          <w:rPr>
            <w:noProof/>
            <w:webHidden/>
          </w:rPr>
          <w:t>124</w:t>
        </w:r>
        <w:r w:rsidR="00056825">
          <w:rPr>
            <w:noProof/>
            <w:webHidden/>
          </w:rPr>
          <w:fldChar w:fldCharType="end"/>
        </w:r>
      </w:hyperlink>
    </w:p>
    <w:p w14:paraId="33C10876" w14:textId="262AE3E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4" w:history="1">
        <w:r w:rsidR="00056825" w:rsidRPr="001D643E">
          <w:rPr>
            <w:rStyle w:val="Hypertextovodkaz"/>
            <w:noProof/>
          </w:rPr>
          <w:t>Graf 79: KS – podíl nevyříz. věcí druhů agendy správního soudnictví, 2023</w:t>
        </w:r>
        <w:r w:rsidR="00056825">
          <w:rPr>
            <w:noProof/>
            <w:webHidden/>
          </w:rPr>
          <w:tab/>
        </w:r>
        <w:r w:rsidR="00056825">
          <w:rPr>
            <w:noProof/>
            <w:webHidden/>
          </w:rPr>
          <w:fldChar w:fldCharType="begin"/>
        </w:r>
        <w:r w:rsidR="00056825">
          <w:rPr>
            <w:noProof/>
            <w:webHidden/>
          </w:rPr>
          <w:instrText xml:space="preserve"> PAGEREF _Toc174080684 \h </w:instrText>
        </w:r>
        <w:r w:rsidR="00056825">
          <w:rPr>
            <w:noProof/>
            <w:webHidden/>
          </w:rPr>
        </w:r>
        <w:r w:rsidR="00056825">
          <w:rPr>
            <w:noProof/>
            <w:webHidden/>
          </w:rPr>
          <w:fldChar w:fldCharType="separate"/>
        </w:r>
        <w:r>
          <w:rPr>
            <w:noProof/>
            <w:webHidden/>
          </w:rPr>
          <w:t>125</w:t>
        </w:r>
        <w:r w:rsidR="00056825">
          <w:rPr>
            <w:noProof/>
            <w:webHidden/>
          </w:rPr>
          <w:fldChar w:fldCharType="end"/>
        </w:r>
      </w:hyperlink>
    </w:p>
    <w:p w14:paraId="0F6E701C" w14:textId="3002CA8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5" w:history="1">
        <w:r w:rsidR="00056825" w:rsidRPr="001D643E">
          <w:rPr>
            <w:rStyle w:val="Hypertextovodkaz"/>
            <w:noProof/>
          </w:rPr>
          <w:t>Graf 80: KS – DT správního řízení v letech 2014–2023</w:t>
        </w:r>
        <w:r w:rsidR="00056825">
          <w:rPr>
            <w:noProof/>
            <w:webHidden/>
          </w:rPr>
          <w:tab/>
        </w:r>
        <w:r w:rsidR="00056825">
          <w:rPr>
            <w:noProof/>
            <w:webHidden/>
          </w:rPr>
          <w:fldChar w:fldCharType="begin"/>
        </w:r>
        <w:r w:rsidR="00056825">
          <w:rPr>
            <w:noProof/>
            <w:webHidden/>
          </w:rPr>
          <w:instrText xml:space="preserve"> PAGEREF _Toc174080685 \h </w:instrText>
        </w:r>
        <w:r w:rsidR="00056825">
          <w:rPr>
            <w:noProof/>
            <w:webHidden/>
          </w:rPr>
        </w:r>
        <w:r w:rsidR="00056825">
          <w:rPr>
            <w:noProof/>
            <w:webHidden/>
          </w:rPr>
          <w:fldChar w:fldCharType="separate"/>
        </w:r>
        <w:r>
          <w:rPr>
            <w:noProof/>
            <w:webHidden/>
          </w:rPr>
          <w:t>127</w:t>
        </w:r>
        <w:r w:rsidR="00056825">
          <w:rPr>
            <w:noProof/>
            <w:webHidden/>
          </w:rPr>
          <w:fldChar w:fldCharType="end"/>
        </w:r>
      </w:hyperlink>
    </w:p>
    <w:p w14:paraId="1ACFA277" w14:textId="1D5AB64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6" w:history="1">
        <w:r w:rsidR="00056825" w:rsidRPr="001D643E">
          <w:rPr>
            <w:rStyle w:val="Hypertextovodkaz"/>
            <w:noProof/>
          </w:rPr>
          <w:t>Graf 81: KS – délka insolvenčního řízení v letech 2014–2023</w:t>
        </w:r>
        <w:r w:rsidR="00056825">
          <w:rPr>
            <w:noProof/>
            <w:webHidden/>
          </w:rPr>
          <w:tab/>
        </w:r>
        <w:r w:rsidR="00056825">
          <w:rPr>
            <w:noProof/>
            <w:webHidden/>
          </w:rPr>
          <w:fldChar w:fldCharType="begin"/>
        </w:r>
        <w:r w:rsidR="00056825">
          <w:rPr>
            <w:noProof/>
            <w:webHidden/>
          </w:rPr>
          <w:instrText xml:space="preserve"> PAGEREF _Toc174080686 \h </w:instrText>
        </w:r>
        <w:r w:rsidR="00056825">
          <w:rPr>
            <w:noProof/>
            <w:webHidden/>
          </w:rPr>
        </w:r>
        <w:r w:rsidR="00056825">
          <w:rPr>
            <w:noProof/>
            <w:webHidden/>
          </w:rPr>
          <w:fldChar w:fldCharType="separate"/>
        </w:r>
        <w:r>
          <w:rPr>
            <w:noProof/>
            <w:webHidden/>
          </w:rPr>
          <w:t>129</w:t>
        </w:r>
        <w:r w:rsidR="00056825">
          <w:rPr>
            <w:noProof/>
            <w:webHidden/>
          </w:rPr>
          <w:fldChar w:fldCharType="end"/>
        </w:r>
      </w:hyperlink>
    </w:p>
    <w:p w14:paraId="2A985CDD" w14:textId="63E2569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7" w:history="1">
        <w:r w:rsidR="00056825" w:rsidRPr="001D643E">
          <w:rPr>
            <w:rStyle w:val="Hypertextovodkaz"/>
            <w:noProof/>
          </w:rPr>
          <w:t>Graf 82: KS – vyřizování insolvenčních věcí v letech 2014–2023</w:t>
        </w:r>
        <w:r w:rsidR="00056825">
          <w:rPr>
            <w:noProof/>
            <w:webHidden/>
          </w:rPr>
          <w:tab/>
        </w:r>
        <w:r w:rsidR="00056825">
          <w:rPr>
            <w:noProof/>
            <w:webHidden/>
          </w:rPr>
          <w:fldChar w:fldCharType="begin"/>
        </w:r>
        <w:r w:rsidR="00056825">
          <w:rPr>
            <w:noProof/>
            <w:webHidden/>
          </w:rPr>
          <w:instrText xml:space="preserve"> PAGEREF _Toc174080687 \h </w:instrText>
        </w:r>
        <w:r w:rsidR="00056825">
          <w:rPr>
            <w:noProof/>
            <w:webHidden/>
          </w:rPr>
        </w:r>
        <w:r w:rsidR="00056825">
          <w:rPr>
            <w:noProof/>
            <w:webHidden/>
          </w:rPr>
          <w:fldChar w:fldCharType="separate"/>
        </w:r>
        <w:r>
          <w:rPr>
            <w:noProof/>
            <w:webHidden/>
          </w:rPr>
          <w:t>130</w:t>
        </w:r>
        <w:r w:rsidR="00056825">
          <w:rPr>
            <w:noProof/>
            <w:webHidden/>
          </w:rPr>
          <w:fldChar w:fldCharType="end"/>
        </w:r>
      </w:hyperlink>
    </w:p>
    <w:p w14:paraId="322F5584" w14:textId="5FC3A24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8" w:history="1">
        <w:r w:rsidR="00056825" w:rsidRPr="001D643E">
          <w:rPr>
            <w:rStyle w:val="Hypertextovodkaz"/>
            <w:noProof/>
          </w:rPr>
          <w:t>Graf 83: KS – délka incidenčních sporů řízení v letech 2014–2023</w:t>
        </w:r>
        <w:r w:rsidR="00056825">
          <w:rPr>
            <w:noProof/>
            <w:webHidden/>
          </w:rPr>
          <w:tab/>
        </w:r>
        <w:r w:rsidR="00056825">
          <w:rPr>
            <w:noProof/>
            <w:webHidden/>
          </w:rPr>
          <w:fldChar w:fldCharType="begin"/>
        </w:r>
        <w:r w:rsidR="00056825">
          <w:rPr>
            <w:noProof/>
            <w:webHidden/>
          </w:rPr>
          <w:instrText xml:space="preserve"> PAGEREF _Toc174080688 \h </w:instrText>
        </w:r>
        <w:r w:rsidR="00056825">
          <w:rPr>
            <w:noProof/>
            <w:webHidden/>
          </w:rPr>
        </w:r>
        <w:r w:rsidR="00056825">
          <w:rPr>
            <w:noProof/>
            <w:webHidden/>
          </w:rPr>
          <w:fldChar w:fldCharType="separate"/>
        </w:r>
        <w:r>
          <w:rPr>
            <w:noProof/>
            <w:webHidden/>
          </w:rPr>
          <w:t>134</w:t>
        </w:r>
        <w:r w:rsidR="00056825">
          <w:rPr>
            <w:noProof/>
            <w:webHidden/>
          </w:rPr>
          <w:fldChar w:fldCharType="end"/>
        </w:r>
      </w:hyperlink>
    </w:p>
    <w:p w14:paraId="5CF06A84" w14:textId="606C0AB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89" w:history="1">
        <w:r w:rsidR="00056825" w:rsidRPr="001D643E">
          <w:rPr>
            <w:rStyle w:val="Hypertextovodkaz"/>
            <w:noProof/>
          </w:rPr>
          <w:t>Graf 84: KS – distribuce délek incidenčních sporů</w:t>
        </w:r>
        <w:r w:rsidR="00056825">
          <w:rPr>
            <w:noProof/>
            <w:webHidden/>
          </w:rPr>
          <w:tab/>
        </w:r>
        <w:r w:rsidR="00056825">
          <w:rPr>
            <w:noProof/>
            <w:webHidden/>
          </w:rPr>
          <w:fldChar w:fldCharType="begin"/>
        </w:r>
        <w:r w:rsidR="00056825">
          <w:rPr>
            <w:noProof/>
            <w:webHidden/>
          </w:rPr>
          <w:instrText xml:space="preserve"> PAGEREF _Toc174080689 \h </w:instrText>
        </w:r>
        <w:r w:rsidR="00056825">
          <w:rPr>
            <w:noProof/>
            <w:webHidden/>
          </w:rPr>
        </w:r>
        <w:r w:rsidR="00056825">
          <w:rPr>
            <w:noProof/>
            <w:webHidden/>
          </w:rPr>
          <w:fldChar w:fldCharType="separate"/>
        </w:r>
        <w:r>
          <w:rPr>
            <w:noProof/>
            <w:webHidden/>
          </w:rPr>
          <w:t>135</w:t>
        </w:r>
        <w:r w:rsidR="00056825">
          <w:rPr>
            <w:noProof/>
            <w:webHidden/>
          </w:rPr>
          <w:fldChar w:fldCharType="end"/>
        </w:r>
      </w:hyperlink>
    </w:p>
    <w:p w14:paraId="0E332153" w14:textId="6EB9298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0" w:history="1">
        <w:r w:rsidR="00056825" w:rsidRPr="001D643E">
          <w:rPr>
            <w:rStyle w:val="Hypertextovodkaz"/>
            <w:noProof/>
          </w:rPr>
          <w:t>Graf 85: KS – vyřizování incidenčních sporů v letech 2015–2023</w:t>
        </w:r>
        <w:r w:rsidR="00056825">
          <w:rPr>
            <w:noProof/>
            <w:webHidden/>
          </w:rPr>
          <w:tab/>
        </w:r>
        <w:r w:rsidR="00056825">
          <w:rPr>
            <w:noProof/>
            <w:webHidden/>
          </w:rPr>
          <w:fldChar w:fldCharType="begin"/>
        </w:r>
        <w:r w:rsidR="00056825">
          <w:rPr>
            <w:noProof/>
            <w:webHidden/>
          </w:rPr>
          <w:instrText xml:space="preserve"> PAGEREF _Toc174080690 \h </w:instrText>
        </w:r>
        <w:r w:rsidR="00056825">
          <w:rPr>
            <w:noProof/>
            <w:webHidden/>
          </w:rPr>
        </w:r>
        <w:r w:rsidR="00056825">
          <w:rPr>
            <w:noProof/>
            <w:webHidden/>
          </w:rPr>
          <w:fldChar w:fldCharType="separate"/>
        </w:r>
        <w:r>
          <w:rPr>
            <w:noProof/>
            <w:webHidden/>
          </w:rPr>
          <w:t>136</w:t>
        </w:r>
        <w:r w:rsidR="00056825">
          <w:rPr>
            <w:noProof/>
            <w:webHidden/>
          </w:rPr>
          <w:fldChar w:fldCharType="end"/>
        </w:r>
      </w:hyperlink>
    </w:p>
    <w:p w14:paraId="5A9218AF" w14:textId="7B12F40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1" w:history="1">
        <w:r w:rsidR="00056825" w:rsidRPr="001D643E">
          <w:rPr>
            <w:rStyle w:val="Hypertextovodkaz"/>
            <w:noProof/>
          </w:rPr>
          <w:t>Graf 86: KS – DT incidenčních sporů v letech 2014–2023</w:t>
        </w:r>
        <w:r w:rsidR="00056825">
          <w:rPr>
            <w:noProof/>
            <w:webHidden/>
          </w:rPr>
          <w:tab/>
        </w:r>
        <w:r w:rsidR="00056825">
          <w:rPr>
            <w:noProof/>
            <w:webHidden/>
          </w:rPr>
          <w:fldChar w:fldCharType="begin"/>
        </w:r>
        <w:r w:rsidR="00056825">
          <w:rPr>
            <w:noProof/>
            <w:webHidden/>
          </w:rPr>
          <w:instrText xml:space="preserve"> PAGEREF _Toc174080691 \h </w:instrText>
        </w:r>
        <w:r w:rsidR="00056825">
          <w:rPr>
            <w:noProof/>
            <w:webHidden/>
          </w:rPr>
        </w:r>
        <w:r w:rsidR="00056825">
          <w:rPr>
            <w:noProof/>
            <w:webHidden/>
          </w:rPr>
          <w:fldChar w:fldCharType="separate"/>
        </w:r>
        <w:r>
          <w:rPr>
            <w:noProof/>
            <w:webHidden/>
          </w:rPr>
          <w:t>138</w:t>
        </w:r>
        <w:r w:rsidR="00056825">
          <w:rPr>
            <w:noProof/>
            <w:webHidden/>
          </w:rPr>
          <w:fldChar w:fldCharType="end"/>
        </w:r>
      </w:hyperlink>
    </w:p>
    <w:p w14:paraId="31C9DFDF" w14:textId="1B49415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2" w:history="1">
        <w:r w:rsidR="00056825" w:rsidRPr="001D643E">
          <w:rPr>
            <w:rStyle w:val="Hypertextovodkaz"/>
            <w:noProof/>
          </w:rPr>
          <w:t>Graf 87: VS – počet soudců v letech 2014–2023</w:t>
        </w:r>
        <w:r w:rsidR="00056825">
          <w:rPr>
            <w:noProof/>
            <w:webHidden/>
          </w:rPr>
          <w:tab/>
        </w:r>
        <w:r w:rsidR="00056825">
          <w:rPr>
            <w:noProof/>
            <w:webHidden/>
          </w:rPr>
          <w:fldChar w:fldCharType="begin"/>
        </w:r>
        <w:r w:rsidR="00056825">
          <w:rPr>
            <w:noProof/>
            <w:webHidden/>
          </w:rPr>
          <w:instrText xml:space="preserve"> PAGEREF _Toc174080692 \h </w:instrText>
        </w:r>
        <w:r w:rsidR="00056825">
          <w:rPr>
            <w:noProof/>
            <w:webHidden/>
          </w:rPr>
        </w:r>
        <w:r w:rsidR="00056825">
          <w:rPr>
            <w:noProof/>
            <w:webHidden/>
          </w:rPr>
          <w:fldChar w:fldCharType="separate"/>
        </w:r>
        <w:r>
          <w:rPr>
            <w:noProof/>
            <w:webHidden/>
          </w:rPr>
          <w:t>140</w:t>
        </w:r>
        <w:r w:rsidR="00056825">
          <w:rPr>
            <w:noProof/>
            <w:webHidden/>
          </w:rPr>
          <w:fldChar w:fldCharType="end"/>
        </w:r>
      </w:hyperlink>
    </w:p>
    <w:p w14:paraId="289E2FE0" w14:textId="1CAB2B0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3" w:history="1">
        <w:r w:rsidR="00056825" w:rsidRPr="001D643E">
          <w:rPr>
            <w:rStyle w:val="Hypertextovodkaz"/>
            <w:noProof/>
          </w:rPr>
          <w:t>Graf 88: VS – evidenční počet soudců dle soudních úseků v letech 2015–2023</w:t>
        </w:r>
        <w:r w:rsidR="00056825">
          <w:rPr>
            <w:noProof/>
            <w:webHidden/>
          </w:rPr>
          <w:tab/>
        </w:r>
        <w:r w:rsidR="00056825">
          <w:rPr>
            <w:noProof/>
            <w:webHidden/>
          </w:rPr>
          <w:fldChar w:fldCharType="begin"/>
        </w:r>
        <w:r w:rsidR="00056825">
          <w:rPr>
            <w:noProof/>
            <w:webHidden/>
          </w:rPr>
          <w:instrText xml:space="preserve"> PAGEREF _Toc174080693 \h </w:instrText>
        </w:r>
        <w:r w:rsidR="00056825">
          <w:rPr>
            <w:noProof/>
            <w:webHidden/>
          </w:rPr>
        </w:r>
        <w:r w:rsidR="00056825">
          <w:rPr>
            <w:noProof/>
            <w:webHidden/>
          </w:rPr>
          <w:fldChar w:fldCharType="separate"/>
        </w:r>
        <w:r>
          <w:rPr>
            <w:noProof/>
            <w:webHidden/>
          </w:rPr>
          <w:t>141</w:t>
        </w:r>
        <w:r w:rsidR="00056825">
          <w:rPr>
            <w:noProof/>
            <w:webHidden/>
          </w:rPr>
          <w:fldChar w:fldCharType="end"/>
        </w:r>
      </w:hyperlink>
    </w:p>
    <w:p w14:paraId="579F7140" w14:textId="2E711CF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4" w:history="1">
        <w:r w:rsidR="00056825" w:rsidRPr="001D643E">
          <w:rPr>
            <w:rStyle w:val="Hypertextovodkaz"/>
            <w:noProof/>
          </w:rPr>
          <w:t>Graf 89: VS – evidenční počet soudců dle pohlaví v letech 2015–2023</w:t>
        </w:r>
        <w:r w:rsidR="00056825">
          <w:rPr>
            <w:noProof/>
            <w:webHidden/>
          </w:rPr>
          <w:tab/>
        </w:r>
        <w:r w:rsidR="00056825">
          <w:rPr>
            <w:noProof/>
            <w:webHidden/>
          </w:rPr>
          <w:fldChar w:fldCharType="begin"/>
        </w:r>
        <w:r w:rsidR="00056825">
          <w:rPr>
            <w:noProof/>
            <w:webHidden/>
          </w:rPr>
          <w:instrText xml:space="preserve"> PAGEREF _Toc174080694 \h </w:instrText>
        </w:r>
        <w:r w:rsidR="00056825">
          <w:rPr>
            <w:noProof/>
            <w:webHidden/>
          </w:rPr>
        </w:r>
        <w:r w:rsidR="00056825">
          <w:rPr>
            <w:noProof/>
            <w:webHidden/>
          </w:rPr>
          <w:fldChar w:fldCharType="separate"/>
        </w:r>
        <w:r>
          <w:rPr>
            <w:noProof/>
            <w:webHidden/>
          </w:rPr>
          <w:t>142</w:t>
        </w:r>
        <w:r w:rsidR="00056825">
          <w:rPr>
            <w:noProof/>
            <w:webHidden/>
          </w:rPr>
          <w:fldChar w:fldCharType="end"/>
        </w:r>
      </w:hyperlink>
    </w:p>
    <w:p w14:paraId="1AC88C07" w14:textId="30F04C6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5" w:history="1">
        <w:r w:rsidR="00056825" w:rsidRPr="001D643E">
          <w:rPr>
            <w:rStyle w:val="Hypertextovodkaz"/>
            <w:noProof/>
          </w:rPr>
          <w:t>Graf 90: VS Praha – věkové složení soudců v letech 2008–2023</w:t>
        </w:r>
        <w:r w:rsidR="00056825">
          <w:rPr>
            <w:noProof/>
            <w:webHidden/>
          </w:rPr>
          <w:tab/>
        </w:r>
        <w:r w:rsidR="00056825">
          <w:rPr>
            <w:noProof/>
            <w:webHidden/>
          </w:rPr>
          <w:fldChar w:fldCharType="begin"/>
        </w:r>
        <w:r w:rsidR="00056825">
          <w:rPr>
            <w:noProof/>
            <w:webHidden/>
          </w:rPr>
          <w:instrText xml:space="preserve"> PAGEREF _Toc174080695 \h </w:instrText>
        </w:r>
        <w:r w:rsidR="00056825">
          <w:rPr>
            <w:noProof/>
            <w:webHidden/>
          </w:rPr>
        </w:r>
        <w:r w:rsidR="00056825">
          <w:rPr>
            <w:noProof/>
            <w:webHidden/>
          </w:rPr>
          <w:fldChar w:fldCharType="separate"/>
        </w:r>
        <w:r>
          <w:rPr>
            <w:noProof/>
            <w:webHidden/>
          </w:rPr>
          <w:t>143</w:t>
        </w:r>
        <w:r w:rsidR="00056825">
          <w:rPr>
            <w:noProof/>
            <w:webHidden/>
          </w:rPr>
          <w:fldChar w:fldCharType="end"/>
        </w:r>
      </w:hyperlink>
    </w:p>
    <w:p w14:paraId="1AB0B1FA" w14:textId="2A48946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6" w:history="1">
        <w:r w:rsidR="00056825" w:rsidRPr="001D643E">
          <w:rPr>
            <w:rStyle w:val="Hypertextovodkaz"/>
            <w:noProof/>
          </w:rPr>
          <w:t>Graf 91: VS Olomouc – věkové složení soudců v letech 2008–2023</w:t>
        </w:r>
        <w:r w:rsidR="00056825">
          <w:rPr>
            <w:noProof/>
            <w:webHidden/>
          </w:rPr>
          <w:tab/>
        </w:r>
        <w:r w:rsidR="00056825">
          <w:rPr>
            <w:noProof/>
            <w:webHidden/>
          </w:rPr>
          <w:fldChar w:fldCharType="begin"/>
        </w:r>
        <w:r w:rsidR="00056825">
          <w:rPr>
            <w:noProof/>
            <w:webHidden/>
          </w:rPr>
          <w:instrText xml:space="preserve"> PAGEREF _Toc174080696 \h </w:instrText>
        </w:r>
        <w:r w:rsidR="00056825">
          <w:rPr>
            <w:noProof/>
            <w:webHidden/>
          </w:rPr>
        </w:r>
        <w:r w:rsidR="00056825">
          <w:rPr>
            <w:noProof/>
            <w:webHidden/>
          </w:rPr>
          <w:fldChar w:fldCharType="separate"/>
        </w:r>
        <w:r>
          <w:rPr>
            <w:noProof/>
            <w:webHidden/>
          </w:rPr>
          <w:t>143</w:t>
        </w:r>
        <w:r w:rsidR="00056825">
          <w:rPr>
            <w:noProof/>
            <w:webHidden/>
          </w:rPr>
          <w:fldChar w:fldCharType="end"/>
        </w:r>
      </w:hyperlink>
    </w:p>
    <w:p w14:paraId="07A87799" w14:textId="4F57862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7" w:history="1">
        <w:r w:rsidR="00056825" w:rsidRPr="001D643E">
          <w:rPr>
            <w:rStyle w:val="Hypertextovodkaz"/>
            <w:noProof/>
          </w:rPr>
          <w:t>Graf 92: VS – délka civilního odvolacího řízení u VS v letech 2010–2022</w:t>
        </w:r>
        <w:r w:rsidR="00056825">
          <w:rPr>
            <w:noProof/>
            <w:webHidden/>
          </w:rPr>
          <w:tab/>
        </w:r>
        <w:r w:rsidR="00056825">
          <w:rPr>
            <w:noProof/>
            <w:webHidden/>
          </w:rPr>
          <w:fldChar w:fldCharType="begin"/>
        </w:r>
        <w:r w:rsidR="00056825">
          <w:rPr>
            <w:noProof/>
            <w:webHidden/>
          </w:rPr>
          <w:instrText xml:space="preserve"> PAGEREF _Toc174080697 \h </w:instrText>
        </w:r>
        <w:r w:rsidR="00056825">
          <w:rPr>
            <w:noProof/>
            <w:webHidden/>
          </w:rPr>
        </w:r>
        <w:r w:rsidR="00056825">
          <w:rPr>
            <w:noProof/>
            <w:webHidden/>
          </w:rPr>
          <w:fldChar w:fldCharType="separate"/>
        </w:r>
        <w:r>
          <w:rPr>
            <w:noProof/>
            <w:webHidden/>
          </w:rPr>
          <w:t>145</w:t>
        </w:r>
        <w:r w:rsidR="00056825">
          <w:rPr>
            <w:noProof/>
            <w:webHidden/>
          </w:rPr>
          <w:fldChar w:fldCharType="end"/>
        </w:r>
      </w:hyperlink>
    </w:p>
    <w:p w14:paraId="6500EFC3" w14:textId="066EFC1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8" w:history="1">
        <w:r w:rsidR="00056825" w:rsidRPr="001D643E">
          <w:rPr>
            <w:rStyle w:val="Hypertextovodkaz"/>
            <w:noProof/>
          </w:rPr>
          <w:t>Graf 93: VS – distribuce délek civilního odvolacího řízení</w:t>
        </w:r>
        <w:r w:rsidR="00056825">
          <w:rPr>
            <w:noProof/>
            <w:webHidden/>
          </w:rPr>
          <w:tab/>
        </w:r>
        <w:r w:rsidR="00056825">
          <w:rPr>
            <w:noProof/>
            <w:webHidden/>
          </w:rPr>
          <w:fldChar w:fldCharType="begin"/>
        </w:r>
        <w:r w:rsidR="00056825">
          <w:rPr>
            <w:noProof/>
            <w:webHidden/>
          </w:rPr>
          <w:instrText xml:space="preserve"> PAGEREF _Toc174080698 \h </w:instrText>
        </w:r>
        <w:r w:rsidR="00056825">
          <w:rPr>
            <w:noProof/>
            <w:webHidden/>
          </w:rPr>
        </w:r>
        <w:r w:rsidR="00056825">
          <w:rPr>
            <w:noProof/>
            <w:webHidden/>
          </w:rPr>
          <w:fldChar w:fldCharType="separate"/>
        </w:r>
        <w:r>
          <w:rPr>
            <w:noProof/>
            <w:webHidden/>
          </w:rPr>
          <w:t>146</w:t>
        </w:r>
        <w:r w:rsidR="00056825">
          <w:rPr>
            <w:noProof/>
            <w:webHidden/>
          </w:rPr>
          <w:fldChar w:fldCharType="end"/>
        </w:r>
      </w:hyperlink>
    </w:p>
    <w:p w14:paraId="6FFAFB1B" w14:textId="556B3B6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699" w:history="1">
        <w:r w:rsidR="00056825" w:rsidRPr="001D643E">
          <w:rPr>
            <w:rStyle w:val="Hypertextovodkaz"/>
            <w:noProof/>
          </w:rPr>
          <w:t>Graf 94: VS – vyřizování odvolacích civilních věcí v letech 2015–2023</w:t>
        </w:r>
        <w:r w:rsidR="00056825">
          <w:rPr>
            <w:noProof/>
            <w:webHidden/>
          </w:rPr>
          <w:tab/>
        </w:r>
        <w:r w:rsidR="00056825">
          <w:rPr>
            <w:noProof/>
            <w:webHidden/>
          </w:rPr>
          <w:fldChar w:fldCharType="begin"/>
        </w:r>
        <w:r w:rsidR="00056825">
          <w:rPr>
            <w:noProof/>
            <w:webHidden/>
          </w:rPr>
          <w:instrText xml:space="preserve"> PAGEREF _Toc174080699 \h </w:instrText>
        </w:r>
        <w:r w:rsidR="00056825">
          <w:rPr>
            <w:noProof/>
            <w:webHidden/>
          </w:rPr>
        </w:r>
        <w:r w:rsidR="00056825">
          <w:rPr>
            <w:noProof/>
            <w:webHidden/>
          </w:rPr>
          <w:fldChar w:fldCharType="separate"/>
        </w:r>
        <w:r>
          <w:rPr>
            <w:noProof/>
            <w:webHidden/>
          </w:rPr>
          <w:t>146</w:t>
        </w:r>
        <w:r w:rsidR="00056825">
          <w:rPr>
            <w:noProof/>
            <w:webHidden/>
          </w:rPr>
          <w:fldChar w:fldCharType="end"/>
        </w:r>
      </w:hyperlink>
    </w:p>
    <w:p w14:paraId="0A8030E6" w14:textId="50CB89F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0" w:history="1">
        <w:r w:rsidR="00056825" w:rsidRPr="001D643E">
          <w:rPr>
            <w:rStyle w:val="Hypertextovodkaz"/>
            <w:noProof/>
          </w:rPr>
          <w:t>Graf 95: VS – DT civilního odvolacího řízení v letech 2014 – 2023</w:t>
        </w:r>
        <w:r w:rsidR="00056825">
          <w:rPr>
            <w:noProof/>
            <w:webHidden/>
          </w:rPr>
          <w:tab/>
        </w:r>
        <w:r w:rsidR="00056825">
          <w:rPr>
            <w:noProof/>
            <w:webHidden/>
          </w:rPr>
          <w:fldChar w:fldCharType="begin"/>
        </w:r>
        <w:r w:rsidR="00056825">
          <w:rPr>
            <w:noProof/>
            <w:webHidden/>
          </w:rPr>
          <w:instrText xml:space="preserve"> PAGEREF _Toc174080700 \h </w:instrText>
        </w:r>
        <w:r w:rsidR="00056825">
          <w:rPr>
            <w:noProof/>
            <w:webHidden/>
          </w:rPr>
        </w:r>
        <w:r w:rsidR="00056825">
          <w:rPr>
            <w:noProof/>
            <w:webHidden/>
          </w:rPr>
          <w:fldChar w:fldCharType="separate"/>
        </w:r>
        <w:r>
          <w:rPr>
            <w:noProof/>
            <w:webHidden/>
          </w:rPr>
          <w:t>148</w:t>
        </w:r>
        <w:r w:rsidR="00056825">
          <w:rPr>
            <w:noProof/>
            <w:webHidden/>
          </w:rPr>
          <w:fldChar w:fldCharType="end"/>
        </w:r>
      </w:hyperlink>
    </w:p>
    <w:p w14:paraId="72E0A538" w14:textId="5FA0DDB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1" w:history="1">
        <w:r w:rsidR="00056825" w:rsidRPr="001D643E">
          <w:rPr>
            <w:rStyle w:val="Hypertextovodkaz"/>
            <w:noProof/>
          </w:rPr>
          <w:t>Graf 96: VS – délka trestního odvolacího řízení v letech 2014–2023</w:t>
        </w:r>
        <w:r w:rsidR="00056825">
          <w:rPr>
            <w:noProof/>
            <w:webHidden/>
          </w:rPr>
          <w:tab/>
        </w:r>
        <w:r w:rsidR="00056825">
          <w:rPr>
            <w:noProof/>
            <w:webHidden/>
          </w:rPr>
          <w:fldChar w:fldCharType="begin"/>
        </w:r>
        <w:r w:rsidR="00056825">
          <w:rPr>
            <w:noProof/>
            <w:webHidden/>
          </w:rPr>
          <w:instrText xml:space="preserve"> PAGEREF _Toc174080701 \h </w:instrText>
        </w:r>
        <w:r w:rsidR="00056825">
          <w:rPr>
            <w:noProof/>
            <w:webHidden/>
          </w:rPr>
        </w:r>
        <w:r w:rsidR="00056825">
          <w:rPr>
            <w:noProof/>
            <w:webHidden/>
          </w:rPr>
          <w:fldChar w:fldCharType="separate"/>
        </w:r>
        <w:r>
          <w:rPr>
            <w:noProof/>
            <w:webHidden/>
          </w:rPr>
          <w:t>149</w:t>
        </w:r>
        <w:r w:rsidR="00056825">
          <w:rPr>
            <w:noProof/>
            <w:webHidden/>
          </w:rPr>
          <w:fldChar w:fldCharType="end"/>
        </w:r>
      </w:hyperlink>
    </w:p>
    <w:p w14:paraId="2F2F41FE" w14:textId="6AFEDC5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2" w:history="1">
        <w:r w:rsidR="00056825" w:rsidRPr="001D643E">
          <w:rPr>
            <w:rStyle w:val="Hypertextovodkaz"/>
            <w:noProof/>
          </w:rPr>
          <w:t>Graf 97: VS – distribuce délek trestního odvolacího řízení</w:t>
        </w:r>
        <w:r w:rsidR="00056825">
          <w:rPr>
            <w:noProof/>
            <w:webHidden/>
          </w:rPr>
          <w:tab/>
        </w:r>
        <w:r w:rsidR="00056825">
          <w:rPr>
            <w:noProof/>
            <w:webHidden/>
          </w:rPr>
          <w:fldChar w:fldCharType="begin"/>
        </w:r>
        <w:r w:rsidR="00056825">
          <w:rPr>
            <w:noProof/>
            <w:webHidden/>
          </w:rPr>
          <w:instrText xml:space="preserve"> PAGEREF _Toc174080702 \h </w:instrText>
        </w:r>
        <w:r w:rsidR="00056825">
          <w:rPr>
            <w:noProof/>
            <w:webHidden/>
          </w:rPr>
        </w:r>
        <w:r w:rsidR="00056825">
          <w:rPr>
            <w:noProof/>
            <w:webHidden/>
          </w:rPr>
          <w:fldChar w:fldCharType="separate"/>
        </w:r>
        <w:r>
          <w:rPr>
            <w:noProof/>
            <w:webHidden/>
          </w:rPr>
          <w:t>150</w:t>
        </w:r>
        <w:r w:rsidR="00056825">
          <w:rPr>
            <w:noProof/>
            <w:webHidden/>
          </w:rPr>
          <w:fldChar w:fldCharType="end"/>
        </w:r>
      </w:hyperlink>
    </w:p>
    <w:p w14:paraId="43036F6F" w14:textId="4DB2F77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3" w:history="1">
        <w:r w:rsidR="00056825" w:rsidRPr="001D643E">
          <w:rPr>
            <w:rStyle w:val="Hypertextovodkaz"/>
            <w:noProof/>
          </w:rPr>
          <w:t>Graf 98: VS – vyřizování odvolacích trestních věcí v letech 2008–2022</w:t>
        </w:r>
        <w:r w:rsidR="00056825">
          <w:rPr>
            <w:noProof/>
            <w:webHidden/>
          </w:rPr>
          <w:tab/>
        </w:r>
        <w:r w:rsidR="00056825">
          <w:rPr>
            <w:noProof/>
            <w:webHidden/>
          </w:rPr>
          <w:fldChar w:fldCharType="begin"/>
        </w:r>
        <w:r w:rsidR="00056825">
          <w:rPr>
            <w:noProof/>
            <w:webHidden/>
          </w:rPr>
          <w:instrText xml:space="preserve"> PAGEREF _Toc174080703 \h </w:instrText>
        </w:r>
        <w:r w:rsidR="00056825">
          <w:rPr>
            <w:noProof/>
            <w:webHidden/>
          </w:rPr>
        </w:r>
        <w:r w:rsidR="00056825">
          <w:rPr>
            <w:noProof/>
            <w:webHidden/>
          </w:rPr>
          <w:fldChar w:fldCharType="separate"/>
        </w:r>
        <w:r>
          <w:rPr>
            <w:noProof/>
            <w:webHidden/>
          </w:rPr>
          <w:t>151</w:t>
        </w:r>
        <w:r w:rsidR="00056825">
          <w:rPr>
            <w:noProof/>
            <w:webHidden/>
          </w:rPr>
          <w:fldChar w:fldCharType="end"/>
        </w:r>
      </w:hyperlink>
    </w:p>
    <w:p w14:paraId="75D6DE12" w14:textId="16C204F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4" w:history="1">
        <w:r w:rsidR="00056825" w:rsidRPr="001D643E">
          <w:rPr>
            <w:rStyle w:val="Hypertextovodkaz"/>
            <w:noProof/>
          </w:rPr>
          <w:t>Graf 99: VS – DT trestního odvolacího řízení v letech 2015–2023</w:t>
        </w:r>
        <w:r w:rsidR="00056825">
          <w:rPr>
            <w:noProof/>
            <w:webHidden/>
          </w:rPr>
          <w:tab/>
        </w:r>
        <w:r w:rsidR="00056825">
          <w:rPr>
            <w:noProof/>
            <w:webHidden/>
          </w:rPr>
          <w:fldChar w:fldCharType="begin"/>
        </w:r>
        <w:r w:rsidR="00056825">
          <w:rPr>
            <w:noProof/>
            <w:webHidden/>
          </w:rPr>
          <w:instrText xml:space="preserve"> PAGEREF _Toc174080704 \h </w:instrText>
        </w:r>
        <w:r w:rsidR="00056825">
          <w:rPr>
            <w:noProof/>
            <w:webHidden/>
          </w:rPr>
        </w:r>
        <w:r w:rsidR="00056825">
          <w:rPr>
            <w:noProof/>
            <w:webHidden/>
          </w:rPr>
          <w:fldChar w:fldCharType="separate"/>
        </w:r>
        <w:r>
          <w:rPr>
            <w:noProof/>
            <w:webHidden/>
          </w:rPr>
          <w:t>152</w:t>
        </w:r>
        <w:r w:rsidR="00056825">
          <w:rPr>
            <w:noProof/>
            <w:webHidden/>
          </w:rPr>
          <w:fldChar w:fldCharType="end"/>
        </w:r>
      </w:hyperlink>
    </w:p>
    <w:p w14:paraId="4F125631" w14:textId="781BF1E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5" w:history="1">
        <w:r w:rsidR="00056825" w:rsidRPr="001D643E">
          <w:rPr>
            <w:rStyle w:val="Hypertextovodkaz"/>
            <w:noProof/>
          </w:rPr>
          <w:t>Graf 100: VS – vyřizování insolvenční agendy v letech 2015–2023</w:t>
        </w:r>
        <w:r w:rsidR="00056825">
          <w:rPr>
            <w:noProof/>
            <w:webHidden/>
          </w:rPr>
          <w:tab/>
        </w:r>
        <w:r w:rsidR="00056825">
          <w:rPr>
            <w:noProof/>
            <w:webHidden/>
          </w:rPr>
          <w:fldChar w:fldCharType="begin"/>
        </w:r>
        <w:r w:rsidR="00056825">
          <w:rPr>
            <w:noProof/>
            <w:webHidden/>
          </w:rPr>
          <w:instrText xml:space="preserve"> PAGEREF _Toc174080705 \h </w:instrText>
        </w:r>
        <w:r w:rsidR="00056825">
          <w:rPr>
            <w:noProof/>
            <w:webHidden/>
          </w:rPr>
        </w:r>
        <w:r w:rsidR="00056825">
          <w:rPr>
            <w:noProof/>
            <w:webHidden/>
          </w:rPr>
          <w:fldChar w:fldCharType="separate"/>
        </w:r>
        <w:r>
          <w:rPr>
            <w:noProof/>
            <w:webHidden/>
          </w:rPr>
          <w:t>154</w:t>
        </w:r>
        <w:r w:rsidR="00056825">
          <w:rPr>
            <w:noProof/>
            <w:webHidden/>
          </w:rPr>
          <w:fldChar w:fldCharType="end"/>
        </w:r>
      </w:hyperlink>
    </w:p>
    <w:p w14:paraId="0D81872C" w14:textId="2A12058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6" w:history="1">
        <w:r w:rsidR="00056825" w:rsidRPr="001D643E">
          <w:rPr>
            <w:rStyle w:val="Hypertextovodkaz"/>
            <w:noProof/>
          </w:rPr>
          <w:t>Graf 101: VS – DT v insolvenční agendě v letech 2015–2023</w:t>
        </w:r>
        <w:r w:rsidR="00056825">
          <w:rPr>
            <w:noProof/>
            <w:webHidden/>
          </w:rPr>
          <w:tab/>
        </w:r>
        <w:r w:rsidR="00056825">
          <w:rPr>
            <w:noProof/>
            <w:webHidden/>
          </w:rPr>
          <w:fldChar w:fldCharType="begin"/>
        </w:r>
        <w:r w:rsidR="00056825">
          <w:rPr>
            <w:noProof/>
            <w:webHidden/>
          </w:rPr>
          <w:instrText xml:space="preserve"> PAGEREF _Toc174080706 \h </w:instrText>
        </w:r>
        <w:r w:rsidR="00056825">
          <w:rPr>
            <w:noProof/>
            <w:webHidden/>
          </w:rPr>
        </w:r>
        <w:r w:rsidR="00056825">
          <w:rPr>
            <w:noProof/>
            <w:webHidden/>
          </w:rPr>
          <w:fldChar w:fldCharType="separate"/>
        </w:r>
        <w:r>
          <w:rPr>
            <w:noProof/>
            <w:webHidden/>
          </w:rPr>
          <w:t>154</w:t>
        </w:r>
        <w:r w:rsidR="00056825">
          <w:rPr>
            <w:noProof/>
            <w:webHidden/>
          </w:rPr>
          <w:fldChar w:fldCharType="end"/>
        </w:r>
      </w:hyperlink>
    </w:p>
    <w:p w14:paraId="3D2B4FA4" w14:textId="4EE7BC2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7" w:history="1">
        <w:r w:rsidR="00056825" w:rsidRPr="001D643E">
          <w:rPr>
            <w:rStyle w:val="Hypertextovodkaz"/>
            <w:noProof/>
          </w:rPr>
          <w:t>Graf 102: VS – délka odvolacího řízení incidenčních sporů v letech 2014–2023</w:t>
        </w:r>
        <w:r w:rsidR="00056825">
          <w:rPr>
            <w:noProof/>
            <w:webHidden/>
          </w:rPr>
          <w:tab/>
        </w:r>
        <w:r w:rsidR="00056825">
          <w:rPr>
            <w:noProof/>
            <w:webHidden/>
          </w:rPr>
          <w:fldChar w:fldCharType="begin"/>
        </w:r>
        <w:r w:rsidR="00056825">
          <w:rPr>
            <w:noProof/>
            <w:webHidden/>
          </w:rPr>
          <w:instrText xml:space="preserve"> PAGEREF _Toc174080707 \h </w:instrText>
        </w:r>
        <w:r w:rsidR="00056825">
          <w:rPr>
            <w:noProof/>
            <w:webHidden/>
          </w:rPr>
        </w:r>
        <w:r w:rsidR="00056825">
          <w:rPr>
            <w:noProof/>
            <w:webHidden/>
          </w:rPr>
          <w:fldChar w:fldCharType="separate"/>
        </w:r>
        <w:r>
          <w:rPr>
            <w:noProof/>
            <w:webHidden/>
          </w:rPr>
          <w:t>156</w:t>
        </w:r>
        <w:r w:rsidR="00056825">
          <w:rPr>
            <w:noProof/>
            <w:webHidden/>
          </w:rPr>
          <w:fldChar w:fldCharType="end"/>
        </w:r>
      </w:hyperlink>
    </w:p>
    <w:p w14:paraId="419B2A4F" w14:textId="2EFDD154"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8" w:history="1">
        <w:r w:rsidR="00056825" w:rsidRPr="001D643E">
          <w:rPr>
            <w:rStyle w:val="Hypertextovodkaz"/>
            <w:noProof/>
          </w:rPr>
          <w:t>Graf 103: VS – distribuce délek odvolacího řízení v incidenčních sporech</w:t>
        </w:r>
        <w:r w:rsidR="00056825">
          <w:rPr>
            <w:noProof/>
            <w:webHidden/>
          </w:rPr>
          <w:tab/>
        </w:r>
        <w:r w:rsidR="00056825">
          <w:rPr>
            <w:noProof/>
            <w:webHidden/>
          </w:rPr>
          <w:fldChar w:fldCharType="begin"/>
        </w:r>
        <w:r w:rsidR="00056825">
          <w:rPr>
            <w:noProof/>
            <w:webHidden/>
          </w:rPr>
          <w:instrText xml:space="preserve"> PAGEREF _Toc174080708 \h </w:instrText>
        </w:r>
        <w:r w:rsidR="00056825">
          <w:rPr>
            <w:noProof/>
            <w:webHidden/>
          </w:rPr>
        </w:r>
        <w:r w:rsidR="00056825">
          <w:rPr>
            <w:noProof/>
            <w:webHidden/>
          </w:rPr>
          <w:fldChar w:fldCharType="separate"/>
        </w:r>
        <w:r>
          <w:rPr>
            <w:noProof/>
            <w:webHidden/>
          </w:rPr>
          <w:t>157</w:t>
        </w:r>
        <w:r w:rsidR="00056825">
          <w:rPr>
            <w:noProof/>
            <w:webHidden/>
          </w:rPr>
          <w:fldChar w:fldCharType="end"/>
        </w:r>
      </w:hyperlink>
    </w:p>
    <w:p w14:paraId="78B2E978" w14:textId="6C47B9E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09" w:history="1">
        <w:r w:rsidR="00056825" w:rsidRPr="001D643E">
          <w:rPr>
            <w:rStyle w:val="Hypertextovodkaz"/>
            <w:noProof/>
          </w:rPr>
          <w:t>Graf 104: VS – vyřizování odvolacího řízení v incidenčních sporech</w:t>
        </w:r>
        <w:r w:rsidR="00056825">
          <w:rPr>
            <w:noProof/>
            <w:webHidden/>
          </w:rPr>
          <w:tab/>
        </w:r>
        <w:r w:rsidR="00056825">
          <w:rPr>
            <w:noProof/>
            <w:webHidden/>
          </w:rPr>
          <w:fldChar w:fldCharType="begin"/>
        </w:r>
        <w:r w:rsidR="00056825">
          <w:rPr>
            <w:noProof/>
            <w:webHidden/>
          </w:rPr>
          <w:instrText xml:space="preserve"> PAGEREF _Toc174080709 \h </w:instrText>
        </w:r>
        <w:r w:rsidR="00056825">
          <w:rPr>
            <w:noProof/>
            <w:webHidden/>
          </w:rPr>
        </w:r>
        <w:r w:rsidR="00056825">
          <w:rPr>
            <w:noProof/>
            <w:webHidden/>
          </w:rPr>
          <w:fldChar w:fldCharType="separate"/>
        </w:r>
        <w:r>
          <w:rPr>
            <w:noProof/>
            <w:webHidden/>
          </w:rPr>
          <w:t>157</w:t>
        </w:r>
        <w:r w:rsidR="00056825">
          <w:rPr>
            <w:noProof/>
            <w:webHidden/>
          </w:rPr>
          <w:fldChar w:fldCharType="end"/>
        </w:r>
      </w:hyperlink>
    </w:p>
    <w:p w14:paraId="02B39975" w14:textId="418CB4C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0" w:history="1">
        <w:r w:rsidR="00056825" w:rsidRPr="001D643E">
          <w:rPr>
            <w:rStyle w:val="Hypertextovodkaz"/>
            <w:noProof/>
          </w:rPr>
          <w:t>Graf 105: VS – DT odvolacího řízení v incidenčních sporech</w:t>
        </w:r>
        <w:r w:rsidR="00056825">
          <w:rPr>
            <w:noProof/>
            <w:webHidden/>
          </w:rPr>
          <w:tab/>
        </w:r>
        <w:r w:rsidR="00056825">
          <w:rPr>
            <w:noProof/>
            <w:webHidden/>
          </w:rPr>
          <w:fldChar w:fldCharType="begin"/>
        </w:r>
        <w:r w:rsidR="00056825">
          <w:rPr>
            <w:noProof/>
            <w:webHidden/>
          </w:rPr>
          <w:instrText xml:space="preserve"> PAGEREF _Toc174080710 \h </w:instrText>
        </w:r>
        <w:r w:rsidR="00056825">
          <w:rPr>
            <w:noProof/>
            <w:webHidden/>
          </w:rPr>
        </w:r>
        <w:r w:rsidR="00056825">
          <w:rPr>
            <w:noProof/>
            <w:webHidden/>
          </w:rPr>
          <w:fldChar w:fldCharType="separate"/>
        </w:r>
        <w:r>
          <w:rPr>
            <w:noProof/>
            <w:webHidden/>
          </w:rPr>
          <w:t>158</w:t>
        </w:r>
        <w:r w:rsidR="00056825">
          <w:rPr>
            <w:noProof/>
            <w:webHidden/>
          </w:rPr>
          <w:fldChar w:fldCharType="end"/>
        </w:r>
      </w:hyperlink>
    </w:p>
    <w:p w14:paraId="3F12D088" w14:textId="46E796F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1" w:history="1">
        <w:r w:rsidR="00056825" w:rsidRPr="001D643E">
          <w:rPr>
            <w:rStyle w:val="Hypertextovodkaz"/>
            <w:noProof/>
          </w:rPr>
          <w:t>Graf 106: NS – počet soudců v letech 2014–2023</w:t>
        </w:r>
        <w:r w:rsidR="00056825">
          <w:rPr>
            <w:noProof/>
            <w:webHidden/>
          </w:rPr>
          <w:tab/>
        </w:r>
        <w:r w:rsidR="00056825">
          <w:rPr>
            <w:noProof/>
            <w:webHidden/>
          </w:rPr>
          <w:fldChar w:fldCharType="begin"/>
        </w:r>
        <w:r w:rsidR="00056825">
          <w:rPr>
            <w:noProof/>
            <w:webHidden/>
          </w:rPr>
          <w:instrText xml:space="preserve"> PAGEREF _Toc174080711 \h </w:instrText>
        </w:r>
        <w:r w:rsidR="00056825">
          <w:rPr>
            <w:noProof/>
            <w:webHidden/>
          </w:rPr>
        </w:r>
        <w:r w:rsidR="00056825">
          <w:rPr>
            <w:noProof/>
            <w:webHidden/>
          </w:rPr>
          <w:fldChar w:fldCharType="separate"/>
        </w:r>
        <w:r>
          <w:rPr>
            <w:noProof/>
            <w:webHidden/>
          </w:rPr>
          <w:t>159</w:t>
        </w:r>
        <w:r w:rsidR="00056825">
          <w:rPr>
            <w:noProof/>
            <w:webHidden/>
          </w:rPr>
          <w:fldChar w:fldCharType="end"/>
        </w:r>
      </w:hyperlink>
    </w:p>
    <w:p w14:paraId="4FD6BFA2" w14:textId="2D1DF9E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2" w:history="1">
        <w:r w:rsidR="00056825" w:rsidRPr="001D643E">
          <w:rPr>
            <w:rStyle w:val="Hypertextovodkaz"/>
            <w:noProof/>
          </w:rPr>
          <w:t>Graf 107: NS – evidenční počet soudců dle soudních úseků v letech 2014–2023</w:t>
        </w:r>
        <w:r w:rsidR="00056825">
          <w:rPr>
            <w:noProof/>
            <w:webHidden/>
          </w:rPr>
          <w:tab/>
        </w:r>
        <w:r w:rsidR="00056825">
          <w:rPr>
            <w:noProof/>
            <w:webHidden/>
          </w:rPr>
          <w:fldChar w:fldCharType="begin"/>
        </w:r>
        <w:r w:rsidR="00056825">
          <w:rPr>
            <w:noProof/>
            <w:webHidden/>
          </w:rPr>
          <w:instrText xml:space="preserve"> PAGEREF _Toc174080712 \h </w:instrText>
        </w:r>
        <w:r w:rsidR="00056825">
          <w:rPr>
            <w:noProof/>
            <w:webHidden/>
          </w:rPr>
        </w:r>
        <w:r w:rsidR="00056825">
          <w:rPr>
            <w:noProof/>
            <w:webHidden/>
          </w:rPr>
          <w:fldChar w:fldCharType="separate"/>
        </w:r>
        <w:r>
          <w:rPr>
            <w:noProof/>
            <w:webHidden/>
          </w:rPr>
          <w:t>160</w:t>
        </w:r>
        <w:r w:rsidR="00056825">
          <w:rPr>
            <w:noProof/>
            <w:webHidden/>
          </w:rPr>
          <w:fldChar w:fldCharType="end"/>
        </w:r>
      </w:hyperlink>
    </w:p>
    <w:p w14:paraId="7C828C9B" w14:textId="1EA96ED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3" w:history="1">
        <w:r w:rsidR="00056825" w:rsidRPr="001D643E">
          <w:rPr>
            <w:rStyle w:val="Hypertextovodkaz"/>
            <w:noProof/>
          </w:rPr>
          <w:t>Graf 108: NS – věková struktura soudců v letech 2008–2023</w:t>
        </w:r>
        <w:r w:rsidR="00056825">
          <w:rPr>
            <w:noProof/>
            <w:webHidden/>
          </w:rPr>
          <w:tab/>
        </w:r>
        <w:r w:rsidR="00056825">
          <w:rPr>
            <w:noProof/>
            <w:webHidden/>
          </w:rPr>
          <w:fldChar w:fldCharType="begin"/>
        </w:r>
        <w:r w:rsidR="00056825">
          <w:rPr>
            <w:noProof/>
            <w:webHidden/>
          </w:rPr>
          <w:instrText xml:space="preserve"> PAGEREF _Toc174080713 \h </w:instrText>
        </w:r>
        <w:r w:rsidR="00056825">
          <w:rPr>
            <w:noProof/>
            <w:webHidden/>
          </w:rPr>
        </w:r>
        <w:r w:rsidR="00056825">
          <w:rPr>
            <w:noProof/>
            <w:webHidden/>
          </w:rPr>
          <w:fldChar w:fldCharType="separate"/>
        </w:r>
        <w:r>
          <w:rPr>
            <w:noProof/>
            <w:webHidden/>
          </w:rPr>
          <w:t>162</w:t>
        </w:r>
        <w:r w:rsidR="00056825">
          <w:rPr>
            <w:noProof/>
            <w:webHidden/>
          </w:rPr>
          <w:fldChar w:fldCharType="end"/>
        </w:r>
      </w:hyperlink>
    </w:p>
    <w:p w14:paraId="3758FF95" w14:textId="5BA9098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4" w:history="1">
        <w:r w:rsidR="00056825" w:rsidRPr="001D643E">
          <w:rPr>
            <w:rStyle w:val="Hypertextovodkaz"/>
            <w:noProof/>
          </w:rPr>
          <w:t>Graf 109: NS – vyřizování civilní dovolací agendy v letech 2014–2023</w:t>
        </w:r>
        <w:r w:rsidR="00056825">
          <w:rPr>
            <w:noProof/>
            <w:webHidden/>
          </w:rPr>
          <w:tab/>
        </w:r>
        <w:r w:rsidR="00056825">
          <w:rPr>
            <w:noProof/>
            <w:webHidden/>
          </w:rPr>
          <w:fldChar w:fldCharType="begin"/>
        </w:r>
        <w:r w:rsidR="00056825">
          <w:rPr>
            <w:noProof/>
            <w:webHidden/>
          </w:rPr>
          <w:instrText xml:space="preserve"> PAGEREF _Toc174080714 \h </w:instrText>
        </w:r>
        <w:r w:rsidR="00056825">
          <w:rPr>
            <w:noProof/>
            <w:webHidden/>
          </w:rPr>
        </w:r>
        <w:r w:rsidR="00056825">
          <w:rPr>
            <w:noProof/>
            <w:webHidden/>
          </w:rPr>
          <w:fldChar w:fldCharType="separate"/>
        </w:r>
        <w:r>
          <w:rPr>
            <w:noProof/>
            <w:webHidden/>
          </w:rPr>
          <w:t>163</w:t>
        </w:r>
        <w:r w:rsidR="00056825">
          <w:rPr>
            <w:noProof/>
            <w:webHidden/>
          </w:rPr>
          <w:fldChar w:fldCharType="end"/>
        </w:r>
      </w:hyperlink>
    </w:p>
    <w:p w14:paraId="6C51D8E8" w14:textId="256681A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5" w:history="1">
        <w:r w:rsidR="00056825" w:rsidRPr="001D643E">
          <w:rPr>
            <w:rStyle w:val="Hypertextovodkaz"/>
            <w:noProof/>
          </w:rPr>
          <w:t>Graf 110: NS – vyřizování trestní dovolací agendy v letech 2015–2023</w:t>
        </w:r>
        <w:r w:rsidR="00056825">
          <w:rPr>
            <w:noProof/>
            <w:webHidden/>
          </w:rPr>
          <w:tab/>
        </w:r>
        <w:r w:rsidR="00056825">
          <w:rPr>
            <w:noProof/>
            <w:webHidden/>
          </w:rPr>
          <w:fldChar w:fldCharType="begin"/>
        </w:r>
        <w:r w:rsidR="00056825">
          <w:rPr>
            <w:noProof/>
            <w:webHidden/>
          </w:rPr>
          <w:instrText xml:space="preserve"> PAGEREF _Toc174080715 \h </w:instrText>
        </w:r>
        <w:r w:rsidR="00056825">
          <w:rPr>
            <w:noProof/>
            <w:webHidden/>
          </w:rPr>
        </w:r>
        <w:r w:rsidR="00056825">
          <w:rPr>
            <w:noProof/>
            <w:webHidden/>
          </w:rPr>
          <w:fldChar w:fldCharType="separate"/>
        </w:r>
        <w:r>
          <w:rPr>
            <w:noProof/>
            <w:webHidden/>
          </w:rPr>
          <w:t>164</w:t>
        </w:r>
        <w:r w:rsidR="00056825">
          <w:rPr>
            <w:noProof/>
            <w:webHidden/>
          </w:rPr>
          <w:fldChar w:fldCharType="end"/>
        </w:r>
      </w:hyperlink>
    </w:p>
    <w:p w14:paraId="1AFB3E0F" w14:textId="61BB90F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6" w:history="1">
        <w:r w:rsidR="00056825" w:rsidRPr="001D643E">
          <w:rPr>
            <w:rStyle w:val="Hypertextovodkaz"/>
            <w:noProof/>
          </w:rPr>
          <w:t>Graf 111: NS – vyřizování stížností pro porušení zákona v letech 2014–2023</w:t>
        </w:r>
        <w:r w:rsidR="00056825">
          <w:rPr>
            <w:noProof/>
            <w:webHidden/>
          </w:rPr>
          <w:tab/>
        </w:r>
        <w:r w:rsidR="00056825">
          <w:rPr>
            <w:noProof/>
            <w:webHidden/>
          </w:rPr>
          <w:fldChar w:fldCharType="begin"/>
        </w:r>
        <w:r w:rsidR="00056825">
          <w:rPr>
            <w:noProof/>
            <w:webHidden/>
          </w:rPr>
          <w:instrText xml:space="preserve"> PAGEREF _Toc174080716 \h </w:instrText>
        </w:r>
        <w:r w:rsidR="00056825">
          <w:rPr>
            <w:noProof/>
            <w:webHidden/>
          </w:rPr>
        </w:r>
        <w:r w:rsidR="00056825">
          <w:rPr>
            <w:noProof/>
            <w:webHidden/>
          </w:rPr>
          <w:fldChar w:fldCharType="separate"/>
        </w:r>
        <w:r>
          <w:rPr>
            <w:noProof/>
            <w:webHidden/>
          </w:rPr>
          <w:t>165</w:t>
        </w:r>
        <w:r w:rsidR="00056825">
          <w:rPr>
            <w:noProof/>
            <w:webHidden/>
          </w:rPr>
          <w:fldChar w:fldCharType="end"/>
        </w:r>
      </w:hyperlink>
    </w:p>
    <w:p w14:paraId="33889001" w14:textId="5199863C"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7" w:history="1">
        <w:r w:rsidR="00056825" w:rsidRPr="001D643E">
          <w:rPr>
            <w:rStyle w:val="Hypertextovodkaz"/>
            <w:noProof/>
          </w:rPr>
          <w:t>Graf 112: NS – vyřizování insolvenční dovolací agendy v letech 2014–2023</w:t>
        </w:r>
        <w:r w:rsidR="00056825">
          <w:rPr>
            <w:noProof/>
            <w:webHidden/>
          </w:rPr>
          <w:tab/>
        </w:r>
        <w:r w:rsidR="00056825">
          <w:rPr>
            <w:noProof/>
            <w:webHidden/>
          </w:rPr>
          <w:fldChar w:fldCharType="begin"/>
        </w:r>
        <w:r w:rsidR="00056825">
          <w:rPr>
            <w:noProof/>
            <w:webHidden/>
          </w:rPr>
          <w:instrText xml:space="preserve"> PAGEREF _Toc174080717 \h </w:instrText>
        </w:r>
        <w:r w:rsidR="00056825">
          <w:rPr>
            <w:noProof/>
            <w:webHidden/>
          </w:rPr>
        </w:r>
        <w:r w:rsidR="00056825">
          <w:rPr>
            <w:noProof/>
            <w:webHidden/>
          </w:rPr>
          <w:fldChar w:fldCharType="separate"/>
        </w:r>
        <w:r>
          <w:rPr>
            <w:noProof/>
            <w:webHidden/>
          </w:rPr>
          <w:t>166</w:t>
        </w:r>
        <w:r w:rsidR="00056825">
          <w:rPr>
            <w:noProof/>
            <w:webHidden/>
          </w:rPr>
          <w:fldChar w:fldCharType="end"/>
        </w:r>
      </w:hyperlink>
    </w:p>
    <w:p w14:paraId="190945F1" w14:textId="4902EBB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8" w:history="1">
        <w:r w:rsidR="00056825" w:rsidRPr="001D643E">
          <w:rPr>
            <w:rStyle w:val="Hypertextovodkaz"/>
            <w:noProof/>
          </w:rPr>
          <w:t>Graf 113: NSS – počet soudců v letech 2014–2023</w:t>
        </w:r>
        <w:r w:rsidR="00056825">
          <w:rPr>
            <w:noProof/>
            <w:webHidden/>
          </w:rPr>
          <w:tab/>
        </w:r>
        <w:r w:rsidR="00056825">
          <w:rPr>
            <w:noProof/>
            <w:webHidden/>
          </w:rPr>
          <w:fldChar w:fldCharType="begin"/>
        </w:r>
        <w:r w:rsidR="00056825">
          <w:rPr>
            <w:noProof/>
            <w:webHidden/>
          </w:rPr>
          <w:instrText xml:space="preserve"> PAGEREF _Toc174080718 \h </w:instrText>
        </w:r>
        <w:r w:rsidR="00056825">
          <w:rPr>
            <w:noProof/>
            <w:webHidden/>
          </w:rPr>
        </w:r>
        <w:r w:rsidR="00056825">
          <w:rPr>
            <w:noProof/>
            <w:webHidden/>
          </w:rPr>
          <w:fldChar w:fldCharType="separate"/>
        </w:r>
        <w:r>
          <w:rPr>
            <w:noProof/>
            <w:webHidden/>
          </w:rPr>
          <w:t>167</w:t>
        </w:r>
        <w:r w:rsidR="00056825">
          <w:rPr>
            <w:noProof/>
            <w:webHidden/>
          </w:rPr>
          <w:fldChar w:fldCharType="end"/>
        </w:r>
      </w:hyperlink>
    </w:p>
    <w:p w14:paraId="13CCDE48" w14:textId="6DE24F6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19" w:history="1">
        <w:r w:rsidR="00056825" w:rsidRPr="001D643E">
          <w:rPr>
            <w:rStyle w:val="Hypertextovodkaz"/>
            <w:noProof/>
          </w:rPr>
          <w:t>Graf 114: NSS – evidenční počet soudců dle pohlaví v letech 2014–2023</w:t>
        </w:r>
        <w:r w:rsidR="00056825">
          <w:rPr>
            <w:noProof/>
            <w:webHidden/>
          </w:rPr>
          <w:tab/>
        </w:r>
        <w:r w:rsidR="00056825">
          <w:rPr>
            <w:noProof/>
            <w:webHidden/>
          </w:rPr>
          <w:fldChar w:fldCharType="begin"/>
        </w:r>
        <w:r w:rsidR="00056825">
          <w:rPr>
            <w:noProof/>
            <w:webHidden/>
          </w:rPr>
          <w:instrText xml:space="preserve"> PAGEREF _Toc174080719 \h </w:instrText>
        </w:r>
        <w:r w:rsidR="00056825">
          <w:rPr>
            <w:noProof/>
            <w:webHidden/>
          </w:rPr>
        </w:r>
        <w:r w:rsidR="00056825">
          <w:rPr>
            <w:noProof/>
            <w:webHidden/>
          </w:rPr>
          <w:fldChar w:fldCharType="separate"/>
        </w:r>
        <w:r>
          <w:rPr>
            <w:noProof/>
            <w:webHidden/>
          </w:rPr>
          <w:t>168</w:t>
        </w:r>
        <w:r w:rsidR="00056825">
          <w:rPr>
            <w:noProof/>
            <w:webHidden/>
          </w:rPr>
          <w:fldChar w:fldCharType="end"/>
        </w:r>
      </w:hyperlink>
    </w:p>
    <w:p w14:paraId="35783EAF" w14:textId="66F07E3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0" w:history="1">
        <w:r w:rsidR="00056825" w:rsidRPr="001D643E">
          <w:rPr>
            <w:rStyle w:val="Hypertextovodkaz"/>
            <w:noProof/>
          </w:rPr>
          <w:t>Graf 115: NSS – věková struktura soudců v letech 2008</w:t>
        </w:r>
        <w:r w:rsidR="00056825" w:rsidRPr="001D643E">
          <w:rPr>
            <w:rStyle w:val="Hypertextovodkaz"/>
            <w:noProof/>
          </w:rPr>
          <w:sym w:font="Symbol" w:char="F02D"/>
        </w:r>
        <w:r w:rsidR="00056825" w:rsidRPr="001D643E">
          <w:rPr>
            <w:rStyle w:val="Hypertextovodkaz"/>
            <w:noProof/>
          </w:rPr>
          <w:t>2023</w:t>
        </w:r>
        <w:r w:rsidR="00056825">
          <w:rPr>
            <w:noProof/>
            <w:webHidden/>
          </w:rPr>
          <w:tab/>
        </w:r>
        <w:r w:rsidR="00056825">
          <w:rPr>
            <w:noProof/>
            <w:webHidden/>
          </w:rPr>
          <w:fldChar w:fldCharType="begin"/>
        </w:r>
        <w:r w:rsidR="00056825">
          <w:rPr>
            <w:noProof/>
            <w:webHidden/>
          </w:rPr>
          <w:instrText xml:space="preserve"> PAGEREF _Toc174080720 \h </w:instrText>
        </w:r>
        <w:r w:rsidR="00056825">
          <w:rPr>
            <w:noProof/>
            <w:webHidden/>
          </w:rPr>
        </w:r>
        <w:r w:rsidR="00056825">
          <w:rPr>
            <w:noProof/>
            <w:webHidden/>
          </w:rPr>
          <w:fldChar w:fldCharType="separate"/>
        </w:r>
        <w:r>
          <w:rPr>
            <w:noProof/>
            <w:webHidden/>
          </w:rPr>
          <w:t>169</w:t>
        </w:r>
        <w:r w:rsidR="00056825">
          <w:rPr>
            <w:noProof/>
            <w:webHidden/>
          </w:rPr>
          <w:fldChar w:fldCharType="end"/>
        </w:r>
      </w:hyperlink>
    </w:p>
    <w:p w14:paraId="610980D6" w14:textId="5CBCA40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1" w:history="1">
        <w:r w:rsidR="00056825" w:rsidRPr="001D643E">
          <w:rPr>
            <w:rStyle w:val="Hypertextovodkaz"/>
            <w:noProof/>
          </w:rPr>
          <w:t>Graf 116: NSS – vyřizování kasačních věcí v letech 2014–2023</w:t>
        </w:r>
        <w:r w:rsidR="00056825">
          <w:rPr>
            <w:noProof/>
            <w:webHidden/>
          </w:rPr>
          <w:tab/>
        </w:r>
        <w:r w:rsidR="00056825">
          <w:rPr>
            <w:noProof/>
            <w:webHidden/>
          </w:rPr>
          <w:fldChar w:fldCharType="begin"/>
        </w:r>
        <w:r w:rsidR="00056825">
          <w:rPr>
            <w:noProof/>
            <w:webHidden/>
          </w:rPr>
          <w:instrText xml:space="preserve"> PAGEREF _Toc174080721 \h </w:instrText>
        </w:r>
        <w:r w:rsidR="00056825">
          <w:rPr>
            <w:noProof/>
            <w:webHidden/>
          </w:rPr>
        </w:r>
        <w:r w:rsidR="00056825">
          <w:rPr>
            <w:noProof/>
            <w:webHidden/>
          </w:rPr>
          <w:fldChar w:fldCharType="separate"/>
        </w:r>
        <w:r>
          <w:rPr>
            <w:noProof/>
            <w:webHidden/>
          </w:rPr>
          <w:t>170</w:t>
        </w:r>
        <w:r w:rsidR="00056825">
          <w:rPr>
            <w:noProof/>
            <w:webHidden/>
          </w:rPr>
          <w:fldChar w:fldCharType="end"/>
        </w:r>
      </w:hyperlink>
    </w:p>
    <w:p w14:paraId="44A07399" w14:textId="48AB583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2" w:history="1">
        <w:r w:rsidR="00056825" w:rsidRPr="001D643E">
          <w:rPr>
            <w:rStyle w:val="Hypertextovodkaz"/>
            <w:noProof/>
          </w:rPr>
          <w:t>Graf 117: NSS – vyřizování řízení ve věcech soudců v letech 2014–2023</w:t>
        </w:r>
        <w:r w:rsidR="00056825">
          <w:rPr>
            <w:noProof/>
            <w:webHidden/>
          </w:rPr>
          <w:tab/>
        </w:r>
        <w:r w:rsidR="00056825">
          <w:rPr>
            <w:noProof/>
            <w:webHidden/>
          </w:rPr>
          <w:fldChar w:fldCharType="begin"/>
        </w:r>
        <w:r w:rsidR="00056825">
          <w:rPr>
            <w:noProof/>
            <w:webHidden/>
          </w:rPr>
          <w:instrText xml:space="preserve"> PAGEREF _Toc174080722 \h </w:instrText>
        </w:r>
        <w:r w:rsidR="00056825">
          <w:rPr>
            <w:noProof/>
            <w:webHidden/>
          </w:rPr>
        </w:r>
        <w:r w:rsidR="00056825">
          <w:rPr>
            <w:noProof/>
            <w:webHidden/>
          </w:rPr>
          <w:fldChar w:fldCharType="separate"/>
        </w:r>
        <w:r>
          <w:rPr>
            <w:noProof/>
            <w:webHidden/>
          </w:rPr>
          <w:t>171</w:t>
        </w:r>
        <w:r w:rsidR="00056825">
          <w:rPr>
            <w:noProof/>
            <w:webHidden/>
          </w:rPr>
          <w:fldChar w:fldCharType="end"/>
        </w:r>
      </w:hyperlink>
    </w:p>
    <w:p w14:paraId="5A7F96F6" w14:textId="04B4B36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3" w:history="1">
        <w:r w:rsidR="00056825" w:rsidRPr="001D643E">
          <w:rPr>
            <w:rStyle w:val="Hypertextovodkaz"/>
            <w:noProof/>
          </w:rPr>
          <w:t>Graf 118: NSS – výsledky řízení ve věcech soudců v letech 2014–2023</w:t>
        </w:r>
        <w:r w:rsidR="00056825">
          <w:rPr>
            <w:noProof/>
            <w:webHidden/>
          </w:rPr>
          <w:tab/>
        </w:r>
        <w:r w:rsidR="00056825">
          <w:rPr>
            <w:noProof/>
            <w:webHidden/>
          </w:rPr>
          <w:fldChar w:fldCharType="begin"/>
        </w:r>
        <w:r w:rsidR="00056825">
          <w:rPr>
            <w:noProof/>
            <w:webHidden/>
          </w:rPr>
          <w:instrText xml:space="preserve"> PAGEREF _Toc174080723 \h </w:instrText>
        </w:r>
        <w:r w:rsidR="00056825">
          <w:rPr>
            <w:noProof/>
            <w:webHidden/>
          </w:rPr>
        </w:r>
        <w:r w:rsidR="00056825">
          <w:rPr>
            <w:noProof/>
            <w:webHidden/>
          </w:rPr>
          <w:fldChar w:fldCharType="separate"/>
        </w:r>
        <w:r>
          <w:rPr>
            <w:noProof/>
            <w:webHidden/>
          </w:rPr>
          <w:t>172</w:t>
        </w:r>
        <w:r w:rsidR="00056825">
          <w:rPr>
            <w:noProof/>
            <w:webHidden/>
          </w:rPr>
          <w:fldChar w:fldCharType="end"/>
        </w:r>
      </w:hyperlink>
    </w:p>
    <w:p w14:paraId="6BCF4829" w14:textId="5F151F2C"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4" w:history="1">
        <w:r w:rsidR="00056825" w:rsidRPr="001D643E">
          <w:rPr>
            <w:rStyle w:val="Hypertextovodkaz"/>
            <w:noProof/>
          </w:rPr>
          <w:t>Graf 119: Počet soudců připadající na 100.000 obyvatel v zemích EU, 2021</w:t>
        </w:r>
        <w:r w:rsidR="00056825">
          <w:rPr>
            <w:noProof/>
            <w:webHidden/>
          </w:rPr>
          <w:tab/>
        </w:r>
        <w:r w:rsidR="00056825">
          <w:rPr>
            <w:noProof/>
            <w:webHidden/>
          </w:rPr>
          <w:fldChar w:fldCharType="begin"/>
        </w:r>
        <w:r w:rsidR="00056825">
          <w:rPr>
            <w:noProof/>
            <w:webHidden/>
          </w:rPr>
          <w:instrText xml:space="preserve"> PAGEREF _Toc174080724 \h </w:instrText>
        </w:r>
        <w:r w:rsidR="00056825">
          <w:rPr>
            <w:noProof/>
            <w:webHidden/>
          </w:rPr>
        </w:r>
        <w:r w:rsidR="00056825">
          <w:rPr>
            <w:noProof/>
            <w:webHidden/>
          </w:rPr>
          <w:fldChar w:fldCharType="separate"/>
        </w:r>
        <w:r>
          <w:rPr>
            <w:noProof/>
            <w:webHidden/>
          </w:rPr>
          <w:t>173</w:t>
        </w:r>
        <w:r w:rsidR="00056825">
          <w:rPr>
            <w:noProof/>
            <w:webHidden/>
          </w:rPr>
          <w:fldChar w:fldCharType="end"/>
        </w:r>
      </w:hyperlink>
    </w:p>
    <w:p w14:paraId="0A104336" w14:textId="5E93547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5" w:history="1">
        <w:r w:rsidR="00056825" w:rsidRPr="001D643E">
          <w:rPr>
            <w:rStyle w:val="Hypertextovodkaz"/>
            <w:noProof/>
          </w:rPr>
          <w:t>Graf 120: Počet advokátů na 100 000 obyvatel v zemích EU, % změna 2021 vs. 2010</w:t>
        </w:r>
        <w:r w:rsidR="00056825">
          <w:rPr>
            <w:noProof/>
            <w:webHidden/>
          </w:rPr>
          <w:tab/>
        </w:r>
        <w:r w:rsidR="00056825">
          <w:rPr>
            <w:noProof/>
            <w:webHidden/>
          </w:rPr>
          <w:fldChar w:fldCharType="begin"/>
        </w:r>
        <w:r w:rsidR="00056825">
          <w:rPr>
            <w:noProof/>
            <w:webHidden/>
          </w:rPr>
          <w:instrText xml:space="preserve"> PAGEREF _Toc174080725 \h </w:instrText>
        </w:r>
        <w:r w:rsidR="00056825">
          <w:rPr>
            <w:noProof/>
            <w:webHidden/>
          </w:rPr>
        </w:r>
        <w:r w:rsidR="00056825">
          <w:rPr>
            <w:noProof/>
            <w:webHidden/>
          </w:rPr>
          <w:fldChar w:fldCharType="separate"/>
        </w:r>
        <w:r>
          <w:rPr>
            <w:noProof/>
            <w:webHidden/>
          </w:rPr>
          <w:t>174</w:t>
        </w:r>
        <w:r w:rsidR="00056825">
          <w:rPr>
            <w:noProof/>
            <w:webHidden/>
          </w:rPr>
          <w:fldChar w:fldCharType="end"/>
        </w:r>
      </w:hyperlink>
    </w:p>
    <w:p w14:paraId="2CEF1AE7" w14:textId="45BE422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6" w:history="1">
        <w:r w:rsidR="00056825" w:rsidRPr="001D643E">
          <w:rPr>
            <w:rStyle w:val="Hypertextovodkaz"/>
            <w:noProof/>
          </w:rPr>
          <w:t>Graf 121: Vnímaná nezávislost soudů a soudců v zemích EU celkem (*), 2023</w:t>
        </w:r>
        <w:r w:rsidR="00056825">
          <w:rPr>
            <w:noProof/>
            <w:webHidden/>
          </w:rPr>
          <w:tab/>
        </w:r>
        <w:r w:rsidR="00056825">
          <w:rPr>
            <w:noProof/>
            <w:webHidden/>
          </w:rPr>
          <w:fldChar w:fldCharType="begin"/>
        </w:r>
        <w:r w:rsidR="00056825">
          <w:rPr>
            <w:noProof/>
            <w:webHidden/>
          </w:rPr>
          <w:instrText xml:space="preserve"> PAGEREF _Toc174080726 \h </w:instrText>
        </w:r>
        <w:r w:rsidR="00056825">
          <w:rPr>
            <w:noProof/>
            <w:webHidden/>
          </w:rPr>
        </w:r>
        <w:r w:rsidR="00056825">
          <w:rPr>
            <w:noProof/>
            <w:webHidden/>
          </w:rPr>
          <w:fldChar w:fldCharType="separate"/>
        </w:r>
        <w:r>
          <w:rPr>
            <w:noProof/>
            <w:webHidden/>
          </w:rPr>
          <w:t>175</w:t>
        </w:r>
        <w:r w:rsidR="00056825">
          <w:rPr>
            <w:noProof/>
            <w:webHidden/>
          </w:rPr>
          <w:fldChar w:fldCharType="end"/>
        </w:r>
      </w:hyperlink>
    </w:p>
    <w:p w14:paraId="6BE7D0CE" w14:textId="609D5FA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7" w:history="1">
        <w:r w:rsidR="00056825" w:rsidRPr="001D643E">
          <w:rPr>
            <w:rStyle w:val="Hypertextovodkaz"/>
            <w:noProof/>
          </w:rPr>
          <w:t>Graf 122: Vnímaná nezávislost soudů a soudců v zemích EU (*), 2023</w:t>
        </w:r>
        <w:r w:rsidR="00056825">
          <w:rPr>
            <w:noProof/>
            <w:webHidden/>
          </w:rPr>
          <w:tab/>
        </w:r>
        <w:r w:rsidR="00056825">
          <w:rPr>
            <w:noProof/>
            <w:webHidden/>
          </w:rPr>
          <w:fldChar w:fldCharType="begin"/>
        </w:r>
        <w:r w:rsidR="00056825">
          <w:rPr>
            <w:noProof/>
            <w:webHidden/>
          </w:rPr>
          <w:instrText xml:space="preserve"> PAGEREF _Toc174080727 \h </w:instrText>
        </w:r>
        <w:r w:rsidR="00056825">
          <w:rPr>
            <w:noProof/>
            <w:webHidden/>
          </w:rPr>
        </w:r>
        <w:r w:rsidR="00056825">
          <w:rPr>
            <w:noProof/>
            <w:webHidden/>
          </w:rPr>
          <w:fldChar w:fldCharType="separate"/>
        </w:r>
        <w:r>
          <w:rPr>
            <w:noProof/>
            <w:webHidden/>
          </w:rPr>
          <w:t>176</w:t>
        </w:r>
        <w:r w:rsidR="00056825">
          <w:rPr>
            <w:noProof/>
            <w:webHidden/>
          </w:rPr>
          <w:fldChar w:fldCharType="end"/>
        </w:r>
      </w:hyperlink>
    </w:p>
    <w:p w14:paraId="37425437" w14:textId="19980F1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8" w:history="1">
        <w:r w:rsidR="00056825" w:rsidRPr="001D643E">
          <w:rPr>
            <w:rStyle w:val="Hypertextovodkaz"/>
            <w:noProof/>
          </w:rPr>
          <w:t>Graf 123: EU – disposition time sporných obč. a obch. věcí v zemích EU (kal. dny), 2021 (*)</w:t>
        </w:r>
        <w:r w:rsidR="00056825">
          <w:rPr>
            <w:noProof/>
            <w:webHidden/>
          </w:rPr>
          <w:tab/>
        </w:r>
        <w:r w:rsidR="00056825">
          <w:rPr>
            <w:noProof/>
            <w:webHidden/>
          </w:rPr>
          <w:fldChar w:fldCharType="begin"/>
        </w:r>
        <w:r w:rsidR="00056825">
          <w:rPr>
            <w:noProof/>
            <w:webHidden/>
          </w:rPr>
          <w:instrText xml:space="preserve"> PAGEREF _Toc174080728 \h </w:instrText>
        </w:r>
        <w:r w:rsidR="00056825">
          <w:rPr>
            <w:noProof/>
            <w:webHidden/>
          </w:rPr>
        </w:r>
        <w:r w:rsidR="00056825">
          <w:rPr>
            <w:noProof/>
            <w:webHidden/>
          </w:rPr>
          <w:fldChar w:fldCharType="separate"/>
        </w:r>
        <w:r>
          <w:rPr>
            <w:noProof/>
            <w:webHidden/>
          </w:rPr>
          <w:t>178</w:t>
        </w:r>
        <w:r w:rsidR="00056825">
          <w:rPr>
            <w:noProof/>
            <w:webHidden/>
          </w:rPr>
          <w:fldChar w:fldCharType="end"/>
        </w:r>
      </w:hyperlink>
    </w:p>
    <w:p w14:paraId="06A592AF" w14:textId="62D05EC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29" w:history="1">
        <w:r w:rsidR="00056825" w:rsidRPr="001D643E">
          <w:rPr>
            <w:rStyle w:val="Hypertextovodkaz"/>
            <w:noProof/>
          </w:rPr>
          <w:t>Graf 124: Počet nevyřízených sporných obč. a obch. věcí na 100 obyvatel, země EU, soudy 1. stupně (*)</w:t>
        </w:r>
        <w:r w:rsidR="00056825">
          <w:rPr>
            <w:noProof/>
            <w:webHidden/>
          </w:rPr>
          <w:tab/>
        </w:r>
        <w:r w:rsidR="00056825">
          <w:rPr>
            <w:noProof/>
            <w:webHidden/>
          </w:rPr>
          <w:fldChar w:fldCharType="begin"/>
        </w:r>
        <w:r w:rsidR="00056825">
          <w:rPr>
            <w:noProof/>
            <w:webHidden/>
          </w:rPr>
          <w:instrText xml:space="preserve"> PAGEREF _Toc174080729 \h </w:instrText>
        </w:r>
        <w:r w:rsidR="00056825">
          <w:rPr>
            <w:noProof/>
            <w:webHidden/>
          </w:rPr>
        </w:r>
        <w:r w:rsidR="00056825">
          <w:rPr>
            <w:noProof/>
            <w:webHidden/>
          </w:rPr>
          <w:fldChar w:fldCharType="separate"/>
        </w:r>
        <w:r>
          <w:rPr>
            <w:noProof/>
            <w:webHidden/>
          </w:rPr>
          <w:t>178</w:t>
        </w:r>
        <w:r w:rsidR="00056825">
          <w:rPr>
            <w:noProof/>
            <w:webHidden/>
          </w:rPr>
          <w:fldChar w:fldCharType="end"/>
        </w:r>
      </w:hyperlink>
    </w:p>
    <w:p w14:paraId="18F8E8BE" w14:textId="390772B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0" w:history="1">
        <w:r w:rsidR="00056825" w:rsidRPr="001D643E">
          <w:rPr>
            <w:rStyle w:val="Hypertextovodkaz"/>
            <w:noProof/>
          </w:rPr>
          <w:t>Graf 125: Hlavní zločinecké struktury obchodníků s lidmi, globální data 2012–2020</w:t>
        </w:r>
        <w:r w:rsidR="00056825">
          <w:rPr>
            <w:noProof/>
            <w:webHidden/>
          </w:rPr>
          <w:tab/>
        </w:r>
        <w:r w:rsidR="00056825">
          <w:rPr>
            <w:noProof/>
            <w:webHidden/>
          </w:rPr>
          <w:fldChar w:fldCharType="begin"/>
        </w:r>
        <w:r w:rsidR="00056825">
          <w:rPr>
            <w:noProof/>
            <w:webHidden/>
          </w:rPr>
          <w:instrText xml:space="preserve"> PAGEREF _Toc174080730 \h </w:instrText>
        </w:r>
        <w:r w:rsidR="00056825">
          <w:rPr>
            <w:noProof/>
            <w:webHidden/>
          </w:rPr>
        </w:r>
        <w:r w:rsidR="00056825">
          <w:rPr>
            <w:noProof/>
            <w:webHidden/>
          </w:rPr>
          <w:fldChar w:fldCharType="separate"/>
        </w:r>
        <w:r>
          <w:rPr>
            <w:noProof/>
            <w:webHidden/>
          </w:rPr>
          <w:t>180</w:t>
        </w:r>
        <w:r w:rsidR="00056825">
          <w:rPr>
            <w:noProof/>
            <w:webHidden/>
          </w:rPr>
          <w:fldChar w:fldCharType="end"/>
        </w:r>
      </w:hyperlink>
    </w:p>
    <w:p w14:paraId="20057819" w14:textId="41B63F8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1" w:history="1">
        <w:r w:rsidR="00056825" w:rsidRPr="001D643E">
          <w:rPr>
            <w:rStyle w:val="Hypertextovodkaz"/>
            <w:noProof/>
          </w:rPr>
          <w:t>Graf 126: Průměrné počty osob a průměrná délka na trestní věc, globální data 2012–2020 *</w:t>
        </w:r>
        <w:r w:rsidR="00056825">
          <w:rPr>
            <w:noProof/>
            <w:webHidden/>
          </w:rPr>
          <w:tab/>
        </w:r>
        <w:r w:rsidR="00056825">
          <w:rPr>
            <w:noProof/>
            <w:webHidden/>
          </w:rPr>
          <w:fldChar w:fldCharType="begin"/>
        </w:r>
        <w:r w:rsidR="00056825">
          <w:rPr>
            <w:noProof/>
            <w:webHidden/>
          </w:rPr>
          <w:instrText xml:space="preserve"> PAGEREF _Toc174080731 \h </w:instrText>
        </w:r>
        <w:r w:rsidR="00056825">
          <w:rPr>
            <w:noProof/>
            <w:webHidden/>
          </w:rPr>
        </w:r>
        <w:r w:rsidR="00056825">
          <w:rPr>
            <w:noProof/>
            <w:webHidden/>
          </w:rPr>
          <w:fldChar w:fldCharType="separate"/>
        </w:r>
        <w:r>
          <w:rPr>
            <w:noProof/>
            <w:webHidden/>
          </w:rPr>
          <w:t>181</w:t>
        </w:r>
        <w:r w:rsidR="00056825">
          <w:rPr>
            <w:noProof/>
            <w:webHidden/>
          </w:rPr>
          <w:fldChar w:fldCharType="end"/>
        </w:r>
      </w:hyperlink>
    </w:p>
    <w:p w14:paraId="0CDD1DF8" w14:textId="19EC9AB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2" w:history="1">
        <w:r w:rsidR="00056825" w:rsidRPr="001D643E">
          <w:rPr>
            <w:rStyle w:val="Hypertextovodkaz"/>
            <w:noProof/>
          </w:rPr>
          <w:t>Graf 127: Obchodníci s lidmi dle pohlaví a věku, globální data 2020 *</w:t>
        </w:r>
        <w:r w:rsidR="00056825">
          <w:rPr>
            <w:noProof/>
            <w:webHidden/>
          </w:rPr>
          <w:tab/>
        </w:r>
        <w:r w:rsidR="00056825">
          <w:rPr>
            <w:noProof/>
            <w:webHidden/>
          </w:rPr>
          <w:fldChar w:fldCharType="begin"/>
        </w:r>
        <w:r w:rsidR="00056825">
          <w:rPr>
            <w:noProof/>
            <w:webHidden/>
          </w:rPr>
          <w:instrText xml:space="preserve"> PAGEREF _Toc174080732 \h </w:instrText>
        </w:r>
        <w:r w:rsidR="00056825">
          <w:rPr>
            <w:noProof/>
            <w:webHidden/>
          </w:rPr>
        </w:r>
        <w:r w:rsidR="00056825">
          <w:rPr>
            <w:noProof/>
            <w:webHidden/>
          </w:rPr>
          <w:fldChar w:fldCharType="separate"/>
        </w:r>
        <w:r>
          <w:rPr>
            <w:noProof/>
            <w:webHidden/>
          </w:rPr>
          <w:t>181</w:t>
        </w:r>
        <w:r w:rsidR="00056825">
          <w:rPr>
            <w:noProof/>
            <w:webHidden/>
          </w:rPr>
          <w:fldChar w:fldCharType="end"/>
        </w:r>
      </w:hyperlink>
    </w:p>
    <w:p w14:paraId="19D36021" w14:textId="719F4EA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3" w:history="1">
        <w:r w:rsidR="00056825" w:rsidRPr="001D643E">
          <w:rPr>
            <w:rStyle w:val="Hypertextovodkaz"/>
            <w:noProof/>
          </w:rPr>
          <w:t>Graf 128: Obchodníci s lidmi dle pohlaví a věku, globální data 2020</w:t>
        </w:r>
        <w:r w:rsidR="00056825">
          <w:rPr>
            <w:noProof/>
            <w:webHidden/>
          </w:rPr>
          <w:tab/>
        </w:r>
        <w:r w:rsidR="00056825">
          <w:rPr>
            <w:noProof/>
            <w:webHidden/>
          </w:rPr>
          <w:fldChar w:fldCharType="begin"/>
        </w:r>
        <w:r w:rsidR="00056825">
          <w:rPr>
            <w:noProof/>
            <w:webHidden/>
          </w:rPr>
          <w:instrText xml:space="preserve"> PAGEREF _Toc174080733 \h </w:instrText>
        </w:r>
        <w:r w:rsidR="00056825">
          <w:rPr>
            <w:noProof/>
            <w:webHidden/>
          </w:rPr>
        </w:r>
        <w:r w:rsidR="00056825">
          <w:rPr>
            <w:noProof/>
            <w:webHidden/>
          </w:rPr>
          <w:fldChar w:fldCharType="separate"/>
        </w:r>
        <w:r>
          <w:rPr>
            <w:noProof/>
            <w:webHidden/>
          </w:rPr>
          <w:t>182</w:t>
        </w:r>
        <w:r w:rsidR="00056825">
          <w:rPr>
            <w:noProof/>
            <w:webHidden/>
          </w:rPr>
          <w:fldChar w:fldCharType="end"/>
        </w:r>
      </w:hyperlink>
    </w:p>
    <w:p w14:paraId="5D1B8BD5" w14:textId="2CCBC40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4" w:history="1">
        <w:r w:rsidR="00056825" w:rsidRPr="001D643E">
          <w:rPr>
            <w:rStyle w:val="Hypertextovodkaz"/>
            <w:noProof/>
          </w:rPr>
          <w:t>Graf 129: Hlavní formy zneužívání identifikovaných obětí obchodování s lidmi podle regionů, globální data 2020</w:t>
        </w:r>
        <w:r w:rsidR="00056825">
          <w:rPr>
            <w:noProof/>
            <w:webHidden/>
          </w:rPr>
          <w:tab/>
        </w:r>
        <w:r w:rsidR="00056825">
          <w:rPr>
            <w:noProof/>
            <w:webHidden/>
          </w:rPr>
          <w:fldChar w:fldCharType="begin"/>
        </w:r>
        <w:r w:rsidR="00056825">
          <w:rPr>
            <w:noProof/>
            <w:webHidden/>
          </w:rPr>
          <w:instrText xml:space="preserve"> PAGEREF _Toc174080734 \h </w:instrText>
        </w:r>
        <w:r w:rsidR="00056825">
          <w:rPr>
            <w:noProof/>
            <w:webHidden/>
          </w:rPr>
        </w:r>
        <w:r w:rsidR="00056825">
          <w:rPr>
            <w:noProof/>
            <w:webHidden/>
          </w:rPr>
          <w:fldChar w:fldCharType="separate"/>
        </w:r>
        <w:r>
          <w:rPr>
            <w:noProof/>
            <w:webHidden/>
          </w:rPr>
          <w:t>183</w:t>
        </w:r>
        <w:r w:rsidR="00056825">
          <w:rPr>
            <w:noProof/>
            <w:webHidden/>
          </w:rPr>
          <w:fldChar w:fldCharType="end"/>
        </w:r>
      </w:hyperlink>
    </w:p>
    <w:p w14:paraId="04D04CEA" w14:textId="322BDA5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5" w:history="1">
        <w:r w:rsidR="00056825" w:rsidRPr="001D643E">
          <w:rPr>
            <w:rStyle w:val="Hypertextovodkaz"/>
            <w:noProof/>
          </w:rPr>
          <w:t>Graf 130: Hlavní formy zneužívání identifikovaných obětí obchodování s lidmi podle věkových skupin, globální data 2020</w:t>
        </w:r>
        <w:r w:rsidR="00056825">
          <w:rPr>
            <w:noProof/>
            <w:webHidden/>
          </w:rPr>
          <w:tab/>
        </w:r>
        <w:r w:rsidR="00056825">
          <w:rPr>
            <w:noProof/>
            <w:webHidden/>
          </w:rPr>
          <w:fldChar w:fldCharType="begin"/>
        </w:r>
        <w:r w:rsidR="00056825">
          <w:rPr>
            <w:noProof/>
            <w:webHidden/>
          </w:rPr>
          <w:instrText xml:space="preserve"> PAGEREF _Toc174080735 \h </w:instrText>
        </w:r>
        <w:r w:rsidR="00056825">
          <w:rPr>
            <w:noProof/>
            <w:webHidden/>
          </w:rPr>
        </w:r>
        <w:r w:rsidR="00056825">
          <w:rPr>
            <w:noProof/>
            <w:webHidden/>
          </w:rPr>
          <w:fldChar w:fldCharType="separate"/>
        </w:r>
        <w:r>
          <w:rPr>
            <w:noProof/>
            <w:webHidden/>
          </w:rPr>
          <w:t>183</w:t>
        </w:r>
        <w:r w:rsidR="00056825">
          <w:rPr>
            <w:noProof/>
            <w:webHidden/>
          </w:rPr>
          <w:fldChar w:fldCharType="end"/>
        </w:r>
      </w:hyperlink>
    </w:p>
    <w:p w14:paraId="46235B04" w14:textId="2F71275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6" w:history="1">
        <w:r w:rsidR="00056825" w:rsidRPr="001D643E">
          <w:rPr>
            <w:rStyle w:val="Hypertextovodkaz"/>
            <w:noProof/>
          </w:rPr>
          <w:t>Graf 131: Boj proti obchodování s lidmi – odsouzené osoby v zemích EU (absolutní počet)</w:t>
        </w:r>
        <w:r w:rsidR="00056825">
          <w:rPr>
            <w:noProof/>
            <w:webHidden/>
          </w:rPr>
          <w:tab/>
        </w:r>
        <w:r w:rsidR="00056825">
          <w:rPr>
            <w:noProof/>
            <w:webHidden/>
          </w:rPr>
          <w:fldChar w:fldCharType="begin"/>
        </w:r>
        <w:r w:rsidR="00056825">
          <w:rPr>
            <w:noProof/>
            <w:webHidden/>
          </w:rPr>
          <w:instrText xml:space="preserve"> PAGEREF _Toc174080736 \h </w:instrText>
        </w:r>
        <w:r w:rsidR="00056825">
          <w:rPr>
            <w:noProof/>
            <w:webHidden/>
          </w:rPr>
        </w:r>
        <w:r w:rsidR="00056825">
          <w:rPr>
            <w:noProof/>
            <w:webHidden/>
          </w:rPr>
          <w:fldChar w:fldCharType="separate"/>
        </w:r>
        <w:r>
          <w:rPr>
            <w:noProof/>
            <w:webHidden/>
          </w:rPr>
          <w:t>184</w:t>
        </w:r>
        <w:r w:rsidR="00056825">
          <w:rPr>
            <w:noProof/>
            <w:webHidden/>
          </w:rPr>
          <w:fldChar w:fldCharType="end"/>
        </w:r>
      </w:hyperlink>
    </w:p>
    <w:p w14:paraId="55677029" w14:textId="48ECF6F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7" w:history="1">
        <w:r w:rsidR="00056825" w:rsidRPr="001D643E">
          <w:rPr>
            <w:rStyle w:val="Hypertextovodkaz"/>
            <w:noProof/>
          </w:rPr>
          <w:t>Graf 132: Boj proti obchodování s lidmi – odsouzené osoby v zemích EU</w:t>
        </w:r>
        <w:r w:rsidR="00056825">
          <w:rPr>
            <w:noProof/>
            <w:webHidden/>
          </w:rPr>
          <w:tab/>
        </w:r>
        <w:r w:rsidR="00056825">
          <w:rPr>
            <w:noProof/>
            <w:webHidden/>
          </w:rPr>
          <w:fldChar w:fldCharType="begin"/>
        </w:r>
        <w:r w:rsidR="00056825">
          <w:rPr>
            <w:noProof/>
            <w:webHidden/>
          </w:rPr>
          <w:instrText xml:space="preserve"> PAGEREF _Toc174080737 \h </w:instrText>
        </w:r>
        <w:r w:rsidR="00056825">
          <w:rPr>
            <w:noProof/>
            <w:webHidden/>
          </w:rPr>
        </w:r>
        <w:r w:rsidR="00056825">
          <w:rPr>
            <w:noProof/>
            <w:webHidden/>
          </w:rPr>
          <w:fldChar w:fldCharType="separate"/>
        </w:r>
        <w:r>
          <w:rPr>
            <w:noProof/>
            <w:webHidden/>
          </w:rPr>
          <w:t>185</w:t>
        </w:r>
        <w:r w:rsidR="00056825">
          <w:rPr>
            <w:noProof/>
            <w:webHidden/>
          </w:rPr>
          <w:fldChar w:fldCharType="end"/>
        </w:r>
      </w:hyperlink>
    </w:p>
    <w:p w14:paraId="7C46A836" w14:textId="46CFE66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8" w:history="1">
        <w:r w:rsidR="00056825" w:rsidRPr="001D643E">
          <w:rPr>
            <w:rStyle w:val="Hypertextovodkaz"/>
            <w:noProof/>
          </w:rPr>
          <w:t>Graf 133: Boj proti obchodování s lidmi – identifikované oběti v zemích EU (absolutní počet)</w:t>
        </w:r>
        <w:r w:rsidR="00056825">
          <w:rPr>
            <w:noProof/>
            <w:webHidden/>
          </w:rPr>
          <w:tab/>
        </w:r>
        <w:r w:rsidR="00056825">
          <w:rPr>
            <w:noProof/>
            <w:webHidden/>
          </w:rPr>
          <w:fldChar w:fldCharType="begin"/>
        </w:r>
        <w:r w:rsidR="00056825">
          <w:rPr>
            <w:noProof/>
            <w:webHidden/>
          </w:rPr>
          <w:instrText xml:space="preserve"> PAGEREF _Toc174080738 \h </w:instrText>
        </w:r>
        <w:r w:rsidR="00056825">
          <w:rPr>
            <w:noProof/>
            <w:webHidden/>
          </w:rPr>
        </w:r>
        <w:r w:rsidR="00056825">
          <w:rPr>
            <w:noProof/>
            <w:webHidden/>
          </w:rPr>
          <w:fldChar w:fldCharType="separate"/>
        </w:r>
        <w:r>
          <w:rPr>
            <w:noProof/>
            <w:webHidden/>
          </w:rPr>
          <w:t>185</w:t>
        </w:r>
        <w:r w:rsidR="00056825">
          <w:rPr>
            <w:noProof/>
            <w:webHidden/>
          </w:rPr>
          <w:fldChar w:fldCharType="end"/>
        </w:r>
      </w:hyperlink>
    </w:p>
    <w:p w14:paraId="3DB01F38" w14:textId="483FADC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39" w:history="1">
        <w:r w:rsidR="00056825" w:rsidRPr="001D643E">
          <w:rPr>
            <w:rStyle w:val="Hypertextovodkaz"/>
            <w:noProof/>
          </w:rPr>
          <w:t>Graf 134: Boj proti obchodování s lidmi – formy vykořisťování EU 2008–2022</w:t>
        </w:r>
        <w:r w:rsidR="00056825">
          <w:rPr>
            <w:noProof/>
            <w:webHidden/>
          </w:rPr>
          <w:tab/>
        </w:r>
        <w:r w:rsidR="00056825">
          <w:rPr>
            <w:noProof/>
            <w:webHidden/>
          </w:rPr>
          <w:fldChar w:fldCharType="begin"/>
        </w:r>
        <w:r w:rsidR="00056825">
          <w:rPr>
            <w:noProof/>
            <w:webHidden/>
          </w:rPr>
          <w:instrText xml:space="preserve"> PAGEREF _Toc174080739 \h </w:instrText>
        </w:r>
        <w:r w:rsidR="00056825">
          <w:rPr>
            <w:noProof/>
            <w:webHidden/>
          </w:rPr>
        </w:r>
        <w:r w:rsidR="00056825">
          <w:rPr>
            <w:noProof/>
            <w:webHidden/>
          </w:rPr>
          <w:fldChar w:fldCharType="separate"/>
        </w:r>
        <w:r>
          <w:rPr>
            <w:noProof/>
            <w:webHidden/>
          </w:rPr>
          <w:t>186</w:t>
        </w:r>
        <w:r w:rsidR="00056825">
          <w:rPr>
            <w:noProof/>
            <w:webHidden/>
          </w:rPr>
          <w:fldChar w:fldCharType="end"/>
        </w:r>
      </w:hyperlink>
    </w:p>
    <w:p w14:paraId="28AA8E12" w14:textId="7C670A8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0" w:history="1">
        <w:r w:rsidR="00056825" w:rsidRPr="001D643E">
          <w:rPr>
            <w:rStyle w:val="Hypertextovodkaz"/>
            <w:noProof/>
          </w:rPr>
          <w:t>Graf 135: Boj proti obchodování s lidmi – identifikované oběti v zemích EU</w:t>
        </w:r>
        <w:r w:rsidR="00056825">
          <w:rPr>
            <w:noProof/>
            <w:webHidden/>
          </w:rPr>
          <w:tab/>
        </w:r>
        <w:r w:rsidR="00056825">
          <w:rPr>
            <w:noProof/>
            <w:webHidden/>
          </w:rPr>
          <w:fldChar w:fldCharType="begin"/>
        </w:r>
        <w:r w:rsidR="00056825">
          <w:rPr>
            <w:noProof/>
            <w:webHidden/>
          </w:rPr>
          <w:instrText xml:space="preserve"> PAGEREF _Toc174080740 \h </w:instrText>
        </w:r>
        <w:r w:rsidR="00056825">
          <w:rPr>
            <w:noProof/>
            <w:webHidden/>
          </w:rPr>
        </w:r>
        <w:r w:rsidR="00056825">
          <w:rPr>
            <w:noProof/>
            <w:webHidden/>
          </w:rPr>
          <w:fldChar w:fldCharType="separate"/>
        </w:r>
        <w:r>
          <w:rPr>
            <w:noProof/>
            <w:webHidden/>
          </w:rPr>
          <w:t>186</w:t>
        </w:r>
        <w:r w:rsidR="00056825">
          <w:rPr>
            <w:noProof/>
            <w:webHidden/>
          </w:rPr>
          <w:fldChar w:fldCharType="end"/>
        </w:r>
      </w:hyperlink>
    </w:p>
    <w:p w14:paraId="32192381" w14:textId="5F99C92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1" w:history="1">
        <w:r w:rsidR="00056825" w:rsidRPr="001D643E">
          <w:rPr>
            <w:rStyle w:val="Hypertextovodkaz"/>
            <w:noProof/>
          </w:rPr>
          <w:t>Graf 136: Boj proti obchodování s lidmi – státní příslušnost odsouzených obchodníků s lidmi, Evropa 2020</w:t>
        </w:r>
        <w:r w:rsidR="00056825">
          <w:rPr>
            <w:noProof/>
            <w:webHidden/>
          </w:rPr>
          <w:tab/>
        </w:r>
        <w:r w:rsidR="00056825">
          <w:rPr>
            <w:noProof/>
            <w:webHidden/>
          </w:rPr>
          <w:fldChar w:fldCharType="begin"/>
        </w:r>
        <w:r w:rsidR="00056825">
          <w:rPr>
            <w:noProof/>
            <w:webHidden/>
          </w:rPr>
          <w:instrText xml:space="preserve"> PAGEREF _Toc174080741 \h </w:instrText>
        </w:r>
        <w:r w:rsidR="00056825">
          <w:rPr>
            <w:noProof/>
            <w:webHidden/>
          </w:rPr>
        </w:r>
        <w:r w:rsidR="00056825">
          <w:rPr>
            <w:noProof/>
            <w:webHidden/>
          </w:rPr>
          <w:fldChar w:fldCharType="separate"/>
        </w:r>
        <w:r>
          <w:rPr>
            <w:noProof/>
            <w:webHidden/>
          </w:rPr>
          <w:t>187</w:t>
        </w:r>
        <w:r w:rsidR="00056825">
          <w:rPr>
            <w:noProof/>
            <w:webHidden/>
          </w:rPr>
          <w:fldChar w:fldCharType="end"/>
        </w:r>
      </w:hyperlink>
    </w:p>
    <w:p w14:paraId="0973D2F9" w14:textId="65C6EF2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2" w:history="1">
        <w:r w:rsidR="00056825" w:rsidRPr="001D643E">
          <w:rPr>
            <w:rStyle w:val="Hypertextovodkaz"/>
            <w:noProof/>
          </w:rPr>
          <w:t>Graf 137: Boj proti obchodování s lidmi – státní příslušnost identifikovaných obětí obchodování s lidmi, Evropa 2020</w:t>
        </w:r>
        <w:r w:rsidR="00056825">
          <w:rPr>
            <w:noProof/>
            <w:webHidden/>
          </w:rPr>
          <w:tab/>
        </w:r>
        <w:r w:rsidR="00056825">
          <w:rPr>
            <w:noProof/>
            <w:webHidden/>
          </w:rPr>
          <w:fldChar w:fldCharType="begin"/>
        </w:r>
        <w:r w:rsidR="00056825">
          <w:rPr>
            <w:noProof/>
            <w:webHidden/>
          </w:rPr>
          <w:instrText xml:space="preserve"> PAGEREF _Toc174080742 \h </w:instrText>
        </w:r>
        <w:r w:rsidR="00056825">
          <w:rPr>
            <w:noProof/>
            <w:webHidden/>
          </w:rPr>
        </w:r>
        <w:r w:rsidR="00056825">
          <w:rPr>
            <w:noProof/>
            <w:webHidden/>
          </w:rPr>
          <w:fldChar w:fldCharType="separate"/>
        </w:r>
        <w:r>
          <w:rPr>
            <w:noProof/>
            <w:webHidden/>
          </w:rPr>
          <w:t>187</w:t>
        </w:r>
        <w:r w:rsidR="00056825">
          <w:rPr>
            <w:noProof/>
            <w:webHidden/>
          </w:rPr>
          <w:fldChar w:fldCharType="end"/>
        </w:r>
      </w:hyperlink>
    </w:p>
    <w:p w14:paraId="3B715C65" w14:textId="5093054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3" w:history="1">
        <w:r w:rsidR="00056825" w:rsidRPr="001D643E">
          <w:rPr>
            <w:rStyle w:val="Hypertextovodkaz"/>
            <w:noProof/>
          </w:rPr>
          <w:t>Graf 138: Boj proti obchodování s lidmi – vyznačení vybraných regionů dle UNODC</w:t>
        </w:r>
        <w:r w:rsidR="00056825">
          <w:rPr>
            <w:noProof/>
            <w:webHidden/>
          </w:rPr>
          <w:tab/>
        </w:r>
        <w:r w:rsidR="00056825">
          <w:rPr>
            <w:noProof/>
            <w:webHidden/>
          </w:rPr>
          <w:fldChar w:fldCharType="begin"/>
        </w:r>
        <w:r w:rsidR="00056825">
          <w:rPr>
            <w:noProof/>
            <w:webHidden/>
          </w:rPr>
          <w:instrText xml:space="preserve"> PAGEREF _Toc174080743 \h </w:instrText>
        </w:r>
        <w:r w:rsidR="00056825">
          <w:rPr>
            <w:noProof/>
            <w:webHidden/>
          </w:rPr>
        </w:r>
        <w:r w:rsidR="00056825">
          <w:rPr>
            <w:noProof/>
            <w:webHidden/>
          </w:rPr>
          <w:fldChar w:fldCharType="separate"/>
        </w:r>
        <w:r>
          <w:rPr>
            <w:noProof/>
            <w:webHidden/>
          </w:rPr>
          <w:t>188</w:t>
        </w:r>
        <w:r w:rsidR="00056825">
          <w:rPr>
            <w:noProof/>
            <w:webHidden/>
          </w:rPr>
          <w:fldChar w:fldCharType="end"/>
        </w:r>
      </w:hyperlink>
    </w:p>
    <w:p w14:paraId="6B012A64" w14:textId="06F2628A" w:rsidR="008430BD" w:rsidRPr="00B64E96" w:rsidRDefault="00690AF6" w:rsidP="008430BD">
      <w:pPr>
        <w:spacing w:line="240" w:lineRule="auto"/>
        <w:jc w:val="left"/>
        <w:rPr>
          <w:sz w:val="2"/>
          <w:szCs w:val="2"/>
        </w:rPr>
      </w:pPr>
      <w:r w:rsidRPr="00B64E96">
        <w:rPr>
          <w:b/>
          <w:bCs/>
          <w:noProof/>
        </w:rPr>
        <w:fldChar w:fldCharType="end"/>
      </w:r>
    </w:p>
    <w:p w14:paraId="26C437B7" w14:textId="77777777" w:rsidR="008430BD" w:rsidRPr="00B64E96" w:rsidRDefault="008430BD" w:rsidP="008430BD">
      <w:pPr>
        <w:pStyle w:val="Nadpis1"/>
        <w:ind w:left="432" w:hanging="432"/>
      </w:pPr>
      <w:bookmarkStart w:id="1871" w:name="_Toc487791315"/>
      <w:bookmarkStart w:id="1872" w:name="_Toc106092833"/>
      <w:bookmarkStart w:id="1873" w:name="_Toc169250912"/>
      <w:bookmarkStart w:id="1874" w:name="_Toc174080948"/>
      <w:r w:rsidRPr="00B64E96">
        <w:t>Seznam tabulek</w:t>
      </w:r>
      <w:bookmarkEnd w:id="1871"/>
      <w:bookmarkEnd w:id="1872"/>
      <w:bookmarkEnd w:id="1873"/>
      <w:bookmarkEnd w:id="1874"/>
    </w:p>
    <w:p w14:paraId="46FEA247" w14:textId="4E948194" w:rsidR="00056825" w:rsidRDefault="008430BD">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r w:rsidRPr="00B64E96">
        <w:rPr>
          <w:b/>
          <w:bCs/>
          <w:noProof/>
        </w:rPr>
        <w:fldChar w:fldCharType="begin"/>
      </w:r>
      <w:r w:rsidRPr="00B64E96">
        <w:rPr>
          <w:b/>
          <w:bCs/>
          <w:noProof/>
        </w:rPr>
        <w:instrText xml:space="preserve"> TOC \h \z \c "Tabulka" </w:instrText>
      </w:r>
      <w:r w:rsidRPr="00B64E96">
        <w:rPr>
          <w:b/>
          <w:bCs/>
          <w:noProof/>
        </w:rPr>
        <w:fldChar w:fldCharType="separate"/>
      </w:r>
      <w:hyperlink w:anchor="_Toc174080744" w:history="1">
        <w:r w:rsidR="00056825" w:rsidRPr="00167DCA">
          <w:rPr>
            <w:rStyle w:val="Hypertextovodkaz"/>
            <w:noProof/>
          </w:rPr>
          <w:t>Tabulka 1: OS – počet soudců dle krajů, 2023</w:t>
        </w:r>
        <w:r w:rsidR="00056825">
          <w:rPr>
            <w:noProof/>
            <w:webHidden/>
          </w:rPr>
          <w:tab/>
        </w:r>
        <w:r w:rsidR="00056825">
          <w:rPr>
            <w:noProof/>
            <w:webHidden/>
          </w:rPr>
          <w:fldChar w:fldCharType="begin"/>
        </w:r>
        <w:r w:rsidR="00056825">
          <w:rPr>
            <w:noProof/>
            <w:webHidden/>
          </w:rPr>
          <w:instrText xml:space="preserve"> PAGEREF _Toc174080744 \h </w:instrText>
        </w:r>
        <w:r w:rsidR="00056825">
          <w:rPr>
            <w:noProof/>
            <w:webHidden/>
          </w:rPr>
        </w:r>
        <w:r w:rsidR="00056825">
          <w:rPr>
            <w:noProof/>
            <w:webHidden/>
          </w:rPr>
          <w:fldChar w:fldCharType="separate"/>
        </w:r>
        <w:r w:rsidR="00551497">
          <w:rPr>
            <w:noProof/>
            <w:webHidden/>
          </w:rPr>
          <w:t>17</w:t>
        </w:r>
        <w:r w:rsidR="00056825">
          <w:rPr>
            <w:noProof/>
            <w:webHidden/>
          </w:rPr>
          <w:fldChar w:fldCharType="end"/>
        </w:r>
      </w:hyperlink>
    </w:p>
    <w:p w14:paraId="31A4657F" w14:textId="178DFF4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5" w:history="1">
        <w:r w:rsidR="00056825" w:rsidRPr="00167DCA">
          <w:rPr>
            <w:rStyle w:val="Hypertextovodkaz"/>
            <w:noProof/>
          </w:rPr>
          <w:t>Tabulka 2: OS – skutečný počet soudců dle úseků a krajů, 2023</w:t>
        </w:r>
        <w:r w:rsidR="00056825">
          <w:rPr>
            <w:noProof/>
            <w:webHidden/>
          </w:rPr>
          <w:tab/>
        </w:r>
        <w:r w:rsidR="00056825">
          <w:rPr>
            <w:noProof/>
            <w:webHidden/>
          </w:rPr>
          <w:fldChar w:fldCharType="begin"/>
        </w:r>
        <w:r w:rsidR="00056825">
          <w:rPr>
            <w:noProof/>
            <w:webHidden/>
          </w:rPr>
          <w:instrText xml:space="preserve"> PAGEREF _Toc174080745 \h </w:instrText>
        </w:r>
        <w:r w:rsidR="00056825">
          <w:rPr>
            <w:noProof/>
            <w:webHidden/>
          </w:rPr>
        </w:r>
        <w:r w:rsidR="00056825">
          <w:rPr>
            <w:noProof/>
            <w:webHidden/>
          </w:rPr>
          <w:fldChar w:fldCharType="separate"/>
        </w:r>
        <w:r>
          <w:rPr>
            <w:noProof/>
            <w:webHidden/>
          </w:rPr>
          <w:t>18</w:t>
        </w:r>
        <w:r w:rsidR="00056825">
          <w:rPr>
            <w:noProof/>
            <w:webHidden/>
          </w:rPr>
          <w:fldChar w:fldCharType="end"/>
        </w:r>
      </w:hyperlink>
    </w:p>
    <w:p w14:paraId="0AD67B9A" w14:textId="569A9C8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6" w:history="1">
        <w:r w:rsidR="00056825" w:rsidRPr="00167DCA">
          <w:rPr>
            <w:rStyle w:val="Hypertextovodkaz"/>
            <w:noProof/>
          </w:rPr>
          <w:t>Tabulka 3: OS – skutečný počet soudců dle pohlaví a krajů, 2023</w:t>
        </w:r>
        <w:r w:rsidR="00056825">
          <w:rPr>
            <w:noProof/>
            <w:webHidden/>
          </w:rPr>
          <w:tab/>
        </w:r>
        <w:r w:rsidR="00056825">
          <w:rPr>
            <w:noProof/>
            <w:webHidden/>
          </w:rPr>
          <w:fldChar w:fldCharType="begin"/>
        </w:r>
        <w:r w:rsidR="00056825">
          <w:rPr>
            <w:noProof/>
            <w:webHidden/>
          </w:rPr>
          <w:instrText xml:space="preserve"> PAGEREF _Toc174080746 \h </w:instrText>
        </w:r>
        <w:r w:rsidR="00056825">
          <w:rPr>
            <w:noProof/>
            <w:webHidden/>
          </w:rPr>
        </w:r>
        <w:r w:rsidR="00056825">
          <w:rPr>
            <w:noProof/>
            <w:webHidden/>
          </w:rPr>
          <w:fldChar w:fldCharType="separate"/>
        </w:r>
        <w:r>
          <w:rPr>
            <w:noProof/>
            <w:webHidden/>
          </w:rPr>
          <w:t>19</w:t>
        </w:r>
        <w:r w:rsidR="00056825">
          <w:rPr>
            <w:noProof/>
            <w:webHidden/>
          </w:rPr>
          <w:fldChar w:fldCharType="end"/>
        </w:r>
      </w:hyperlink>
    </w:p>
    <w:p w14:paraId="61507AD7" w14:textId="0CFF666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7" w:history="1">
        <w:r w:rsidR="00056825" w:rsidRPr="00167DCA">
          <w:rPr>
            <w:rStyle w:val="Hypertextovodkaz"/>
            <w:noProof/>
          </w:rPr>
          <w:t>Tabulka 4: OS – předsedové a místopředsedové okresních soudů</w:t>
        </w:r>
        <w:r w:rsidR="00056825">
          <w:rPr>
            <w:noProof/>
            <w:webHidden/>
          </w:rPr>
          <w:tab/>
        </w:r>
        <w:r w:rsidR="00056825">
          <w:rPr>
            <w:noProof/>
            <w:webHidden/>
          </w:rPr>
          <w:fldChar w:fldCharType="begin"/>
        </w:r>
        <w:r w:rsidR="00056825">
          <w:rPr>
            <w:noProof/>
            <w:webHidden/>
          </w:rPr>
          <w:instrText xml:space="preserve"> PAGEREF _Toc174080747 \h </w:instrText>
        </w:r>
        <w:r w:rsidR="00056825">
          <w:rPr>
            <w:noProof/>
            <w:webHidden/>
          </w:rPr>
        </w:r>
        <w:r w:rsidR="00056825">
          <w:rPr>
            <w:noProof/>
            <w:webHidden/>
          </w:rPr>
          <w:fldChar w:fldCharType="separate"/>
        </w:r>
        <w:r>
          <w:rPr>
            <w:noProof/>
            <w:webHidden/>
          </w:rPr>
          <w:t>20</w:t>
        </w:r>
        <w:r w:rsidR="00056825">
          <w:rPr>
            <w:noProof/>
            <w:webHidden/>
          </w:rPr>
          <w:fldChar w:fldCharType="end"/>
        </w:r>
      </w:hyperlink>
    </w:p>
    <w:p w14:paraId="67857746" w14:textId="3946E88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8" w:history="1">
        <w:r w:rsidR="00056825" w:rsidRPr="00167DCA">
          <w:rPr>
            <w:rStyle w:val="Hypertextovodkaz"/>
            <w:noProof/>
          </w:rPr>
          <w:t>Tabulka 5: OS – evidenční počet zaměstnanců ve výkonu dle krajů, 2023</w:t>
        </w:r>
        <w:r w:rsidR="00056825">
          <w:rPr>
            <w:noProof/>
            <w:webHidden/>
          </w:rPr>
          <w:tab/>
        </w:r>
        <w:r w:rsidR="00056825">
          <w:rPr>
            <w:noProof/>
            <w:webHidden/>
          </w:rPr>
          <w:fldChar w:fldCharType="begin"/>
        </w:r>
        <w:r w:rsidR="00056825">
          <w:rPr>
            <w:noProof/>
            <w:webHidden/>
          </w:rPr>
          <w:instrText xml:space="preserve"> PAGEREF _Toc174080748 \h </w:instrText>
        </w:r>
        <w:r w:rsidR="00056825">
          <w:rPr>
            <w:noProof/>
            <w:webHidden/>
          </w:rPr>
        </w:r>
        <w:r w:rsidR="00056825">
          <w:rPr>
            <w:noProof/>
            <w:webHidden/>
          </w:rPr>
          <w:fldChar w:fldCharType="separate"/>
        </w:r>
        <w:r>
          <w:rPr>
            <w:noProof/>
            <w:webHidden/>
          </w:rPr>
          <w:t>22</w:t>
        </w:r>
        <w:r w:rsidR="00056825">
          <w:rPr>
            <w:noProof/>
            <w:webHidden/>
          </w:rPr>
          <w:fldChar w:fldCharType="end"/>
        </w:r>
      </w:hyperlink>
    </w:p>
    <w:p w14:paraId="063DAB39" w14:textId="16FE7CF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49" w:history="1">
        <w:r w:rsidR="00056825" w:rsidRPr="00167DCA">
          <w:rPr>
            <w:rStyle w:val="Hypertextovodkaz"/>
            <w:noProof/>
          </w:rPr>
          <w:t>Tabulka 6: OS – počet přísedících dle krajů a pohlaví, 2023</w:t>
        </w:r>
        <w:r w:rsidR="00056825">
          <w:rPr>
            <w:noProof/>
            <w:webHidden/>
          </w:rPr>
          <w:tab/>
        </w:r>
        <w:r w:rsidR="00056825">
          <w:rPr>
            <w:noProof/>
            <w:webHidden/>
          </w:rPr>
          <w:fldChar w:fldCharType="begin"/>
        </w:r>
        <w:r w:rsidR="00056825">
          <w:rPr>
            <w:noProof/>
            <w:webHidden/>
          </w:rPr>
          <w:instrText xml:space="preserve"> PAGEREF _Toc174080749 \h </w:instrText>
        </w:r>
        <w:r w:rsidR="00056825">
          <w:rPr>
            <w:noProof/>
            <w:webHidden/>
          </w:rPr>
        </w:r>
        <w:r w:rsidR="00056825">
          <w:rPr>
            <w:noProof/>
            <w:webHidden/>
          </w:rPr>
          <w:fldChar w:fldCharType="separate"/>
        </w:r>
        <w:r>
          <w:rPr>
            <w:noProof/>
            <w:webHidden/>
          </w:rPr>
          <w:t>24</w:t>
        </w:r>
        <w:r w:rsidR="00056825">
          <w:rPr>
            <w:noProof/>
            <w:webHidden/>
          </w:rPr>
          <w:fldChar w:fldCharType="end"/>
        </w:r>
      </w:hyperlink>
    </w:p>
    <w:p w14:paraId="06DE67AD" w14:textId="01F8389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0" w:history="1">
        <w:r w:rsidR="00056825" w:rsidRPr="00167DCA">
          <w:rPr>
            <w:rStyle w:val="Hypertextovodkaz"/>
            <w:noProof/>
          </w:rPr>
          <w:t>Tabulka 7: OS – podíl přísedících dle krajů a věku, 2023</w:t>
        </w:r>
        <w:r w:rsidR="00056825">
          <w:rPr>
            <w:noProof/>
            <w:webHidden/>
          </w:rPr>
          <w:tab/>
        </w:r>
        <w:r w:rsidR="00056825">
          <w:rPr>
            <w:noProof/>
            <w:webHidden/>
          </w:rPr>
          <w:fldChar w:fldCharType="begin"/>
        </w:r>
        <w:r w:rsidR="00056825">
          <w:rPr>
            <w:noProof/>
            <w:webHidden/>
          </w:rPr>
          <w:instrText xml:space="preserve"> PAGEREF _Toc174080750 \h </w:instrText>
        </w:r>
        <w:r w:rsidR="00056825">
          <w:rPr>
            <w:noProof/>
            <w:webHidden/>
          </w:rPr>
        </w:r>
        <w:r w:rsidR="00056825">
          <w:rPr>
            <w:noProof/>
            <w:webHidden/>
          </w:rPr>
          <w:fldChar w:fldCharType="separate"/>
        </w:r>
        <w:r>
          <w:rPr>
            <w:noProof/>
            <w:webHidden/>
          </w:rPr>
          <w:t>24</w:t>
        </w:r>
        <w:r w:rsidR="00056825">
          <w:rPr>
            <w:noProof/>
            <w:webHidden/>
          </w:rPr>
          <w:fldChar w:fldCharType="end"/>
        </w:r>
      </w:hyperlink>
    </w:p>
    <w:p w14:paraId="1D3C13A5" w14:textId="7E6468E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1" w:history="1">
        <w:r w:rsidR="00056825" w:rsidRPr="00167DCA">
          <w:rPr>
            <w:rStyle w:val="Hypertextovodkaz"/>
            <w:noProof/>
          </w:rPr>
          <w:t>Tabulka 8: OS – délky civilního řízení dle krajů, 2023</w:t>
        </w:r>
        <w:r w:rsidR="00056825">
          <w:rPr>
            <w:noProof/>
            <w:webHidden/>
          </w:rPr>
          <w:tab/>
        </w:r>
        <w:r w:rsidR="00056825">
          <w:rPr>
            <w:noProof/>
            <w:webHidden/>
          </w:rPr>
          <w:fldChar w:fldCharType="begin"/>
        </w:r>
        <w:r w:rsidR="00056825">
          <w:rPr>
            <w:noProof/>
            <w:webHidden/>
          </w:rPr>
          <w:instrText xml:space="preserve"> PAGEREF _Toc174080751 \h </w:instrText>
        </w:r>
        <w:r w:rsidR="00056825">
          <w:rPr>
            <w:noProof/>
            <w:webHidden/>
          </w:rPr>
        </w:r>
        <w:r w:rsidR="00056825">
          <w:rPr>
            <w:noProof/>
            <w:webHidden/>
          </w:rPr>
          <w:fldChar w:fldCharType="separate"/>
        </w:r>
        <w:r>
          <w:rPr>
            <w:noProof/>
            <w:webHidden/>
          </w:rPr>
          <w:t>27</w:t>
        </w:r>
        <w:r w:rsidR="00056825">
          <w:rPr>
            <w:noProof/>
            <w:webHidden/>
          </w:rPr>
          <w:fldChar w:fldCharType="end"/>
        </w:r>
      </w:hyperlink>
    </w:p>
    <w:p w14:paraId="24CA5279" w14:textId="34EABB5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2" w:history="1">
        <w:r w:rsidR="00056825" w:rsidRPr="00167DCA">
          <w:rPr>
            <w:rStyle w:val="Hypertextovodkaz"/>
            <w:noProof/>
          </w:rPr>
          <w:t>Tabulka 9: OS – vyřizování civilních věcí dle krajů, 2023</w:t>
        </w:r>
        <w:r w:rsidR="00056825">
          <w:rPr>
            <w:noProof/>
            <w:webHidden/>
          </w:rPr>
          <w:tab/>
        </w:r>
        <w:r w:rsidR="00056825">
          <w:rPr>
            <w:noProof/>
            <w:webHidden/>
          </w:rPr>
          <w:fldChar w:fldCharType="begin"/>
        </w:r>
        <w:r w:rsidR="00056825">
          <w:rPr>
            <w:noProof/>
            <w:webHidden/>
          </w:rPr>
          <w:instrText xml:space="preserve"> PAGEREF _Toc174080752 \h </w:instrText>
        </w:r>
        <w:r w:rsidR="00056825">
          <w:rPr>
            <w:noProof/>
            <w:webHidden/>
          </w:rPr>
        </w:r>
        <w:r w:rsidR="00056825">
          <w:rPr>
            <w:noProof/>
            <w:webHidden/>
          </w:rPr>
          <w:fldChar w:fldCharType="separate"/>
        </w:r>
        <w:r>
          <w:rPr>
            <w:noProof/>
            <w:webHidden/>
          </w:rPr>
          <w:t>32</w:t>
        </w:r>
        <w:r w:rsidR="00056825">
          <w:rPr>
            <w:noProof/>
            <w:webHidden/>
          </w:rPr>
          <w:fldChar w:fldCharType="end"/>
        </w:r>
      </w:hyperlink>
    </w:p>
    <w:p w14:paraId="00CAA1E9" w14:textId="303AE04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3" w:history="1">
        <w:r w:rsidR="00056825" w:rsidRPr="00167DCA">
          <w:rPr>
            <w:rStyle w:val="Hypertextovodkaz"/>
            <w:noProof/>
          </w:rPr>
          <w:t>Tabulka 10: OS – vyřizování civilních věcí na skutečný úvazek dle krajů, 2023</w:t>
        </w:r>
        <w:r w:rsidR="00056825">
          <w:rPr>
            <w:noProof/>
            <w:webHidden/>
          </w:rPr>
          <w:tab/>
        </w:r>
        <w:r w:rsidR="00056825">
          <w:rPr>
            <w:noProof/>
            <w:webHidden/>
          </w:rPr>
          <w:fldChar w:fldCharType="begin"/>
        </w:r>
        <w:r w:rsidR="00056825">
          <w:rPr>
            <w:noProof/>
            <w:webHidden/>
          </w:rPr>
          <w:instrText xml:space="preserve"> PAGEREF _Toc174080753 \h </w:instrText>
        </w:r>
        <w:r w:rsidR="00056825">
          <w:rPr>
            <w:noProof/>
            <w:webHidden/>
          </w:rPr>
        </w:r>
        <w:r w:rsidR="00056825">
          <w:rPr>
            <w:noProof/>
            <w:webHidden/>
          </w:rPr>
          <w:fldChar w:fldCharType="separate"/>
        </w:r>
        <w:r>
          <w:rPr>
            <w:noProof/>
            <w:webHidden/>
          </w:rPr>
          <w:t>33</w:t>
        </w:r>
        <w:r w:rsidR="00056825">
          <w:rPr>
            <w:noProof/>
            <w:webHidden/>
          </w:rPr>
          <w:fldChar w:fldCharType="end"/>
        </w:r>
      </w:hyperlink>
    </w:p>
    <w:p w14:paraId="78B212BA" w14:textId="61E3DBA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4" w:history="1">
        <w:r w:rsidR="00056825" w:rsidRPr="00167DCA">
          <w:rPr>
            <w:rStyle w:val="Hypertextovodkaz"/>
            <w:noProof/>
          </w:rPr>
          <w:t>Tabulka 11: OS – disposition time v civilním řízení dle krajů, 2023</w:t>
        </w:r>
        <w:r w:rsidR="00056825">
          <w:rPr>
            <w:noProof/>
            <w:webHidden/>
          </w:rPr>
          <w:tab/>
        </w:r>
        <w:r w:rsidR="00056825">
          <w:rPr>
            <w:noProof/>
            <w:webHidden/>
          </w:rPr>
          <w:fldChar w:fldCharType="begin"/>
        </w:r>
        <w:r w:rsidR="00056825">
          <w:rPr>
            <w:noProof/>
            <w:webHidden/>
          </w:rPr>
          <w:instrText xml:space="preserve"> PAGEREF _Toc174080754 \h </w:instrText>
        </w:r>
        <w:r w:rsidR="00056825">
          <w:rPr>
            <w:noProof/>
            <w:webHidden/>
          </w:rPr>
        </w:r>
        <w:r w:rsidR="00056825">
          <w:rPr>
            <w:noProof/>
            <w:webHidden/>
          </w:rPr>
          <w:fldChar w:fldCharType="separate"/>
        </w:r>
        <w:r>
          <w:rPr>
            <w:noProof/>
            <w:webHidden/>
          </w:rPr>
          <w:t>35</w:t>
        </w:r>
        <w:r w:rsidR="00056825">
          <w:rPr>
            <w:noProof/>
            <w:webHidden/>
          </w:rPr>
          <w:fldChar w:fldCharType="end"/>
        </w:r>
      </w:hyperlink>
    </w:p>
    <w:p w14:paraId="6285546B" w14:textId="18565B5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5" w:history="1">
        <w:r w:rsidR="00056825" w:rsidRPr="00167DCA">
          <w:rPr>
            <w:rStyle w:val="Hypertextovodkaz"/>
            <w:noProof/>
          </w:rPr>
          <w:t>Tabulka 12: OS – míra odvolání dle krajů v civilním řízení, 2023</w:t>
        </w:r>
        <w:r w:rsidR="00056825">
          <w:rPr>
            <w:noProof/>
            <w:webHidden/>
          </w:rPr>
          <w:tab/>
        </w:r>
        <w:r w:rsidR="00056825">
          <w:rPr>
            <w:noProof/>
            <w:webHidden/>
          </w:rPr>
          <w:fldChar w:fldCharType="begin"/>
        </w:r>
        <w:r w:rsidR="00056825">
          <w:rPr>
            <w:noProof/>
            <w:webHidden/>
          </w:rPr>
          <w:instrText xml:space="preserve"> PAGEREF _Toc174080755 \h </w:instrText>
        </w:r>
        <w:r w:rsidR="00056825">
          <w:rPr>
            <w:noProof/>
            <w:webHidden/>
          </w:rPr>
        </w:r>
        <w:r w:rsidR="00056825">
          <w:rPr>
            <w:noProof/>
            <w:webHidden/>
          </w:rPr>
          <w:fldChar w:fldCharType="separate"/>
        </w:r>
        <w:r>
          <w:rPr>
            <w:noProof/>
            <w:webHidden/>
          </w:rPr>
          <w:t>37</w:t>
        </w:r>
        <w:r w:rsidR="00056825">
          <w:rPr>
            <w:noProof/>
            <w:webHidden/>
          </w:rPr>
          <w:fldChar w:fldCharType="end"/>
        </w:r>
      </w:hyperlink>
    </w:p>
    <w:p w14:paraId="30047300" w14:textId="73AE449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6" w:history="1">
        <w:r w:rsidR="00056825" w:rsidRPr="00167DCA">
          <w:rPr>
            <w:rStyle w:val="Hypertextovodkaz"/>
            <w:noProof/>
          </w:rPr>
          <w:t>Tabulka 13: OS – míra změny rozsudku dle krajů v civilním řízení</w:t>
        </w:r>
        <w:r w:rsidR="00056825">
          <w:rPr>
            <w:noProof/>
            <w:webHidden/>
          </w:rPr>
          <w:tab/>
        </w:r>
        <w:r w:rsidR="00056825">
          <w:rPr>
            <w:noProof/>
            <w:webHidden/>
          </w:rPr>
          <w:fldChar w:fldCharType="begin"/>
        </w:r>
        <w:r w:rsidR="00056825">
          <w:rPr>
            <w:noProof/>
            <w:webHidden/>
          </w:rPr>
          <w:instrText xml:space="preserve"> PAGEREF _Toc174080756 \h </w:instrText>
        </w:r>
        <w:r w:rsidR="00056825">
          <w:rPr>
            <w:noProof/>
            <w:webHidden/>
          </w:rPr>
        </w:r>
        <w:r w:rsidR="00056825">
          <w:rPr>
            <w:noProof/>
            <w:webHidden/>
          </w:rPr>
          <w:fldChar w:fldCharType="separate"/>
        </w:r>
        <w:r>
          <w:rPr>
            <w:noProof/>
            <w:webHidden/>
          </w:rPr>
          <w:t>38</w:t>
        </w:r>
        <w:r w:rsidR="00056825">
          <w:rPr>
            <w:noProof/>
            <w:webHidden/>
          </w:rPr>
          <w:fldChar w:fldCharType="end"/>
        </w:r>
      </w:hyperlink>
    </w:p>
    <w:p w14:paraId="35BC9095" w14:textId="120C74B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7" w:history="1">
        <w:r w:rsidR="00056825" w:rsidRPr="00167DCA">
          <w:rPr>
            <w:rStyle w:val="Hypertextovodkaz"/>
            <w:noProof/>
          </w:rPr>
          <w:t>Tabulka 14: OS – výše přiznaných nároků, 2023</w:t>
        </w:r>
        <w:r w:rsidR="00056825">
          <w:rPr>
            <w:noProof/>
            <w:webHidden/>
          </w:rPr>
          <w:tab/>
        </w:r>
        <w:r w:rsidR="00056825">
          <w:rPr>
            <w:noProof/>
            <w:webHidden/>
          </w:rPr>
          <w:fldChar w:fldCharType="begin"/>
        </w:r>
        <w:r w:rsidR="00056825">
          <w:rPr>
            <w:noProof/>
            <w:webHidden/>
          </w:rPr>
          <w:instrText xml:space="preserve"> PAGEREF _Toc174080757 \h </w:instrText>
        </w:r>
        <w:r w:rsidR="00056825">
          <w:rPr>
            <w:noProof/>
            <w:webHidden/>
          </w:rPr>
        </w:r>
        <w:r w:rsidR="00056825">
          <w:rPr>
            <w:noProof/>
            <w:webHidden/>
          </w:rPr>
          <w:fldChar w:fldCharType="separate"/>
        </w:r>
        <w:r>
          <w:rPr>
            <w:noProof/>
            <w:webHidden/>
          </w:rPr>
          <w:t>40</w:t>
        </w:r>
        <w:r w:rsidR="00056825">
          <w:rPr>
            <w:noProof/>
            <w:webHidden/>
          </w:rPr>
          <w:fldChar w:fldCharType="end"/>
        </w:r>
      </w:hyperlink>
    </w:p>
    <w:p w14:paraId="1E0365D8" w14:textId="3B7A5B4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8" w:history="1">
        <w:r w:rsidR="00056825" w:rsidRPr="00167DCA">
          <w:rPr>
            <w:rStyle w:val="Hypertextovodkaz"/>
            <w:noProof/>
          </w:rPr>
          <w:t>Tabulka 15: OS – výše přiznaných nároků v letech 2014–2023</w:t>
        </w:r>
        <w:r w:rsidR="00056825">
          <w:rPr>
            <w:noProof/>
            <w:webHidden/>
          </w:rPr>
          <w:tab/>
        </w:r>
        <w:r w:rsidR="00056825">
          <w:rPr>
            <w:noProof/>
            <w:webHidden/>
          </w:rPr>
          <w:fldChar w:fldCharType="begin"/>
        </w:r>
        <w:r w:rsidR="00056825">
          <w:rPr>
            <w:noProof/>
            <w:webHidden/>
          </w:rPr>
          <w:instrText xml:space="preserve"> PAGEREF _Toc174080758 \h </w:instrText>
        </w:r>
        <w:r w:rsidR="00056825">
          <w:rPr>
            <w:noProof/>
            <w:webHidden/>
          </w:rPr>
        </w:r>
        <w:r w:rsidR="00056825">
          <w:rPr>
            <w:noProof/>
            <w:webHidden/>
          </w:rPr>
          <w:fldChar w:fldCharType="separate"/>
        </w:r>
        <w:r>
          <w:rPr>
            <w:noProof/>
            <w:webHidden/>
          </w:rPr>
          <w:t>40</w:t>
        </w:r>
        <w:r w:rsidR="00056825">
          <w:rPr>
            <w:noProof/>
            <w:webHidden/>
          </w:rPr>
          <w:fldChar w:fldCharType="end"/>
        </w:r>
      </w:hyperlink>
    </w:p>
    <w:p w14:paraId="0366CE6A" w14:textId="1DACF454"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59" w:history="1">
        <w:r w:rsidR="00056825" w:rsidRPr="00167DCA">
          <w:rPr>
            <w:rStyle w:val="Hypertextovodkaz"/>
            <w:noProof/>
          </w:rPr>
          <w:t>Tabulka 16: OS – délky el. rozkazního civilního řízení dle krajů, 2023</w:t>
        </w:r>
        <w:r w:rsidR="00056825">
          <w:rPr>
            <w:noProof/>
            <w:webHidden/>
          </w:rPr>
          <w:tab/>
        </w:r>
        <w:r w:rsidR="00056825">
          <w:rPr>
            <w:noProof/>
            <w:webHidden/>
          </w:rPr>
          <w:fldChar w:fldCharType="begin"/>
        </w:r>
        <w:r w:rsidR="00056825">
          <w:rPr>
            <w:noProof/>
            <w:webHidden/>
          </w:rPr>
          <w:instrText xml:space="preserve"> PAGEREF _Toc174080759 \h </w:instrText>
        </w:r>
        <w:r w:rsidR="00056825">
          <w:rPr>
            <w:noProof/>
            <w:webHidden/>
          </w:rPr>
        </w:r>
        <w:r w:rsidR="00056825">
          <w:rPr>
            <w:noProof/>
            <w:webHidden/>
          </w:rPr>
          <w:fldChar w:fldCharType="separate"/>
        </w:r>
        <w:r>
          <w:rPr>
            <w:noProof/>
            <w:webHidden/>
          </w:rPr>
          <w:t>43</w:t>
        </w:r>
        <w:r w:rsidR="00056825">
          <w:rPr>
            <w:noProof/>
            <w:webHidden/>
          </w:rPr>
          <w:fldChar w:fldCharType="end"/>
        </w:r>
      </w:hyperlink>
    </w:p>
    <w:p w14:paraId="1A095BCD" w14:textId="75783A2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0" w:history="1">
        <w:r w:rsidR="00056825" w:rsidRPr="00167DCA">
          <w:rPr>
            <w:rStyle w:val="Hypertextovodkaz"/>
            <w:noProof/>
          </w:rPr>
          <w:t>Tabulka 17: OS – vyřizování věcí v rejstříku EPR dle krajů, 2023</w:t>
        </w:r>
        <w:r w:rsidR="00056825">
          <w:rPr>
            <w:noProof/>
            <w:webHidden/>
          </w:rPr>
          <w:tab/>
        </w:r>
        <w:r w:rsidR="00056825">
          <w:rPr>
            <w:noProof/>
            <w:webHidden/>
          </w:rPr>
          <w:fldChar w:fldCharType="begin"/>
        </w:r>
        <w:r w:rsidR="00056825">
          <w:rPr>
            <w:noProof/>
            <w:webHidden/>
          </w:rPr>
          <w:instrText xml:space="preserve"> PAGEREF _Toc174080760 \h </w:instrText>
        </w:r>
        <w:r w:rsidR="00056825">
          <w:rPr>
            <w:noProof/>
            <w:webHidden/>
          </w:rPr>
        </w:r>
        <w:r w:rsidR="00056825">
          <w:rPr>
            <w:noProof/>
            <w:webHidden/>
          </w:rPr>
          <w:fldChar w:fldCharType="separate"/>
        </w:r>
        <w:r>
          <w:rPr>
            <w:noProof/>
            <w:webHidden/>
          </w:rPr>
          <w:t>44</w:t>
        </w:r>
        <w:r w:rsidR="00056825">
          <w:rPr>
            <w:noProof/>
            <w:webHidden/>
          </w:rPr>
          <w:fldChar w:fldCharType="end"/>
        </w:r>
      </w:hyperlink>
    </w:p>
    <w:p w14:paraId="74139026" w14:textId="3A69344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1" w:history="1">
        <w:r w:rsidR="00056825" w:rsidRPr="00167DCA">
          <w:rPr>
            <w:rStyle w:val="Hypertextovodkaz"/>
            <w:noProof/>
          </w:rPr>
          <w:t>Tabulka 18: OS – převedeno z rejstříku EPR dle krajů, 2023</w:t>
        </w:r>
        <w:r w:rsidR="00056825">
          <w:rPr>
            <w:noProof/>
            <w:webHidden/>
          </w:rPr>
          <w:tab/>
        </w:r>
        <w:r w:rsidR="00056825">
          <w:rPr>
            <w:noProof/>
            <w:webHidden/>
          </w:rPr>
          <w:fldChar w:fldCharType="begin"/>
        </w:r>
        <w:r w:rsidR="00056825">
          <w:rPr>
            <w:noProof/>
            <w:webHidden/>
          </w:rPr>
          <w:instrText xml:space="preserve"> PAGEREF _Toc174080761 \h </w:instrText>
        </w:r>
        <w:r w:rsidR="00056825">
          <w:rPr>
            <w:noProof/>
            <w:webHidden/>
          </w:rPr>
        </w:r>
        <w:r w:rsidR="00056825">
          <w:rPr>
            <w:noProof/>
            <w:webHidden/>
          </w:rPr>
          <w:fldChar w:fldCharType="separate"/>
        </w:r>
        <w:r>
          <w:rPr>
            <w:noProof/>
            <w:webHidden/>
          </w:rPr>
          <w:t>45</w:t>
        </w:r>
        <w:r w:rsidR="00056825">
          <w:rPr>
            <w:noProof/>
            <w:webHidden/>
          </w:rPr>
          <w:fldChar w:fldCharType="end"/>
        </w:r>
      </w:hyperlink>
    </w:p>
    <w:p w14:paraId="2D8E095A" w14:textId="43ABBF4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2" w:history="1">
        <w:r w:rsidR="00056825" w:rsidRPr="00167DCA">
          <w:rPr>
            <w:rStyle w:val="Hypertextovodkaz"/>
            <w:noProof/>
          </w:rPr>
          <w:t>Tabulka 19: OS – délky trestního řízení dle krajů, 2023</w:t>
        </w:r>
        <w:r w:rsidR="00056825">
          <w:rPr>
            <w:noProof/>
            <w:webHidden/>
          </w:rPr>
          <w:tab/>
        </w:r>
        <w:r w:rsidR="00056825">
          <w:rPr>
            <w:noProof/>
            <w:webHidden/>
          </w:rPr>
          <w:fldChar w:fldCharType="begin"/>
        </w:r>
        <w:r w:rsidR="00056825">
          <w:rPr>
            <w:noProof/>
            <w:webHidden/>
          </w:rPr>
          <w:instrText xml:space="preserve"> PAGEREF _Toc174080762 \h </w:instrText>
        </w:r>
        <w:r w:rsidR="00056825">
          <w:rPr>
            <w:noProof/>
            <w:webHidden/>
          </w:rPr>
        </w:r>
        <w:r w:rsidR="00056825">
          <w:rPr>
            <w:noProof/>
            <w:webHidden/>
          </w:rPr>
          <w:fldChar w:fldCharType="separate"/>
        </w:r>
        <w:r>
          <w:rPr>
            <w:noProof/>
            <w:webHidden/>
          </w:rPr>
          <w:t>48</w:t>
        </w:r>
        <w:r w:rsidR="00056825">
          <w:rPr>
            <w:noProof/>
            <w:webHidden/>
          </w:rPr>
          <w:fldChar w:fldCharType="end"/>
        </w:r>
      </w:hyperlink>
    </w:p>
    <w:p w14:paraId="3D098BCD" w14:textId="2709128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3" w:history="1">
        <w:r w:rsidR="00056825" w:rsidRPr="00167DCA">
          <w:rPr>
            <w:rStyle w:val="Hypertextovodkaz"/>
            <w:noProof/>
          </w:rPr>
          <w:t>Tabulka 20: OS – vyřizování trestních věcí dle krajů, 2023</w:t>
        </w:r>
        <w:r w:rsidR="00056825">
          <w:rPr>
            <w:noProof/>
            <w:webHidden/>
          </w:rPr>
          <w:tab/>
        </w:r>
        <w:r w:rsidR="00056825">
          <w:rPr>
            <w:noProof/>
            <w:webHidden/>
          </w:rPr>
          <w:fldChar w:fldCharType="begin"/>
        </w:r>
        <w:r w:rsidR="00056825">
          <w:rPr>
            <w:noProof/>
            <w:webHidden/>
          </w:rPr>
          <w:instrText xml:space="preserve"> PAGEREF _Toc174080763 \h </w:instrText>
        </w:r>
        <w:r w:rsidR="00056825">
          <w:rPr>
            <w:noProof/>
            <w:webHidden/>
          </w:rPr>
        </w:r>
        <w:r w:rsidR="00056825">
          <w:rPr>
            <w:noProof/>
            <w:webHidden/>
          </w:rPr>
          <w:fldChar w:fldCharType="separate"/>
        </w:r>
        <w:r>
          <w:rPr>
            <w:noProof/>
            <w:webHidden/>
          </w:rPr>
          <w:t>52</w:t>
        </w:r>
        <w:r w:rsidR="00056825">
          <w:rPr>
            <w:noProof/>
            <w:webHidden/>
          </w:rPr>
          <w:fldChar w:fldCharType="end"/>
        </w:r>
      </w:hyperlink>
    </w:p>
    <w:p w14:paraId="3245039A" w14:textId="3B8733E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4" w:history="1">
        <w:r w:rsidR="00056825" w:rsidRPr="00167DCA">
          <w:rPr>
            <w:rStyle w:val="Hypertextovodkaz"/>
            <w:noProof/>
          </w:rPr>
          <w:t>Tabulka 21: OS – vyřizování trestních věcí na skutečný úvazek dle krajů, 2023</w:t>
        </w:r>
        <w:r w:rsidR="00056825">
          <w:rPr>
            <w:noProof/>
            <w:webHidden/>
          </w:rPr>
          <w:tab/>
        </w:r>
        <w:r w:rsidR="00056825">
          <w:rPr>
            <w:noProof/>
            <w:webHidden/>
          </w:rPr>
          <w:fldChar w:fldCharType="begin"/>
        </w:r>
        <w:r w:rsidR="00056825">
          <w:rPr>
            <w:noProof/>
            <w:webHidden/>
          </w:rPr>
          <w:instrText xml:space="preserve"> PAGEREF _Toc174080764 \h </w:instrText>
        </w:r>
        <w:r w:rsidR="00056825">
          <w:rPr>
            <w:noProof/>
            <w:webHidden/>
          </w:rPr>
        </w:r>
        <w:r w:rsidR="00056825">
          <w:rPr>
            <w:noProof/>
            <w:webHidden/>
          </w:rPr>
          <w:fldChar w:fldCharType="separate"/>
        </w:r>
        <w:r>
          <w:rPr>
            <w:noProof/>
            <w:webHidden/>
          </w:rPr>
          <w:t>52</w:t>
        </w:r>
        <w:r w:rsidR="00056825">
          <w:rPr>
            <w:noProof/>
            <w:webHidden/>
          </w:rPr>
          <w:fldChar w:fldCharType="end"/>
        </w:r>
      </w:hyperlink>
    </w:p>
    <w:p w14:paraId="1CA7F367" w14:textId="7980567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5" w:history="1">
        <w:r w:rsidR="00056825" w:rsidRPr="00167DCA">
          <w:rPr>
            <w:rStyle w:val="Hypertextovodkaz"/>
            <w:noProof/>
          </w:rPr>
          <w:t>Tabulka 22: OS – disposition time trestního řízení dle krajů</w:t>
        </w:r>
        <w:r w:rsidR="00056825">
          <w:rPr>
            <w:noProof/>
            <w:webHidden/>
          </w:rPr>
          <w:tab/>
        </w:r>
        <w:r w:rsidR="00056825">
          <w:rPr>
            <w:noProof/>
            <w:webHidden/>
          </w:rPr>
          <w:fldChar w:fldCharType="begin"/>
        </w:r>
        <w:r w:rsidR="00056825">
          <w:rPr>
            <w:noProof/>
            <w:webHidden/>
          </w:rPr>
          <w:instrText xml:space="preserve"> PAGEREF _Toc174080765 \h </w:instrText>
        </w:r>
        <w:r w:rsidR="00056825">
          <w:rPr>
            <w:noProof/>
            <w:webHidden/>
          </w:rPr>
        </w:r>
        <w:r w:rsidR="00056825">
          <w:rPr>
            <w:noProof/>
            <w:webHidden/>
          </w:rPr>
          <w:fldChar w:fldCharType="separate"/>
        </w:r>
        <w:r>
          <w:rPr>
            <w:noProof/>
            <w:webHidden/>
          </w:rPr>
          <w:t>55</w:t>
        </w:r>
        <w:r w:rsidR="00056825">
          <w:rPr>
            <w:noProof/>
            <w:webHidden/>
          </w:rPr>
          <w:fldChar w:fldCharType="end"/>
        </w:r>
      </w:hyperlink>
    </w:p>
    <w:p w14:paraId="723182B1" w14:textId="0F05415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6" w:history="1">
        <w:r w:rsidR="00056825" w:rsidRPr="00167DCA">
          <w:rPr>
            <w:rStyle w:val="Hypertextovodkaz"/>
            <w:noProof/>
          </w:rPr>
          <w:t>Tabulka 23: OS – míra odvolání dle krajů v trestním řízení, 2023</w:t>
        </w:r>
        <w:r w:rsidR="00056825">
          <w:rPr>
            <w:noProof/>
            <w:webHidden/>
          </w:rPr>
          <w:tab/>
        </w:r>
        <w:r w:rsidR="00056825">
          <w:rPr>
            <w:noProof/>
            <w:webHidden/>
          </w:rPr>
          <w:fldChar w:fldCharType="begin"/>
        </w:r>
        <w:r w:rsidR="00056825">
          <w:rPr>
            <w:noProof/>
            <w:webHidden/>
          </w:rPr>
          <w:instrText xml:space="preserve"> PAGEREF _Toc174080766 \h </w:instrText>
        </w:r>
        <w:r w:rsidR="00056825">
          <w:rPr>
            <w:noProof/>
            <w:webHidden/>
          </w:rPr>
        </w:r>
        <w:r w:rsidR="00056825">
          <w:rPr>
            <w:noProof/>
            <w:webHidden/>
          </w:rPr>
          <w:fldChar w:fldCharType="separate"/>
        </w:r>
        <w:r>
          <w:rPr>
            <w:noProof/>
            <w:webHidden/>
          </w:rPr>
          <w:t>56</w:t>
        </w:r>
        <w:r w:rsidR="00056825">
          <w:rPr>
            <w:noProof/>
            <w:webHidden/>
          </w:rPr>
          <w:fldChar w:fldCharType="end"/>
        </w:r>
      </w:hyperlink>
    </w:p>
    <w:p w14:paraId="706FBD0E" w14:textId="4C31A13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7" w:history="1">
        <w:r w:rsidR="00056825" w:rsidRPr="00167DCA">
          <w:rPr>
            <w:rStyle w:val="Hypertextovodkaz"/>
            <w:noProof/>
          </w:rPr>
          <w:t>Tabulka 24: OS – míra změny rozsudku dle krajů v trestním řízení, 2023</w:t>
        </w:r>
        <w:r w:rsidR="00056825">
          <w:rPr>
            <w:noProof/>
            <w:webHidden/>
          </w:rPr>
          <w:tab/>
        </w:r>
        <w:r w:rsidR="00056825">
          <w:rPr>
            <w:noProof/>
            <w:webHidden/>
          </w:rPr>
          <w:fldChar w:fldCharType="begin"/>
        </w:r>
        <w:r w:rsidR="00056825">
          <w:rPr>
            <w:noProof/>
            <w:webHidden/>
          </w:rPr>
          <w:instrText xml:space="preserve"> PAGEREF _Toc174080767 \h </w:instrText>
        </w:r>
        <w:r w:rsidR="00056825">
          <w:rPr>
            <w:noProof/>
            <w:webHidden/>
          </w:rPr>
        </w:r>
        <w:r w:rsidR="00056825">
          <w:rPr>
            <w:noProof/>
            <w:webHidden/>
          </w:rPr>
          <w:fldChar w:fldCharType="separate"/>
        </w:r>
        <w:r>
          <w:rPr>
            <w:noProof/>
            <w:webHidden/>
          </w:rPr>
          <w:t>57</w:t>
        </w:r>
        <w:r w:rsidR="00056825">
          <w:rPr>
            <w:noProof/>
            <w:webHidden/>
          </w:rPr>
          <w:fldChar w:fldCharType="end"/>
        </w:r>
      </w:hyperlink>
    </w:p>
    <w:p w14:paraId="09B4AC90" w14:textId="08868EB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8" w:history="1">
        <w:r w:rsidR="00056825" w:rsidRPr="00167DCA">
          <w:rPr>
            <w:rStyle w:val="Hypertextovodkaz"/>
            <w:noProof/>
          </w:rPr>
          <w:t>Tabulka 25: OS – pravomocné přeměny peněžitého trestu v jiný trest</w:t>
        </w:r>
        <w:r w:rsidR="00056825">
          <w:rPr>
            <w:noProof/>
            <w:webHidden/>
          </w:rPr>
          <w:tab/>
        </w:r>
        <w:r w:rsidR="00056825">
          <w:rPr>
            <w:noProof/>
            <w:webHidden/>
          </w:rPr>
          <w:fldChar w:fldCharType="begin"/>
        </w:r>
        <w:r w:rsidR="00056825">
          <w:rPr>
            <w:noProof/>
            <w:webHidden/>
          </w:rPr>
          <w:instrText xml:space="preserve"> PAGEREF _Toc174080768 \h </w:instrText>
        </w:r>
        <w:r w:rsidR="00056825">
          <w:rPr>
            <w:noProof/>
            <w:webHidden/>
          </w:rPr>
        </w:r>
        <w:r w:rsidR="00056825">
          <w:rPr>
            <w:noProof/>
            <w:webHidden/>
          </w:rPr>
          <w:fldChar w:fldCharType="separate"/>
        </w:r>
        <w:r>
          <w:rPr>
            <w:noProof/>
            <w:webHidden/>
          </w:rPr>
          <w:t>61</w:t>
        </w:r>
        <w:r w:rsidR="00056825">
          <w:rPr>
            <w:noProof/>
            <w:webHidden/>
          </w:rPr>
          <w:fldChar w:fldCharType="end"/>
        </w:r>
      </w:hyperlink>
    </w:p>
    <w:p w14:paraId="734CC822" w14:textId="0E34B59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69" w:history="1">
        <w:r w:rsidR="00056825" w:rsidRPr="00167DCA">
          <w:rPr>
            <w:rStyle w:val="Hypertextovodkaz"/>
            <w:noProof/>
          </w:rPr>
          <w:t>Tabulka 26: OS – míra odsouzení dle krajů, 2023</w:t>
        </w:r>
        <w:r w:rsidR="00056825">
          <w:rPr>
            <w:noProof/>
            <w:webHidden/>
          </w:rPr>
          <w:tab/>
        </w:r>
        <w:r w:rsidR="00056825">
          <w:rPr>
            <w:noProof/>
            <w:webHidden/>
          </w:rPr>
          <w:fldChar w:fldCharType="begin"/>
        </w:r>
        <w:r w:rsidR="00056825">
          <w:rPr>
            <w:noProof/>
            <w:webHidden/>
          </w:rPr>
          <w:instrText xml:space="preserve"> PAGEREF _Toc174080769 \h </w:instrText>
        </w:r>
        <w:r w:rsidR="00056825">
          <w:rPr>
            <w:noProof/>
            <w:webHidden/>
          </w:rPr>
        </w:r>
        <w:r w:rsidR="00056825">
          <w:rPr>
            <w:noProof/>
            <w:webHidden/>
          </w:rPr>
          <w:fldChar w:fldCharType="separate"/>
        </w:r>
        <w:r>
          <w:rPr>
            <w:noProof/>
            <w:webHidden/>
          </w:rPr>
          <w:t>62</w:t>
        </w:r>
        <w:r w:rsidR="00056825">
          <w:rPr>
            <w:noProof/>
            <w:webHidden/>
          </w:rPr>
          <w:fldChar w:fldCharType="end"/>
        </w:r>
      </w:hyperlink>
    </w:p>
    <w:p w14:paraId="63A6A68D" w14:textId="1759DA5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0" w:history="1">
        <w:r w:rsidR="00056825" w:rsidRPr="00167DCA">
          <w:rPr>
            <w:rStyle w:val="Hypertextovodkaz"/>
            <w:noProof/>
          </w:rPr>
          <w:t>Tabulka 27: OS – TČ, za které je ukládáno NEPO, 2023</w:t>
        </w:r>
        <w:r w:rsidR="00056825">
          <w:rPr>
            <w:noProof/>
            <w:webHidden/>
          </w:rPr>
          <w:tab/>
        </w:r>
        <w:r w:rsidR="00056825">
          <w:rPr>
            <w:noProof/>
            <w:webHidden/>
          </w:rPr>
          <w:fldChar w:fldCharType="begin"/>
        </w:r>
        <w:r w:rsidR="00056825">
          <w:rPr>
            <w:noProof/>
            <w:webHidden/>
          </w:rPr>
          <w:instrText xml:space="preserve"> PAGEREF _Toc174080770 \h </w:instrText>
        </w:r>
        <w:r w:rsidR="00056825">
          <w:rPr>
            <w:noProof/>
            <w:webHidden/>
          </w:rPr>
        </w:r>
        <w:r w:rsidR="00056825">
          <w:rPr>
            <w:noProof/>
            <w:webHidden/>
          </w:rPr>
          <w:fldChar w:fldCharType="separate"/>
        </w:r>
        <w:r>
          <w:rPr>
            <w:noProof/>
            <w:webHidden/>
          </w:rPr>
          <w:t>64</w:t>
        </w:r>
        <w:r w:rsidR="00056825">
          <w:rPr>
            <w:noProof/>
            <w:webHidden/>
          </w:rPr>
          <w:fldChar w:fldCharType="end"/>
        </w:r>
      </w:hyperlink>
    </w:p>
    <w:p w14:paraId="0B506623" w14:textId="0792FBC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1" w:history="1">
        <w:r w:rsidR="00056825" w:rsidRPr="00167DCA">
          <w:rPr>
            <w:rStyle w:val="Hypertextovodkaz"/>
            <w:noProof/>
          </w:rPr>
          <w:t>Tabulka 28: OS – délky řízení v opatrovnické agendě dle krajů, 2023</w:t>
        </w:r>
        <w:r w:rsidR="00056825">
          <w:rPr>
            <w:noProof/>
            <w:webHidden/>
          </w:rPr>
          <w:tab/>
        </w:r>
        <w:r w:rsidR="00056825">
          <w:rPr>
            <w:noProof/>
            <w:webHidden/>
          </w:rPr>
          <w:fldChar w:fldCharType="begin"/>
        </w:r>
        <w:r w:rsidR="00056825">
          <w:rPr>
            <w:noProof/>
            <w:webHidden/>
          </w:rPr>
          <w:instrText xml:space="preserve"> PAGEREF _Toc174080771 \h </w:instrText>
        </w:r>
        <w:r w:rsidR="00056825">
          <w:rPr>
            <w:noProof/>
            <w:webHidden/>
          </w:rPr>
        </w:r>
        <w:r w:rsidR="00056825">
          <w:rPr>
            <w:noProof/>
            <w:webHidden/>
          </w:rPr>
          <w:fldChar w:fldCharType="separate"/>
        </w:r>
        <w:r>
          <w:rPr>
            <w:noProof/>
            <w:webHidden/>
          </w:rPr>
          <w:t>66</w:t>
        </w:r>
        <w:r w:rsidR="00056825">
          <w:rPr>
            <w:noProof/>
            <w:webHidden/>
          </w:rPr>
          <w:fldChar w:fldCharType="end"/>
        </w:r>
      </w:hyperlink>
    </w:p>
    <w:p w14:paraId="266B0A4F" w14:textId="3A4EBCA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2" w:history="1">
        <w:r w:rsidR="00056825" w:rsidRPr="00167DCA">
          <w:rPr>
            <w:rStyle w:val="Hypertextovodkaz"/>
            <w:noProof/>
          </w:rPr>
          <w:t>Tabulka 29: OS – vyřizování opatrovnických věcí dle krajů, 2023</w:t>
        </w:r>
        <w:r w:rsidR="00056825">
          <w:rPr>
            <w:noProof/>
            <w:webHidden/>
          </w:rPr>
          <w:tab/>
        </w:r>
        <w:r w:rsidR="00056825">
          <w:rPr>
            <w:noProof/>
            <w:webHidden/>
          </w:rPr>
          <w:fldChar w:fldCharType="begin"/>
        </w:r>
        <w:r w:rsidR="00056825">
          <w:rPr>
            <w:noProof/>
            <w:webHidden/>
          </w:rPr>
          <w:instrText xml:space="preserve"> PAGEREF _Toc174080772 \h </w:instrText>
        </w:r>
        <w:r w:rsidR="00056825">
          <w:rPr>
            <w:noProof/>
            <w:webHidden/>
          </w:rPr>
        </w:r>
        <w:r w:rsidR="00056825">
          <w:rPr>
            <w:noProof/>
            <w:webHidden/>
          </w:rPr>
          <w:fldChar w:fldCharType="separate"/>
        </w:r>
        <w:r>
          <w:rPr>
            <w:noProof/>
            <w:webHidden/>
          </w:rPr>
          <w:t>71</w:t>
        </w:r>
        <w:r w:rsidR="00056825">
          <w:rPr>
            <w:noProof/>
            <w:webHidden/>
          </w:rPr>
          <w:fldChar w:fldCharType="end"/>
        </w:r>
      </w:hyperlink>
    </w:p>
    <w:p w14:paraId="73773803" w14:textId="21E37644"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3" w:history="1">
        <w:r w:rsidR="00056825" w:rsidRPr="00167DCA">
          <w:rPr>
            <w:rStyle w:val="Hypertextovodkaz"/>
            <w:noProof/>
          </w:rPr>
          <w:t>Tabulka 30: OS – vyřizování opatrovnických věcí na skutečný úvazek dle krajů</w:t>
        </w:r>
        <w:r w:rsidR="00056825">
          <w:rPr>
            <w:noProof/>
            <w:webHidden/>
          </w:rPr>
          <w:tab/>
        </w:r>
        <w:r w:rsidR="00056825">
          <w:rPr>
            <w:noProof/>
            <w:webHidden/>
          </w:rPr>
          <w:fldChar w:fldCharType="begin"/>
        </w:r>
        <w:r w:rsidR="00056825">
          <w:rPr>
            <w:noProof/>
            <w:webHidden/>
          </w:rPr>
          <w:instrText xml:space="preserve"> PAGEREF _Toc174080773 \h </w:instrText>
        </w:r>
        <w:r w:rsidR="00056825">
          <w:rPr>
            <w:noProof/>
            <w:webHidden/>
          </w:rPr>
        </w:r>
        <w:r w:rsidR="00056825">
          <w:rPr>
            <w:noProof/>
            <w:webHidden/>
          </w:rPr>
          <w:fldChar w:fldCharType="separate"/>
        </w:r>
        <w:r>
          <w:rPr>
            <w:noProof/>
            <w:webHidden/>
          </w:rPr>
          <w:t>71</w:t>
        </w:r>
        <w:r w:rsidR="00056825">
          <w:rPr>
            <w:noProof/>
            <w:webHidden/>
          </w:rPr>
          <w:fldChar w:fldCharType="end"/>
        </w:r>
      </w:hyperlink>
    </w:p>
    <w:p w14:paraId="3FACB796" w14:textId="6764156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4" w:history="1">
        <w:r w:rsidR="00056825" w:rsidRPr="00167DCA">
          <w:rPr>
            <w:rStyle w:val="Hypertextovodkaz"/>
            <w:noProof/>
          </w:rPr>
          <w:t>Tabulka 31: OS – míra odvolání dle krajů v opatrovnickém řízení, 2023</w:t>
        </w:r>
        <w:r w:rsidR="00056825">
          <w:rPr>
            <w:noProof/>
            <w:webHidden/>
          </w:rPr>
          <w:tab/>
        </w:r>
        <w:r w:rsidR="00056825">
          <w:rPr>
            <w:noProof/>
            <w:webHidden/>
          </w:rPr>
          <w:fldChar w:fldCharType="begin"/>
        </w:r>
        <w:r w:rsidR="00056825">
          <w:rPr>
            <w:noProof/>
            <w:webHidden/>
          </w:rPr>
          <w:instrText xml:space="preserve"> PAGEREF _Toc174080774 \h </w:instrText>
        </w:r>
        <w:r w:rsidR="00056825">
          <w:rPr>
            <w:noProof/>
            <w:webHidden/>
          </w:rPr>
        </w:r>
        <w:r w:rsidR="00056825">
          <w:rPr>
            <w:noProof/>
            <w:webHidden/>
          </w:rPr>
          <w:fldChar w:fldCharType="separate"/>
        </w:r>
        <w:r>
          <w:rPr>
            <w:noProof/>
            <w:webHidden/>
          </w:rPr>
          <w:t>75</w:t>
        </w:r>
        <w:r w:rsidR="00056825">
          <w:rPr>
            <w:noProof/>
            <w:webHidden/>
          </w:rPr>
          <w:fldChar w:fldCharType="end"/>
        </w:r>
      </w:hyperlink>
    </w:p>
    <w:p w14:paraId="600BCFEE" w14:textId="45748AB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5" w:history="1">
        <w:r w:rsidR="00056825" w:rsidRPr="00167DCA">
          <w:rPr>
            <w:rStyle w:val="Hypertextovodkaz"/>
            <w:noProof/>
          </w:rPr>
          <w:t>Tabulka 32: OS – míra změny rozsudku dle krajů v opatrovnickém řízení, 2023</w:t>
        </w:r>
        <w:r w:rsidR="00056825">
          <w:rPr>
            <w:noProof/>
            <w:webHidden/>
          </w:rPr>
          <w:tab/>
        </w:r>
        <w:r w:rsidR="00056825">
          <w:rPr>
            <w:noProof/>
            <w:webHidden/>
          </w:rPr>
          <w:fldChar w:fldCharType="begin"/>
        </w:r>
        <w:r w:rsidR="00056825">
          <w:rPr>
            <w:noProof/>
            <w:webHidden/>
          </w:rPr>
          <w:instrText xml:space="preserve"> PAGEREF _Toc174080775 \h </w:instrText>
        </w:r>
        <w:r w:rsidR="00056825">
          <w:rPr>
            <w:noProof/>
            <w:webHidden/>
          </w:rPr>
        </w:r>
        <w:r w:rsidR="00056825">
          <w:rPr>
            <w:noProof/>
            <w:webHidden/>
          </w:rPr>
          <w:fldChar w:fldCharType="separate"/>
        </w:r>
        <w:r>
          <w:rPr>
            <w:noProof/>
            <w:webHidden/>
          </w:rPr>
          <w:t>76</w:t>
        </w:r>
        <w:r w:rsidR="00056825">
          <w:rPr>
            <w:noProof/>
            <w:webHidden/>
          </w:rPr>
          <w:fldChar w:fldCharType="end"/>
        </w:r>
      </w:hyperlink>
    </w:p>
    <w:p w14:paraId="4034C084" w14:textId="49304C2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6" w:history="1">
        <w:r w:rsidR="00056825" w:rsidRPr="00167DCA">
          <w:rPr>
            <w:rStyle w:val="Hypertextovodkaz"/>
            <w:noProof/>
          </w:rPr>
          <w:t>Tabulka 33: OS – počet soudců dle krajů, 2023</w:t>
        </w:r>
        <w:r w:rsidR="00056825">
          <w:rPr>
            <w:noProof/>
            <w:webHidden/>
          </w:rPr>
          <w:tab/>
        </w:r>
        <w:r w:rsidR="00056825">
          <w:rPr>
            <w:noProof/>
            <w:webHidden/>
          </w:rPr>
          <w:fldChar w:fldCharType="begin"/>
        </w:r>
        <w:r w:rsidR="00056825">
          <w:rPr>
            <w:noProof/>
            <w:webHidden/>
          </w:rPr>
          <w:instrText xml:space="preserve"> PAGEREF _Toc174080776 \h </w:instrText>
        </w:r>
        <w:r w:rsidR="00056825">
          <w:rPr>
            <w:noProof/>
            <w:webHidden/>
          </w:rPr>
        </w:r>
        <w:r w:rsidR="00056825">
          <w:rPr>
            <w:noProof/>
            <w:webHidden/>
          </w:rPr>
          <w:fldChar w:fldCharType="separate"/>
        </w:r>
        <w:r>
          <w:rPr>
            <w:noProof/>
            <w:webHidden/>
          </w:rPr>
          <w:t>81</w:t>
        </w:r>
        <w:r w:rsidR="00056825">
          <w:rPr>
            <w:noProof/>
            <w:webHidden/>
          </w:rPr>
          <w:fldChar w:fldCharType="end"/>
        </w:r>
      </w:hyperlink>
    </w:p>
    <w:p w14:paraId="42CA66BD" w14:textId="416A173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7" w:history="1">
        <w:r w:rsidR="00056825" w:rsidRPr="00167DCA">
          <w:rPr>
            <w:rStyle w:val="Hypertextovodkaz"/>
            <w:noProof/>
          </w:rPr>
          <w:t>Tabulka 34: KS – počet soudců dle úseků a krajů</w:t>
        </w:r>
        <w:r w:rsidR="00056825">
          <w:rPr>
            <w:noProof/>
            <w:webHidden/>
          </w:rPr>
          <w:tab/>
        </w:r>
        <w:r w:rsidR="00056825">
          <w:rPr>
            <w:noProof/>
            <w:webHidden/>
          </w:rPr>
          <w:fldChar w:fldCharType="begin"/>
        </w:r>
        <w:r w:rsidR="00056825">
          <w:rPr>
            <w:noProof/>
            <w:webHidden/>
          </w:rPr>
          <w:instrText xml:space="preserve"> PAGEREF _Toc174080777 \h </w:instrText>
        </w:r>
        <w:r w:rsidR="00056825">
          <w:rPr>
            <w:noProof/>
            <w:webHidden/>
          </w:rPr>
        </w:r>
        <w:r w:rsidR="00056825">
          <w:rPr>
            <w:noProof/>
            <w:webHidden/>
          </w:rPr>
          <w:fldChar w:fldCharType="separate"/>
        </w:r>
        <w:r>
          <w:rPr>
            <w:noProof/>
            <w:webHidden/>
          </w:rPr>
          <w:t>83</w:t>
        </w:r>
        <w:r w:rsidR="00056825">
          <w:rPr>
            <w:noProof/>
            <w:webHidden/>
          </w:rPr>
          <w:fldChar w:fldCharType="end"/>
        </w:r>
      </w:hyperlink>
    </w:p>
    <w:p w14:paraId="69D431E1" w14:textId="6C44A7B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8" w:history="1">
        <w:r w:rsidR="00056825" w:rsidRPr="00167DCA">
          <w:rPr>
            <w:rStyle w:val="Hypertextovodkaz"/>
            <w:noProof/>
          </w:rPr>
          <w:t>Tabulka 35: KS – skutečný počet soudců dle pohlaví a krajů</w:t>
        </w:r>
        <w:r w:rsidR="00056825">
          <w:rPr>
            <w:noProof/>
            <w:webHidden/>
          </w:rPr>
          <w:tab/>
        </w:r>
        <w:r w:rsidR="00056825">
          <w:rPr>
            <w:noProof/>
            <w:webHidden/>
          </w:rPr>
          <w:fldChar w:fldCharType="begin"/>
        </w:r>
        <w:r w:rsidR="00056825">
          <w:rPr>
            <w:noProof/>
            <w:webHidden/>
          </w:rPr>
          <w:instrText xml:space="preserve"> PAGEREF _Toc174080778 \h </w:instrText>
        </w:r>
        <w:r w:rsidR="00056825">
          <w:rPr>
            <w:noProof/>
            <w:webHidden/>
          </w:rPr>
        </w:r>
        <w:r w:rsidR="00056825">
          <w:rPr>
            <w:noProof/>
            <w:webHidden/>
          </w:rPr>
          <w:fldChar w:fldCharType="separate"/>
        </w:r>
        <w:r>
          <w:rPr>
            <w:noProof/>
            <w:webHidden/>
          </w:rPr>
          <w:t>84</w:t>
        </w:r>
        <w:r w:rsidR="00056825">
          <w:rPr>
            <w:noProof/>
            <w:webHidden/>
          </w:rPr>
          <w:fldChar w:fldCharType="end"/>
        </w:r>
      </w:hyperlink>
    </w:p>
    <w:p w14:paraId="0C8A810C" w14:textId="1E150E2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79" w:history="1">
        <w:r w:rsidR="00056825" w:rsidRPr="00167DCA">
          <w:rPr>
            <w:rStyle w:val="Hypertextovodkaz"/>
            <w:noProof/>
          </w:rPr>
          <w:t>Tabulka 36: KS – evidenční počet zaměstnanců ve výkonu dle soudů, 2023</w:t>
        </w:r>
        <w:r w:rsidR="00056825">
          <w:rPr>
            <w:noProof/>
            <w:webHidden/>
          </w:rPr>
          <w:tab/>
        </w:r>
        <w:r w:rsidR="00056825">
          <w:rPr>
            <w:noProof/>
            <w:webHidden/>
          </w:rPr>
          <w:fldChar w:fldCharType="begin"/>
        </w:r>
        <w:r w:rsidR="00056825">
          <w:rPr>
            <w:noProof/>
            <w:webHidden/>
          </w:rPr>
          <w:instrText xml:space="preserve"> PAGEREF _Toc174080779 \h </w:instrText>
        </w:r>
        <w:r w:rsidR="00056825">
          <w:rPr>
            <w:noProof/>
            <w:webHidden/>
          </w:rPr>
        </w:r>
        <w:r w:rsidR="00056825">
          <w:rPr>
            <w:noProof/>
            <w:webHidden/>
          </w:rPr>
          <w:fldChar w:fldCharType="separate"/>
        </w:r>
        <w:r>
          <w:rPr>
            <w:noProof/>
            <w:webHidden/>
          </w:rPr>
          <w:t>86</w:t>
        </w:r>
        <w:r w:rsidR="00056825">
          <w:rPr>
            <w:noProof/>
            <w:webHidden/>
          </w:rPr>
          <w:fldChar w:fldCharType="end"/>
        </w:r>
      </w:hyperlink>
    </w:p>
    <w:p w14:paraId="388569F3" w14:textId="1D64825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0" w:history="1">
        <w:r w:rsidR="00056825" w:rsidRPr="00167DCA">
          <w:rPr>
            <w:rStyle w:val="Hypertextovodkaz"/>
            <w:noProof/>
          </w:rPr>
          <w:t>Tabulka 37: KS – počet přísedících dle soudů a pohlaví, 2023</w:t>
        </w:r>
        <w:r w:rsidR="00056825">
          <w:rPr>
            <w:noProof/>
            <w:webHidden/>
          </w:rPr>
          <w:tab/>
        </w:r>
        <w:r w:rsidR="00056825">
          <w:rPr>
            <w:noProof/>
            <w:webHidden/>
          </w:rPr>
          <w:fldChar w:fldCharType="begin"/>
        </w:r>
        <w:r w:rsidR="00056825">
          <w:rPr>
            <w:noProof/>
            <w:webHidden/>
          </w:rPr>
          <w:instrText xml:space="preserve"> PAGEREF _Toc174080780 \h </w:instrText>
        </w:r>
        <w:r w:rsidR="00056825">
          <w:rPr>
            <w:noProof/>
            <w:webHidden/>
          </w:rPr>
        </w:r>
        <w:r w:rsidR="00056825">
          <w:rPr>
            <w:noProof/>
            <w:webHidden/>
          </w:rPr>
          <w:fldChar w:fldCharType="separate"/>
        </w:r>
        <w:r>
          <w:rPr>
            <w:noProof/>
            <w:webHidden/>
          </w:rPr>
          <w:t>87</w:t>
        </w:r>
        <w:r w:rsidR="00056825">
          <w:rPr>
            <w:noProof/>
            <w:webHidden/>
          </w:rPr>
          <w:fldChar w:fldCharType="end"/>
        </w:r>
      </w:hyperlink>
    </w:p>
    <w:p w14:paraId="713E58C8" w14:textId="78BA608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1" w:history="1">
        <w:r w:rsidR="00056825" w:rsidRPr="00167DCA">
          <w:rPr>
            <w:rStyle w:val="Hypertextovodkaz"/>
            <w:noProof/>
          </w:rPr>
          <w:t>Tabulka 38: KS – počet přísedících dle soudů a věku, 2023</w:t>
        </w:r>
        <w:r w:rsidR="00056825">
          <w:rPr>
            <w:noProof/>
            <w:webHidden/>
          </w:rPr>
          <w:tab/>
        </w:r>
        <w:r w:rsidR="00056825">
          <w:rPr>
            <w:noProof/>
            <w:webHidden/>
          </w:rPr>
          <w:fldChar w:fldCharType="begin"/>
        </w:r>
        <w:r w:rsidR="00056825">
          <w:rPr>
            <w:noProof/>
            <w:webHidden/>
          </w:rPr>
          <w:instrText xml:space="preserve"> PAGEREF _Toc174080781 \h </w:instrText>
        </w:r>
        <w:r w:rsidR="00056825">
          <w:rPr>
            <w:noProof/>
            <w:webHidden/>
          </w:rPr>
        </w:r>
        <w:r w:rsidR="00056825">
          <w:rPr>
            <w:noProof/>
            <w:webHidden/>
          </w:rPr>
          <w:fldChar w:fldCharType="separate"/>
        </w:r>
        <w:r>
          <w:rPr>
            <w:noProof/>
            <w:webHidden/>
          </w:rPr>
          <w:t>88</w:t>
        </w:r>
        <w:r w:rsidR="00056825">
          <w:rPr>
            <w:noProof/>
            <w:webHidden/>
          </w:rPr>
          <w:fldChar w:fldCharType="end"/>
        </w:r>
      </w:hyperlink>
    </w:p>
    <w:p w14:paraId="7FE0D1C2" w14:textId="61BF88EE"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2" w:history="1">
        <w:r w:rsidR="00056825" w:rsidRPr="00167DCA">
          <w:rPr>
            <w:rStyle w:val="Hypertextovodkaz"/>
            <w:noProof/>
          </w:rPr>
          <w:t>Tabulka 39: KS – délky prvostupňového civilního řízení dle soudů, 2023</w:t>
        </w:r>
        <w:r w:rsidR="00056825">
          <w:rPr>
            <w:noProof/>
            <w:webHidden/>
          </w:rPr>
          <w:tab/>
        </w:r>
        <w:r w:rsidR="00056825">
          <w:rPr>
            <w:noProof/>
            <w:webHidden/>
          </w:rPr>
          <w:fldChar w:fldCharType="begin"/>
        </w:r>
        <w:r w:rsidR="00056825">
          <w:rPr>
            <w:noProof/>
            <w:webHidden/>
          </w:rPr>
          <w:instrText xml:space="preserve"> PAGEREF _Toc174080782 \h </w:instrText>
        </w:r>
        <w:r w:rsidR="00056825">
          <w:rPr>
            <w:noProof/>
            <w:webHidden/>
          </w:rPr>
        </w:r>
        <w:r w:rsidR="00056825">
          <w:rPr>
            <w:noProof/>
            <w:webHidden/>
          </w:rPr>
          <w:fldChar w:fldCharType="separate"/>
        </w:r>
        <w:r>
          <w:rPr>
            <w:noProof/>
            <w:webHidden/>
          </w:rPr>
          <w:t>90</w:t>
        </w:r>
        <w:r w:rsidR="00056825">
          <w:rPr>
            <w:noProof/>
            <w:webHidden/>
          </w:rPr>
          <w:fldChar w:fldCharType="end"/>
        </w:r>
      </w:hyperlink>
    </w:p>
    <w:p w14:paraId="6EDC0F43" w14:textId="7DD75B1C"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3" w:history="1">
        <w:r w:rsidR="00056825" w:rsidRPr="00167DCA">
          <w:rPr>
            <w:rStyle w:val="Hypertextovodkaz"/>
            <w:noProof/>
          </w:rPr>
          <w:t>Tabulka 40: KS – vyřizování prvostupňových civilních věcí dle soudů, 2023</w:t>
        </w:r>
        <w:r w:rsidR="00056825">
          <w:rPr>
            <w:noProof/>
            <w:webHidden/>
          </w:rPr>
          <w:tab/>
        </w:r>
        <w:r w:rsidR="00056825">
          <w:rPr>
            <w:noProof/>
            <w:webHidden/>
          </w:rPr>
          <w:fldChar w:fldCharType="begin"/>
        </w:r>
        <w:r w:rsidR="00056825">
          <w:rPr>
            <w:noProof/>
            <w:webHidden/>
          </w:rPr>
          <w:instrText xml:space="preserve"> PAGEREF _Toc174080783 \h </w:instrText>
        </w:r>
        <w:r w:rsidR="00056825">
          <w:rPr>
            <w:noProof/>
            <w:webHidden/>
          </w:rPr>
        </w:r>
        <w:r w:rsidR="00056825">
          <w:rPr>
            <w:noProof/>
            <w:webHidden/>
          </w:rPr>
          <w:fldChar w:fldCharType="separate"/>
        </w:r>
        <w:r>
          <w:rPr>
            <w:noProof/>
            <w:webHidden/>
          </w:rPr>
          <w:t>93</w:t>
        </w:r>
        <w:r w:rsidR="00056825">
          <w:rPr>
            <w:noProof/>
            <w:webHidden/>
          </w:rPr>
          <w:fldChar w:fldCharType="end"/>
        </w:r>
      </w:hyperlink>
    </w:p>
    <w:p w14:paraId="0B426D10" w14:textId="6ACCDFA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4" w:history="1">
        <w:r w:rsidR="00056825" w:rsidRPr="00167DCA">
          <w:rPr>
            <w:rStyle w:val="Hypertextovodkaz"/>
            <w:noProof/>
          </w:rPr>
          <w:t>Tabulka 41: KS – vyřiz. prvostupň. civil. věcí na skut. úvazek dle soudů, 2023</w:t>
        </w:r>
        <w:r w:rsidR="00056825">
          <w:rPr>
            <w:noProof/>
            <w:webHidden/>
          </w:rPr>
          <w:tab/>
        </w:r>
        <w:r w:rsidR="00056825">
          <w:rPr>
            <w:noProof/>
            <w:webHidden/>
          </w:rPr>
          <w:fldChar w:fldCharType="begin"/>
        </w:r>
        <w:r w:rsidR="00056825">
          <w:rPr>
            <w:noProof/>
            <w:webHidden/>
          </w:rPr>
          <w:instrText xml:space="preserve"> PAGEREF _Toc174080784 \h </w:instrText>
        </w:r>
        <w:r w:rsidR="00056825">
          <w:rPr>
            <w:noProof/>
            <w:webHidden/>
          </w:rPr>
        </w:r>
        <w:r w:rsidR="00056825">
          <w:rPr>
            <w:noProof/>
            <w:webHidden/>
          </w:rPr>
          <w:fldChar w:fldCharType="separate"/>
        </w:r>
        <w:r>
          <w:rPr>
            <w:noProof/>
            <w:webHidden/>
          </w:rPr>
          <w:t>94</w:t>
        </w:r>
        <w:r w:rsidR="00056825">
          <w:rPr>
            <w:noProof/>
            <w:webHidden/>
          </w:rPr>
          <w:fldChar w:fldCharType="end"/>
        </w:r>
      </w:hyperlink>
    </w:p>
    <w:p w14:paraId="0E5EABB3" w14:textId="6DAACC6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5" w:history="1">
        <w:r w:rsidR="00056825" w:rsidRPr="00167DCA">
          <w:rPr>
            <w:rStyle w:val="Hypertextovodkaz"/>
            <w:noProof/>
          </w:rPr>
          <w:t>Tabulka 42: KS – DT prvostupňového civilního řízení dle soudů, 2023</w:t>
        </w:r>
        <w:r w:rsidR="00056825">
          <w:rPr>
            <w:noProof/>
            <w:webHidden/>
          </w:rPr>
          <w:tab/>
        </w:r>
        <w:r w:rsidR="00056825">
          <w:rPr>
            <w:noProof/>
            <w:webHidden/>
          </w:rPr>
          <w:fldChar w:fldCharType="begin"/>
        </w:r>
        <w:r w:rsidR="00056825">
          <w:rPr>
            <w:noProof/>
            <w:webHidden/>
          </w:rPr>
          <w:instrText xml:space="preserve"> PAGEREF _Toc174080785 \h </w:instrText>
        </w:r>
        <w:r w:rsidR="00056825">
          <w:rPr>
            <w:noProof/>
            <w:webHidden/>
          </w:rPr>
        </w:r>
        <w:r w:rsidR="00056825">
          <w:rPr>
            <w:noProof/>
            <w:webHidden/>
          </w:rPr>
          <w:fldChar w:fldCharType="separate"/>
        </w:r>
        <w:r>
          <w:rPr>
            <w:noProof/>
            <w:webHidden/>
          </w:rPr>
          <w:t>96</w:t>
        </w:r>
        <w:r w:rsidR="00056825">
          <w:rPr>
            <w:noProof/>
            <w:webHidden/>
          </w:rPr>
          <w:fldChar w:fldCharType="end"/>
        </w:r>
      </w:hyperlink>
    </w:p>
    <w:p w14:paraId="60ED9DEF" w14:textId="18EC7306"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6" w:history="1">
        <w:r w:rsidR="00056825" w:rsidRPr="00167DCA">
          <w:rPr>
            <w:rStyle w:val="Hypertextovodkaz"/>
            <w:noProof/>
          </w:rPr>
          <w:t>Tabulka 43: KS – míra odvolání dle soudů v civilním řízení, 2023</w:t>
        </w:r>
        <w:r w:rsidR="00056825">
          <w:rPr>
            <w:noProof/>
            <w:webHidden/>
          </w:rPr>
          <w:tab/>
        </w:r>
        <w:r w:rsidR="00056825">
          <w:rPr>
            <w:noProof/>
            <w:webHidden/>
          </w:rPr>
          <w:fldChar w:fldCharType="begin"/>
        </w:r>
        <w:r w:rsidR="00056825">
          <w:rPr>
            <w:noProof/>
            <w:webHidden/>
          </w:rPr>
          <w:instrText xml:space="preserve"> PAGEREF _Toc174080786 \h </w:instrText>
        </w:r>
        <w:r w:rsidR="00056825">
          <w:rPr>
            <w:noProof/>
            <w:webHidden/>
          </w:rPr>
        </w:r>
        <w:r w:rsidR="00056825">
          <w:rPr>
            <w:noProof/>
            <w:webHidden/>
          </w:rPr>
          <w:fldChar w:fldCharType="separate"/>
        </w:r>
        <w:r>
          <w:rPr>
            <w:noProof/>
            <w:webHidden/>
          </w:rPr>
          <w:t>96</w:t>
        </w:r>
        <w:r w:rsidR="00056825">
          <w:rPr>
            <w:noProof/>
            <w:webHidden/>
          </w:rPr>
          <w:fldChar w:fldCharType="end"/>
        </w:r>
      </w:hyperlink>
    </w:p>
    <w:p w14:paraId="16D0C49A" w14:textId="2C2A73E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7" w:history="1">
        <w:r w:rsidR="00056825" w:rsidRPr="00167DCA">
          <w:rPr>
            <w:rStyle w:val="Hypertextovodkaz"/>
            <w:noProof/>
          </w:rPr>
          <w:t>Tabulka 44: KS – míra změny rozsudku dle soudů v civilním řízení, 2023</w:t>
        </w:r>
        <w:r w:rsidR="00056825">
          <w:rPr>
            <w:noProof/>
            <w:webHidden/>
          </w:rPr>
          <w:tab/>
        </w:r>
        <w:r w:rsidR="00056825">
          <w:rPr>
            <w:noProof/>
            <w:webHidden/>
          </w:rPr>
          <w:fldChar w:fldCharType="begin"/>
        </w:r>
        <w:r w:rsidR="00056825">
          <w:rPr>
            <w:noProof/>
            <w:webHidden/>
          </w:rPr>
          <w:instrText xml:space="preserve"> PAGEREF _Toc174080787 \h </w:instrText>
        </w:r>
        <w:r w:rsidR="00056825">
          <w:rPr>
            <w:noProof/>
            <w:webHidden/>
          </w:rPr>
        </w:r>
        <w:r w:rsidR="00056825">
          <w:rPr>
            <w:noProof/>
            <w:webHidden/>
          </w:rPr>
          <w:fldChar w:fldCharType="separate"/>
        </w:r>
        <w:r>
          <w:rPr>
            <w:noProof/>
            <w:webHidden/>
          </w:rPr>
          <w:t>97</w:t>
        </w:r>
        <w:r w:rsidR="00056825">
          <w:rPr>
            <w:noProof/>
            <w:webHidden/>
          </w:rPr>
          <w:fldChar w:fldCharType="end"/>
        </w:r>
      </w:hyperlink>
    </w:p>
    <w:p w14:paraId="6212F533" w14:textId="53E6795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8" w:history="1">
        <w:r w:rsidR="00056825" w:rsidRPr="00167DCA">
          <w:rPr>
            <w:rStyle w:val="Hypertextovodkaz"/>
            <w:noProof/>
          </w:rPr>
          <w:t>Tabulka 45: KS – podíl vybraných předmětů sporu v letech dle soudů, 2023</w:t>
        </w:r>
        <w:r w:rsidR="00056825">
          <w:rPr>
            <w:noProof/>
            <w:webHidden/>
          </w:rPr>
          <w:tab/>
        </w:r>
        <w:r w:rsidR="00056825">
          <w:rPr>
            <w:noProof/>
            <w:webHidden/>
          </w:rPr>
          <w:fldChar w:fldCharType="begin"/>
        </w:r>
        <w:r w:rsidR="00056825">
          <w:rPr>
            <w:noProof/>
            <w:webHidden/>
          </w:rPr>
          <w:instrText xml:space="preserve"> PAGEREF _Toc174080788 \h </w:instrText>
        </w:r>
        <w:r w:rsidR="00056825">
          <w:rPr>
            <w:noProof/>
            <w:webHidden/>
          </w:rPr>
        </w:r>
        <w:r w:rsidR="00056825">
          <w:rPr>
            <w:noProof/>
            <w:webHidden/>
          </w:rPr>
          <w:fldChar w:fldCharType="separate"/>
        </w:r>
        <w:r>
          <w:rPr>
            <w:noProof/>
            <w:webHidden/>
          </w:rPr>
          <w:t>99</w:t>
        </w:r>
        <w:r w:rsidR="00056825">
          <w:rPr>
            <w:noProof/>
            <w:webHidden/>
          </w:rPr>
          <w:fldChar w:fldCharType="end"/>
        </w:r>
      </w:hyperlink>
    </w:p>
    <w:p w14:paraId="0C559AA5" w14:textId="28771C8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89" w:history="1">
        <w:r w:rsidR="00056825" w:rsidRPr="00167DCA">
          <w:rPr>
            <w:rStyle w:val="Hypertextovodkaz"/>
            <w:noProof/>
          </w:rPr>
          <w:t>Tabulka 46: KS – výše přiznaných nároků, 2023</w:t>
        </w:r>
        <w:r w:rsidR="00056825">
          <w:rPr>
            <w:noProof/>
            <w:webHidden/>
          </w:rPr>
          <w:tab/>
        </w:r>
        <w:r w:rsidR="00056825">
          <w:rPr>
            <w:noProof/>
            <w:webHidden/>
          </w:rPr>
          <w:fldChar w:fldCharType="begin"/>
        </w:r>
        <w:r w:rsidR="00056825">
          <w:rPr>
            <w:noProof/>
            <w:webHidden/>
          </w:rPr>
          <w:instrText xml:space="preserve"> PAGEREF _Toc174080789 \h </w:instrText>
        </w:r>
        <w:r w:rsidR="00056825">
          <w:rPr>
            <w:noProof/>
            <w:webHidden/>
          </w:rPr>
        </w:r>
        <w:r w:rsidR="00056825">
          <w:rPr>
            <w:noProof/>
            <w:webHidden/>
          </w:rPr>
          <w:fldChar w:fldCharType="separate"/>
        </w:r>
        <w:r>
          <w:rPr>
            <w:noProof/>
            <w:webHidden/>
          </w:rPr>
          <w:t>99</w:t>
        </w:r>
        <w:r w:rsidR="00056825">
          <w:rPr>
            <w:noProof/>
            <w:webHidden/>
          </w:rPr>
          <w:fldChar w:fldCharType="end"/>
        </w:r>
      </w:hyperlink>
    </w:p>
    <w:p w14:paraId="4B1A5BBF" w14:textId="59790A4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0" w:history="1">
        <w:r w:rsidR="00056825" w:rsidRPr="00167DCA">
          <w:rPr>
            <w:rStyle w:val="Hypertextovodkaz"/>
            <w:noProof/>
          </w:rPr>
          <w:t>Tabulka 47: KS – výše přiznaných nároků v letech 2016–2023</w:t>
        </w:r>
        <w:r w:rsidR="00056825">
          <w:rPr>
            <w:noProof/>
            <w:webHidden/>
          </w:rPr>
          <w:tab/>
        </w:r>
        <w:r w:rsidR="00056825">
          <w:rPr>
            <w:noProof/>
            <w:webHidden/>
          </w:rPr>
          <w:fldChar w:fldCharType="begin"/>
        </w:r>
        <w:r w:rsidR="00056825">
          <w:rPr>
            <w:noProof/>
            <w:webHidden/>
          </w:rPr>
          <w:instrText xml:space="preserve"> PAGEREF _Toc174080790 \h </w:instrText>
        </w:r>
        <w:r w:rsidR="00056825">
          <w:rPr>
            <w:noProof/>
            <w:webHidden/>
          </w:rPr>
        </w:r>
        <w:r w:rsidR="00056825">
          <w:rPr>
            <w:noProof/>
            <w:webHidden/>
          </w:rPr>
          <w:fldChar w:fldCharType="separate"/>
        </w:r>
        <w:r>
          <w:rPr>
            <w:noProof/>
            <w:webHidden/>
          </w:rPr>
          <w:t>100</w:t>
        </w:r>
        <w:r w:rsidR="00056825">
          <w:rPr>
            <w:noProof/>
            <w:webHidden/>
          </w:rPr>
          <w:fldChar w:fldCharType="end"/>
        </w:r>
      </w:hyperlink>
    </w:p>
    <w:p w14:paraId="4D3E83E1" w14:textId="0CA4553D"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1" w:history="1">
        <w:r w:rsidR="00056825" w:rsidRPr="00167DCA">
          <w:rPr>
            <w:rStyle w:val="Hypertextovodkaz"/>
            <w:noProof/>
          </w:rPr>
          <w:t>Tabulka 48: KS – délky odvolacího civilního řízení dle soudů, 2023</w:t>
        </w:r>
        <w:r w:rsidR="00056825">
          <w:rPr>
            <w:noProof/>
            <w:webHidden/>
          </w:rPr>
          <w:tab/>
        </w:r>
        <w:r w:rsidR="00056825">
          <w:rPr>
            <w:noProof/>
            <w:webHidden/>
          </w:rPr>
          <w:fldChar w:fldCharType="begin"/>
        </w:r>
        <w:r w:rsidR="00056825">
          <w:rPr>
            <w:noProof/>
            <w:webHidden/>
          </w:rPr>
          <w:instrText xml:space="preserve"> PAGEREF _Toc174080791 \h </w:instrText>
        </w:r>
        <w:r w:rsidR="00056825">
          <w:rPr>
            <w:noProof/>
            <w:webHidden/>
          </w:rPr>
        </w:r>
        <w:r w:rsidR="00056825">
          <w:rPr>
            <w:noProof/>
            <w:webHidden/>
          </w:rPr>
          <w:fldChar w:fldCharType="separate"/>
        </w:r>
        <w:r>
          <w:rPr>
            <w:noProof/>
            <w:webHidden/>
          </w:rPr>
          <w:t>102</w:t>
        </w:r>
        <w:r w:rsidR="00056825">
          <w:rPr>
            <w:noProof/>
            <w:webHidden/>
          </w:rPr>
          <w:fldChar w:fldCharType="end"/>
        </w:r>
      </w:hyperlink>
    </w:p>
    <w:p w14:paraId="7256323E" w14:textId="7D2AE5B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2" w:history="1">
        <w:r w:rsidR="00056825" w:rsidRPr="00167DCA">
          <w:rPr>
            <w:rStyle w:val="Hypertextovodkaz"/>
            <w:noProof/>
          </w:rPr>
          <w:t>Tabulka 49: KS – vyřizování odvolacích civilních věcí dle soudů, 2023</w:t>
        </w:r>
        <w:r w:rsidR="00056825">
          <w:rPr>
            <w:noProof/>
            <w:webHidden/>
          </w:rPr>
          <w:tab/>
        </w:r>
        <w:r w:rsidR="00056825">
          <w:rPr>
            <w:noProof/>
            <w:webHidden/>
          </w:rPr>
          <w:fldChar w:fldCharType="begin"/>
        </w:r>
        <w:r w:rsidR="00056825">
          <w:rPr>
            <w:noProof/>
            <w:webHidden/>
          </w:rPr>
          <w:instrText xml:space="preserve"> PAGEREF _Toc174080792 \h </w:instrText>
        </w:r>
        <w:r w:rsidR="00056825">
          <w:rPr>
            <w:noProof/>
            <w:webHidden/>
          </w:rPr>
        </w:r>
        <w:r w:rsidR="00056825">
          <w:rPr>
            <w:noProof/>
            <w:webHidden/>
          </w:rPr>
          <w:fldChar w:fldCharType="separate"/>
        </w:r>
        <w:r>
          <w:rPr>
            <w:noProof/>
            <w:webHidden/>
          </w:rPr>
          <w:t>104</w:t>
        </w:r>
        <w:r w:rsidR="00056825">
          <w:rPr>
            <w:noProof/>
            <w:webHidden/>
          </w:rPr>
          <w:fldChar w:fldCharType="end"/>
        </w:r>
      </w:hyperlink>
    </w:p>
    <w:p w14:paraId="6FD256C0" w14:textId="418181D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3" w:history="1">
        <w:r w:rsidR="00056825" w:rsidRPr="00167DCA">
          <w:rPr>
            <w:rStyle w:val="Hypertextovodkaz"/>
            <w:noProof/>
          </w:rPr>
          <w:t>Tabulka 50: KS – vyřiz. odvolacích civil. věcí na skutečný úvazek dle soudů</w:t>
        </w:r>
        <w:r w:rsidR="00056825">
          <w:rPr>
            <w:noProof/>
            <w:webHidden/>
          </w:rPr>
          <w:tab/>
        </w:r>
        <w:r w:rsidR="00056825">
          <w:rPr>
            <w:noProof/>
            <w:webHidden/>
          </w:rPr>
          <w:fldChar w:fldCharType="begin"/>
        </w:r>
        <w:r w:rsidR="00056825">
          <w:rPr>
            <w:noProof/>
            <w:webHidden/>
          </w:rPr>
          <w:instrText xml:space="preserve"> PAGEREF _Toc174080793 \h </w:instrText>
        </w:r>
        <w:r w:rsidR="00056825">
          <w:rPr>
            <w:noProof/>
            <w:webHidden/>
          </w:rPr>
        </w:r>
        <w:r w:rsidR="00056825">
          <w:rPr>
            <w:noProof/>
            <w:webHidden/>
          </w:rPr>
          <w:fldChar w:fldCharType="separate"/>
        </w:r>
        <w:r>
          <w:rPr>
            <w:noProof/>
            <w:webHidden/>
          </w:rPr>
          <w:t>104</w:t>
        </w:r>
        <w:r w:rsidR="00056825">
          <w:rPr>
            <w:noProof/>
            <w:webHidden/>
          </w:rPr>
          <w:fldChar w:fldCharType="end"/>
        </w:r>
      </w:hyperlink>
    </w:p>
    <w:p w14:paraId="7357090B" w14:textId="59DEA0C3"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4" w:history="1">
        <w:r w:rsidR="00056825" w:rsidRPr="00167DCA">
          <w:rPr>
            <w:rStyle w:val="Hypertextovodkaz"/>
            <w:noProof/>
          </w:rPr>
          <w:t>Tabulka 51: KS – DT v civilním odvolacím řízení dle soudů, 2023</w:t>
        </w:r>
        <w:r w:rsidR="00056825">
          <w:rPr>
            <w:noProof/>
            <w:webHidden/>
          </w:rPr>
          <w:tab/>
        </w:r>
        <w:r w:rsidR="00056825">
          <w:rPr>
            <w:noProof/>
            <w:webHidden/>
          </w:rPr>
          <w:fldChar w:fldCharType="begin"/>
        </w:r>
        <w:r w:rsidR="00056825">
          <w:rPr>
            <w:noProof/>
            <w:webHidden/>
          </w:rPr>
          <w:instrText xml:space="preserve"> PAGEREF _Toc174080794 \h </w:instrText>
        </w:r>
        <w:r w:rsidR="00056825">
          <w:rPr>
            <w:noProof/>
            <w:webHidden/>
          </w:rPr>
        </w:r>
        <w:r w:rsidR="00056825">
          <w:rPr>
            <w:noProof/>
            <w:webHidden/>
          </w:rPr>
          <w:fldChar w:fldCharType="separate"/>
        </w:r>
        <w:r>
          <w:rPr>
            <w:noProof/>
            <w:webHidden/>
          </w:rPr>
          <w:t>106</w:t>
        </w:r>
        <w:r w:rsidR="00056825">
          <w:rPr>
            <w:noProof/>
            <w:webHidden/>
          </w:rPr>
          <w:fldChar w:fldCharType="end"/>
        </w:r>
      </w:hyperlink>
    </w:p>
    <w:p w14:paraId="6D02F097" w14:textId="4EEC0A3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5" w:history="1">
        <w:r w:rsidR="00056825" w:rsidRPr="00167DCA">
          <w:rPr>
            <w:rStyle w:val="Hypertextovodkaz"/>
            <w:noProof/>
          </w:rPr>
          <w:t>Tabulka 52: KS – délky prvostupňového trestního řízení dle soudů, 2023</w:t>
        </w:r>
        <w:r w:rsidR="00056825">
          <w:rPr>
            <w:noProof/>
            <w:webHidden/>
          </w:rPr>
          <w:tab/>
        </w:r>
        <w:r w:rsidR="00056825">
          <w:rPr>
            <w:noProof/>
            <w:webHidden/>
          </w:rPr>
          <w:fldChar w:fldCharType="begin"/>
        </w:r>
        <w:r w:rsidR="00056825">
          <w:rPr>
            <w:noProof/>
            <w:webHidden/>
          </w:rPr>
          <w:instrText xml:space="preserve"> PAGEREF _Toc174080795 \h </w:instrText>
        </w:r>
        <w:r w:rsidR="00056825">
          <w:rPr>
            <w:noProof/>
            <w:webHidden/>
          </w:rPr>
        </w:r>
        <w:r w:rsidR="00056825">
          <w:rPr>
            <w:noProof/>
            <w:webHidden/>
          </w:rPr>
          <w:fldChar w:fldCharType="separate"/>
        </w:r>
        <w:r>
          <w:rPr>
            <w:noProof/>
            <w:webHidden/>
          </w:rPr>
          <w:t>108</w:t>
        </w:r>
        <w:r w:rsidR="00056825">
          <w:rPr>
            <w:noProof/>
            <w:webHidden/>
          </w:rPr>
          <w:fldChar w:fldCharType="end"/>
        </w:r>
      </w:hyperlink>
    </w:p>
    <w:p w14:paraId="24D4CBF7" w14:textId="0388153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6" w:history="1">
        <w:r w:rsidR="00056825" w:rsidRPr="00167DCA">
          <w:rPr>
            <w:rStyle w:val="Hypertextovodkaz"/>
            <w:noProof/>
          </w:rPr>
          <w:t>Tabulka 53: KS – vyřizování prvostupňových trestních věcí dle soudů, 2023</w:t>
        </w:r>
        <w:r w:rsidR="00056825">
          <w:rPr>
            <w:noProof/>
            <w:webHidden/>
          </w:rPr>
          <w:tab/>
        </w:r>
        <w:r w:rsidR="00056825">
          <w:rPr>
            <w:noProof/>
            <w:webHidden/>
          </w:rPr>
          <w:fldChar w:fldCharType="begin"/>
        </w:r>
        <w:r w:rsidR="00056825">
          <w:rPr>
            <w:noProof/>
            <w:webHidden/>
          </w:rPr>
          <w:instrText xml:space="preserve"> PAGEREF _Toc174080796 \h </w:instrText>
        </w:r>
        <w:r w:rsidR="00056825">
          <w:rPr>
            <w:noProof/>
            <w:webHidden/>
          </w:rPr>
        </w:r>
        <w:r w:rsidR="00056825">
          <w:rPr>
            <w:noProof/>
            <w:webHidden/>
          </w:rPr>
          <w:fldChar w:fldCharType="separate"/>
        </w:r>
        <w:r>
          <w:rPr>
            <w:noProof/>
            <w:webHidden/>
          </w:rPr>
          <w:t>110</w:t>
        </w:r>
        <w:r w:rsidR="00056825">
          <w:rPr>
            <w:noProof/>
            <w:webHidden/>
          </w:rPr>
          <w:fldChar w:fldCharType="end"/>
        </w:r>
      </w:hyperlink>
    </w:p>
    <w:p w14:paraId="12A186FE" w14:textId="3579986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7" w:history="1">
        <w:r w:rsidR="00056825" w:rsidRPr="00167DCA">
          <w:rPr>
            <w:rStyle w:val="Hypertextovodkaz"/>
            <w:noProof/>
          </w:rPr>
          <w:t>Tabulka 54: KS – vyřiz. prvostupň. trest. věcí na skutečný úvazek dle soudů</w:t>
        </w:r>
        <w:r w:rsidR="00056825">
          <w:rPr>
            <w:noProof/>
            <w:webHidden/>
          </w:rPr>
          <w:tab/>
        </w:r>
        <w:r w:rsidR="00056825">
          <w:rPr>
            <w:noProof/>
            <w:webHidden/>
          </w:rPr>
          <w:fldChar w:fldCharType="begin"/>
        </w:r>
        <w:r w:rsidR="00056825">
          <w:rPr>
            <w:noProof/>
            <w:webHidden/>
          </w:rPr>
          <w:instrText xml:space="preserve"> PAGEREF _Toc174080797 \h </w:instrText>
        </w:r>
        <w:r w:rsidR="00056825">
          <w:rPr>
            <w:noProof/>
            <w:webHidden/>
          </w:rPr>
        </w:r>
        <w:r w:rsidR="00056825">
          <w:rPr>
            <w:noProof/>
            <w:webHidden/>
          </w:rPr>
          <w:fldChar w:fldCharType="separate"/>
        </w:r>
        <w:r>
          <w:rPr>
            <w:noProof/>
            <w:webHidden/>
          </w:rPr>
          <w:t>111</w:t>
        </w:r>
        <w:r w:rsidR="00056825">
          <w:rPr>
            <w:noProof/>
            <w:webHidden/>
          </w:rPr>
          <w:fldChar w:fldCharType="end"/>
        </w:r>
      </w:hyperlink>
    </w:p>
    <w:p w14:paraId="59C483F5" w14:textId="01F200E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8" w:history="1">
        <w:r w:rsidR="00056825" w:rsidRPr="00167DCA">
          <w:rPr>
            <w:rStyle w:val="Hypertextovodkaz"/>
            <w:noProof/>
          </w:rPr>
          <w:t>Tabulka 55: KS – DT v prvostupňovém trestním řízení dle soudů, 2023</w:t>
        </w:r>
        <w:r w:rsidR="00056825">
          <w:rPr>
            <w:noProof/>
            <w:webHidden/>
          </w:rPr>
          <w:tab/>
        </w:r>
        <w:r w:rsidR="00056825">
          <w:rPr>
            <w:noProof/>
            <w:webHidden/>
          </w:rPr>
          <w:fldChar w:fldCharType="begin"/>
        </w:r>
        <w:r w:rsidR="00056825">
          <w:rPr>
            <w:noProof/>
            <w:webHidden/>
          </w:rPr>
          <w:instrText xml:space="preserve"> PAGEREF _Toc174080798 \h </w:instrText>
        </w:r>
        <w:r w:rsidR="00056825">
          <w:rPr>
            <w:noProof/>
            <w:webHidden/>
          </w:rPr>
        </w:r>
        <w:r w:rsidR="00056825">
          <w:rPr>
            <w:noProof/>
            <w:webHidden/>
          </w:rPr>
          <w:fldChar w:fldCharType="separate"/>
        </w:r>
        <w:r>
          <w:rPr>
            <w:noProof/>
            <w:webHidden/>
          </w:rPr>
          <w:t>112</w:t>
        </w:r>
        <w:r w:rsidR="00056825">
          <w:rPr>
            <w:noProof/>
            <w:webHidden/>
          </w:rPr>
          <w:fldChar w:fldCharType="end"/>
        </w:r>
      </w:hyperlink>
    </w:p>
    <w:p w14:paraId="630724FE" w14:textId="1C3D544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799" w:history="1">
        <w:r w:rsidR="00056825" w:rsidRPr="00167DCA">
          <w:rPr>
            <w:rStyle w:val="Hypertextovodkaz"/>
            <w:noProof/>
          </w:rPr>
          <w:t>Tabulka 56: KS – míra odvolání dle soudů v trestním řízení, 2023</w:t>
        </w:r>
        <w:r w:rsidR="00056825">
          <w:rPr>
            <w:noProof/>
            <w:webHidden/>
          </w:rPr>
          <w:tab/>
        </w:r>
        <w:r w:rsidR="00056825">
          <w:rPr>
            <w:noProof/>
            <w:webHidden/>
          </w:rPr>
          <w:fldChar w:fldCharType="begin"/>
        </w:r>
        <w:r w:rsidR="00056825">
          <w:rPr>
            <w:noProof/>
            <w:webHidden/>
          </w:rPr>
          <w:instrText xml:space="preserve"> PAGEREF _Toc174080799 \h </w:instrText>
        </w:r>
        <w:r w:rsidR="00056825">
          <w:rPr>
            <w:noProof/>
            <w:webHidden/>
          </w:rPr>
        </w:r>
        <w:r w:rsidR="00056825">
          <w:rPr>
            <w:noProof/>
            <w:webHidden/>
          </w:rPr>
          <w:fldChar w:fldCharType="separate"/>
        </w:r>
        <w:r>
          <w:rPr>
            <w:noProof/>
            <w:webHidden/>
          </w:rPr>
          <w:t>113</w:t>
        </w:r>
        <w:r w:rsidR="00056825">
          <w:rPr>
            <w:noProof/>
            <w:webHidden/>
          </w:rPr>
          <w:fldChar w:fldCharType="end"/>
        </w:r>
      </w:hyperlink>
    </w:p>
    <w:p w14:paraId="2423200F" w14:textId="339E15A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0" w:history="1">
        <w:r w:rsidR="00056825" w:rsidRPr="00167DCA">
          <w:rPr>
            <w:rStyle w:val="Hypertextovodkaz"/>
            <w:noProof/>
          </w:rPr>
          <w:t>Tabulka 57: KS – míra změny rozsudku dle soudů v trestním řízení, 2023</w:t>
        </w:r>
        <w:r w:rsidR="00056825">
          <w:rPr>
            <w:noProof/>
            <w:webHidden/>
          </w:rPr>
          <w:tab/>
        </w:r>
        <w:r w:rsidR="00056825">
          <w:rPr>
            <w:noProof/>
            <w:webHidden/>
          </w:rPr>
          <w:fldChar w:fldCharType="begin"/>
        </w:r>
        <w:r w:rsidR="00056825">
          <w:rPr>
            <w:noProof/>
            <w:webHidden/>
          </w:rPr>
          <w:instrText xml:space="preserve"> PAGEREF _Toc174080800 \h </w:instrText>
        </w:r>
        <w:r w:rsidR="00056825">
          <w:rPr>
            <w:noProof/>
            <w:webHidden/>
          </w:rPr>
        </w:r>
        <w:r w:rsidR="00056825">
          <w:rPr>
            <w:noProof/>
            <w:webHidden/>
          </w:rPr>
          <w:fldChar w:fldCharType="separate"/>
        </w:r>
        <w:r>
          <w:rPr>
            <w:noProof/>
            <w:webHidden/>
          </w:rPr>
          <w:t>114</w:t>
        </w:r>
        <w:r w:rsidR="00056825">
          <w:rPr>
            <w:noProof/>
            <w:webHidden/>
          </w:rPr>
          <w:fldChar w:fldCharType="end"/>
        </w:r>
      </w:hyperlink>
    </w:p>
    <w:p w14:paraId="7291959F" w14:textId="5840F4F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1" w:history="1">
        <w:r w:rsidR="00056825" w:rsidRPr="00167DCA">
          <w:rPr>
            <w:rStyle w:val="Hypertextovodkaz"/>
            <w:noProof/>
          </w:rPr>
          <w:t>Tabulka 58: KS – míra odsouzení dle krajů, 2023</w:t>
        </w:r>
        <w:r w:rsidR="00056825">
          <w:rPr>
            <w:noProof/>
            <w:webHidden/>
          </w:rPr>
          <w:tab/>
        </w:r>
        <w:r w:rsidR="00056825">
          <w:rPr>
            <w:noProof/>
            <w:webHidden/>
          </w:rPr>
          <w:fldChar w:fldCharType="begin"/>
        </w:r>
        <w:r w:rsidR="00056825">
          <w:rPr>
            <w:noProof/>
            <w:webHidden/>
          </w:rPr>
          <w:instrText xml:space="preserve"> PAGEREF _Toc174080801 \h </w:instrText>
        </w:r>
        <w:r w:rsidR="00056825">
          <w:rPr>
            <w:noProof/>
            <w:webHidden/>
          </w:rPr>
        </w:r>
        <w:r w:rsidR="00056825">
          <w:rPr>
            <w:noProof/>
            <w:webHidden/>
          </w:rPr>
          <w:fldChar w:fldCharType="separate"/>
        </w:r>
        <w:r>
          <w:rPr>
            <w:noProof/>
            <w:webHidden/>
          </w:rPr>
          <w:t>115</w:t>
        </w:r>
        <w:r w:rsidR="00056825">
          <w:rPr>
            <w:noProof/>
            <w:webHidden/>
          </w:rPr>
          <w:fldChar w:fldCharType="end"/>
        </w:r>
      </w:hyperlink>
    </w:p>
    <w:p w14:paraId="5625DB1D" w14:textId="27FB6EB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2" w:history="1">
        <w:r w:rsidR="00056825" w:rsidRPr="00167DCA">
          <w:rPr>
            <w:rStyle w:val="Hypertextovodkaz"/>
            <w:noProof/>
          </w:rPr>
          <w:t>Tabulka 59: KS – TČ, za které je ukládáno NEPO, 2023</w:t>
        </w:r>
        <w:r w:rsidR="00056825">
          <w:rPr>
            <w:noProof/>
            <w:webHidden/>
          </w:rPr>
          <w:tab/>
        </w:r>
        <w:r w:rsidR="00056825">
          <w:rPr>
            <w:noProof/>
            <w:webHidden/>
          </w:rPr>
          <w:fldChar w:fldCharType="begin"/>
        </w:r>
        <w:r w:rsidR="00056825">
          <w:rPr>
            <w:noProof/>
            <w:webHidden/>
          </w:rPr>
          <w:instrText xml:space="preserve"> PAGEREF _Toc174080802 \h </w:instrText>
        </w:r>
        <w:r w:rsidR="00056825">
          <w:rPr>
            <w:noProof/>
            <w:webHidden/>
          </w:rPr>
        </w:r>
        <w:r w:rsidR="00056825">
          <w:rPr>
            <w:noProof/>
            <w:webHidden/>
          </w:rPr>
          <w:fldChar w:fldCharType="separate"/>
        </w:r>
        <w:r>
          <w:rPr>
            <w:noProof/>
            <w:webHidden/>
          </w:rPr>
          <w:t>116</w:t>
        </w:r>
        <w:r w:rsidR="00056825">
          <w:rPr>
            <w:noProof/>
            <w:webHidden/>
          </w:rPr>
          <w:fldChar w:fldCharType="end"/>
        </w:r>
      </w:hyperlink>
    </w:p>
    <w:p w14:paraId="0553C62C" w14:textId="671E236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3" w:history="1">
        <w:r w:rsidR="00056825" w:rsidRPr="00167DCA">
          <w:rPr>
            <w:rStyle w:val="Hypertextovodkaz"/>
            <w:noProof/>
          </w:rPr>
          <w:t>Tabulka 60: KS – délky odvolacího trestního řízení dle soudů</w:t>
        </w:r>
        <w:r w:rsidR="00056825">
          <w:rPr>
            <w:noProof/>
            <w:webHidden/>
          </w:rPr>
          <w:tab/>
        </w:r>
        <w:r w:rsidR="00056825">
          <w:rPr>
            <w:noProof/>
            <w:webHidden/>
          </w:rPr>
          <w:fldChar w:fldCharType="begin"/>
        </w:r>
        <w:r w:rsidR="00056825">
          <w:rPr>
            <w:noProof/>
            <w:webHidden/>
          </w:rPr>
          <w:instrText xml:space="preserve"> PAGEREF _Toc174080803 \h </w:instrText>
        </w:r>
        <w:r w:rsidR="00056825">
          <w:rPr>
            <w:noProof/>
            <w:webHidden/>
          </w:rPr>
        </w:r>
        <w:r w:rsidR="00056825">
          <w:rPr>
            <w:noProof/>
            <w:webHidden/>
          </w:rPr>
          <w:fldChar w:fldCharType="separate"/>
        </w:r>
        <w:r>
          <w:rPr>
            <w:noProof/>
            <w:webHidden/>
          </w:rPr>
          <w:t>118</w:t>
        </w:r>
        <w:r w:rsidR="00056825">
          <w:rPr>
            <w:noProof/>
            <w:webHidden/>
          </w:rPr>
          <w:fldChar w:fldCharType="end"/>
        </w:r>
      </w:hyperlink>
    </w:p>
    <w:p w14:paraId="79E64944" w14:textId="2BE3486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4" w:history="1">
        <w:r w:rsidR="00056825" w:rsidRPr="00167DCA">
          <w:rPr>
            <w:rStyle w:val="Hypertextovodkaz"/>
            <w:noProof/>
          </w:rPr>
          <w:t>Tabulka 61: KS – vyřizování odvolacích trestních věcí dle soudů, 2023</w:t>
        </w:r>
        <w:r w:rsidR="00056825">
          <w:rPr>
            <w:noProof/>
            <w:webHidden/>
          </w:rPr>
          <w:tab/>
        </w:r>
        <w:r w:rsidR="00056825">
          <w:rPr>
            <w:noProof/>
            <w:webHidden/>
          </w:rPr>
          <w:fldChar w:fldCharType="begin"/>
        </w:r>
        <w:r w:rsidR="00056825">
          <w:rPr>
            <w:noProof/>
            <w:webHidden/>
          </w:rPr>
          <w:instrText xml:space="preserve"> PAGEREF _Toc174080804 \h </w:instrText>
        </w:r>
        <w:r w:rsidR="00056825">
          <w:rPr>
            <w:noProof/>
            <w:webHidden/>
          </w:rPr>
        </w:r>
        <w:r w:rsidR="00056825">
          <w:rPr>
            <w:noProof/>
            <w:webHidden/>
          </w:rPr>
          <w:fldChar w:fldCharType="separate"/>
        </w:r>
        <w:r>
          <w:rPr>
            <w:noProof/>
            <w:webHidden/>
          </w:rPr>
          <w:t>120</w:t>
        </w:r>
        <w:r w:rsidR="00056825">
          <w:rPr>
            <w:noProof/>
            <w:webHidden/>
          </w:rPr>
          <w:fldChar w:fldCharType="end"/>
        </w:r>
      </w:hyperlink>
    </w:p>
    <w:p w14:paraId="1295BA41" w14:textId="2EA09D2C"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5" w:history="1">
        <w:r w:rsidR="00056825" w:rsidRPr="00167DCA">
          <w:rPr>
            <w:rStyle w:val="Hypertextovodkaz"/>
            <w:noProof/>
          </w:rPr>
          <w:t>Tabulka 62: KS – vyřiz. odvolacích tr. věcí na skutečný úvazek dle soudů, 2023</w:t>
        </w:r>
        <w:r w:rsidR="00056825">
          <w:rPr>
            <w:noProof/>
            <w:webHidden/>
          </w:rPr>
          <w:tab/>
        </w:r>
        <w:r w:rsidR="00056825">
          <w:rPr>
            <w:noProof/>
            <w:webHidden/>
          </w:rPr>
          <w:fldChar w:fldCharType="begin"/>
        </w:r>
        <w:r w:rsidR="00056825">
          <w:rPr>
            <w:noProof/>
            <w:webHidden/>
          </w:rPr>
          <w:instrText xml:space="preserve"> PAGEREF _Toc174080805 \h </w:instrText>
        </w:r>
        <w:r w:rsidR="00056825">
          <w:rPr>
            <w:noProof/>
            <w:webHidden/>
          </w:rPr>
        </w:r>
        <w:r w:rsidR="00056825">
          <w:rPr>
            <w:noProof/>
            <w:webHidden/>
          </w:rPr>
          <w:fldChar w:fldCharType="separate"/>
        </w:r>
        <w:r>
          <w:rPr>
            <w:noProof/>
            <w:webHidden/>
          </w:rPr>
          <w:t>120</w:t>
        </w:r>
        <w:r w:rsidR="00056825">
          <w:rPr>
            <w:noProof/>
            <w:webHidden/>
          </w:rPr>
          <w:fldChar w:fldCharType="end"/>
        </w:r>
      </w:hyperlink>
    </w:p>
    <w:p w14:paraId="15170F88" w14:textId="2A7BE49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6" w:history="1">
        <w:r w:rsidR="00056825" w:rsidRPr="00167DCA">
          <w:rPr>
            <w:rStyle w:val="Hypertextovodkaz"/>
            <w:noProof/>
          </w:rPr>
          <w:t>Tabulka 63: KS – DT odvolacího trestního řízení dle soudů</w:t>
        </w:r>
        <w:r w:rsidR="00056825">
          <w:rPr>
            <w:noProof/>
            <w:webHidden/>
          </w:rPr>
          <w:tab/>
        </w:r>
        <w:r w:rsidR="00056825">
          <w:rPr>
            <w:noProof/>
            <w:webHidden/>
          </w:rPr>
          <w:fldChar w:fldCharType="begin"/>
        </w:r>
        <w:r w:rsidR="00056825">
          <w:rPr>
            <w:noProof/>
            <w:webHidden/>
          </w:rPr>
          <w:instrText xml:space="preserve"> PAGEREF _Toc174080806 \h </w:instrText>
        </w:r>
        <w:r w:rsidR="00056825">
          <w:rPr>
            <w:noProof/>
            <w:webHidden/>
          </w:rPr>
        </w:r>
        <w:r w:rsidR="00056825">
          <w:rPr>
            <w:noProof/>
            <w:webHidden/>
          </w:rPr>
          <w:fldChar w:fldCharType="separate"/>
        </w:r>
        <w:r>
          <w:rPr>
            <w:noProof/>
            <w:webHidden/>
          </w:rPr>
          <w:t>121</w:t>
        </w:r>
        <w:r w:rsidR="00056825">
          <w:rPr>
            <w:noProof/>
            <w:webHidden/>
          </w:rPr>
          <w:fldChar w:fldCharType="end"/>
        </w:r>
      </w:hyperlink>
    </w:p>
    <w:p w14:paraId="30BB858F" w14:textId="0DF169D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7" w:history="1">
        <w:r w:rsidR="00056825" w:rsidRPr="00167DCA">
          <w:rPr>
            <w:rStyle w:val="Hypertextovodkaz"/>
            <w:noProof/>
          </w:rPr>
          <w:t>Tabulka 64: KS – délky správního řízení dle soudů</w:t>
        </w:r>
        <w:r w:rsidR="00056825">
          <w:rPr>
            <w:noProof/>
            <w:webHidden/>
          </w:rPr>
          <w:tab/>
        </w:r>
        <w:r w:rsidR="00056825">
          <w:rPr>
            <w:noProof/>
            <w:webHidden/>
          </w:rPr>
          <w:fldChar w:fldCharType="begin"/>
        </w:r>
        <w:r w:rsidR="00056825">
          <w:rPr>
            <w:noProof/>
            <w:webHidden/>
          </w:rPr>
          <w:instrText xml:space="preserve"> PAGEREF _Toc174080807 \h </w:instrText>
        </w:r>
        <w:r w:rsidR="00056825">
          <w:rPr>
            <w:noProof/>
            <w:webHidden/>
          </w:rPr>
        </w:r>
        <w:r w:rsidR="00056825">
          <w:rPr>
            <w:noProof/>
            <w:webHidden/>
          </w:rPr>
          <w:fldChar w:fldCharType="separate"/>
        </w:r>
        <w:r>
          <w:rPr>
            <w:noProof/>
            <w:webHidden/>
          </w:rPr>
          <w:t>123</w:t>
        </w:r>
        <w:r w:rsidR="00056825">
          <w:rPr>
            <w:noProof/>
            <w:webHidden/>
          </w:rPr>
          <w:fldChar w:fldCharType="end"/>
        </w:r>
      </w:hyperlink>
    </w:p>
    <w:p w14:paraId="24FF9EC9" w14:textId="28800C4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8" w:history="1">
        <w:r w:rsidR="00056825" w:rsidRPr="00167DCA">
          <w:rPr>
            <w:rStyle w:val="Hypertextovodkaz"/>
            <w:noProof/>
          </w:rPr>
          <w:t>Tabulka 65: KS – vyřizování správních věcí dle soudů</w:t>
        </w:r>
        <w:r w:rsidR="00056825">
          <w:rPr>
            <w:noProof/>
            <w:webHidden/>
          </w:rPr>
          <w:tab/>
        </w:r>
        <w:r w:rsidR="00056825">
          <w:rPr>
            <w:noProof/>
            <w:webHidden/>
          </w:rPr>
          <w:fldChar w:fldCharType="begin"/>
        </w:r>
        <w:r w:rsidR="00056825">
          <w:rPr>
            <w:noProof/>
            <w:webHidden/>
          </w:rPr>
          <w:instrText xml:space="preserve"> PAGEREF _Toc174080808 \h </w:instrText>
        </w:r>
        <w:r w:rsidR="00056825">
          <w:rPr>
            <w:noProof/>
            <w:webHidden/>
          </w:rPr>
        </w:r>
        <w:r w:rsidR="00056825">
          <w:rPr>
            <w:noProof/>
            <w:webHidden/>
          </w:rPr>
          <w:fldChar w:fldCharType="separate"/>
        </w:r>
        <w:r>
          <w:rPr>
            <w:noProof/>
            <w:webHidden/>
          </w:rPr>
          <w:t>125</w:t>
        </w:r>
        <w:r w:rsidR="00056825">
          <w:rPr>
            <w:noProof/>
            <w:webHidden/>
          </w:rPr>
          <w:fldChar w:fldCharType="end"/>
        </w:r>
      </w:hyperlink>
    </w:p>
    <w:p w14:paraId="7D7B44B5" w14:textId="15F47DFF"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09" w:history="1">
        <w:r w:rsidR="00056825" w:rsidRPr="00167DCA">
          <w:rPr>
            <w:rStyle w:val="Hypertextovodkaz"/>
            <w:noProof/>
          </w:rPr>
          <w:t>Tabulka 66: KS – vyřiz. správních věcí na skutečný úvazek dle soudů, 2023</w:t>
        </w:r>
        <w:r w:rsidR="00056825">
          <w:rPr>
            <w:noProof/>
            <w:webHidden/>
          </w:rPr>
          <w:tab/>
        </w:r>
        <w:r w:rsidR="00056825">
          <w:rPr>
            <w:noProof/>
            <w:webHidden/>
          </w:rPr>
          <w:fldChar w:fldCharType="begin"/>
        </w:r>
        <w:r w:rsidR="00056825">
          <w:rPr>
            <w:noProof/>
            <w:webHidden/>
          </w:rPr>
          <w:instrText xml:space="preserve"> PAGEREF _Toc174080809 \h </w:instrText>
        </w:r>
        <w:r w:rsidR="00056825">
          <w:rPr>
            <w:noProof/>
            <w:webHidden/>
          </w:rPr>
        </w:r>
        <w:r w:rsidR="00056825">
          <w:rPr>
            <w:noProof/>
            <w:webHidden/>
          </w:rPr>
          <w:fldChar w:fldCharType="separate"/>
        </w:r>
        <w:r>
          <w:rPr>
            <w:noProof/>
            <w:webHidden/>
          </w:rPr>
          <w:t>126</w:t>
        </w:r>
        <w:r w:rsidR="00056825">
          <w:rPr>
            <w:noProof/>
            <w:webHidden/>
          </w:rPr>
          <w:fldChar w:fldCharType="end"/>
        </w:r>
      </w:hyperlink>
    </w:p>
    <w:p w14:paraId="7D07BCBA" w14:textId="7DF673D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0" w:history="1">
        <w:r w:rsidR="00056825" w:rsidRPr="00167DCA">
          <w:rPr>
            <w:rStyle w:val="Hypertextovodkaz"/>
            <w:noProof/>
          </w:rPr>
          <w:t>Tabulka 67: KS – DT správního řízení dle soudů, 2023</w:t>
        </w:r>
        <w:r w:rsidR="00056825">
          <w:rPr>
            <w:noProof/>
            <w:webHidden/>
          </w:rPr>
          <w:tab/>
        </w:r>
        <w:r w:rsidR="00056825">
          <w:rPr>
            <w:noProof/>
            <w:webHidden/>
          </w:rPr>
          <w:fldChar w:fldCharType="begin"/>
        </w:r>
        <w:r w:rsidR="00056825">
          <w:rPr>
            <w:noProof/>
            <w:webHidden/>
          </w:rPr>
          <w:instrText xml:space="preserve"> PAGEREF _Toc174080810 \h </w:instrText>
        </w:r>
        <w:r w:rsidR="00056825">
          <w:rPr>
            <w:noProof/>
            <w:webHidden/>
          </w:rPr>
        </w:r>
        <w:r w:rsidR="00056825">
          <w:rPr>
            <w:noProof/>
            <w:webHidden/>
          </w:rPr>
          <w:fldChar w:fldCharType="separate"/>
        </w:r>
        <w:r>
          <w:rPr>
            <w:noProof/>
            <w:webHidden/>
          </w:rPr>
          <w:t>127</w:t>
        </w:r>
        <w:r w:rsidR="00056825">
          <w:rPr>
            <w:noProof/>
            <w:webHidden/>
          </w:rPr>
          <w:fldChar w:fldCharType="end"/>
        </w:r>
      </w:hyperlink>
    </w:p>
    <w:p w14:paraId="2CE017D8" w14:textId="712F1FE7"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1" w:history="1">
        <w:r w:rsidR="00056825" w:rsidRPr="00167DCA">
          <w:rPr>
            <w:rStyle w:val="Hypertextovodkaz"/>
            <w:noProof/>
          </w:rPr>
          <w:t>Tabulka 68: KS – délky insolvenčního řízení dle soudů, 2023</w:t>
        </w:r>
        <w:r w:rsidR="00056825">
          <w:rPr>
            <w:noProof/>
            <w:webHidden/>
          </w:rPr>
          <w:tab/>
        </w:r>
        <w:r w:rsidR="00056825">
          <w:rPr>
            <w:noProof/>
            <w:webHidden/>
          </w:rPr>
          <w:fldChar w:fldCharType="begin"/>
        </w:r>
        <w:r w:rsidR="00056825">
          <w:rPr>
            <w:noProof/>
            <w:webHidden/>
          </w:rPr>
          <w:instrText xml:space="preserve"> PAGEREF _Toc174080811 \h </w:instrText>
        </w:r>
        <w:r w:rsidR="00056825">
          <w:rPr>
            <w:noProof/>
            <w:webHidden/>
          </w:rPr>
        </w:r>
        <w:r w:rsidR="00056825">
          <w:rPr>
            <w:noProof/>
            <w:webHidden/>
          </w:rPr>
          <w:fldChar w:fldCharType="separate"/>
        </w:r>
        <w:r>
          <w:rPr>
            <w:noProof/>
            <w:webHidden/>
          </w:rPr>
          <w:t>129</w:t>
        </w:r>
        <w:r w:rsidR="00056825">
          <w:rPr>
            <w:noProof/>
            <w:webHidden/>
          </w:rPr>
          <w:fldChar w:fldCharType="end"/>
        </w:r>
      </w:hyperlink>
    </w:p>
    <w:p w14:paraId="2BFF7F14" w14:textId="43B26ED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2" w:history="1">
        <w:r w:rsidR="00056825" w:rsidRPr="00167DCA">
          <w:rPr>
            <w:rStyle w:val="Hypertextovodkaz"/>
            <w:noProof/>
          </w:rPr>
          <w:t>Tabulka 69: KS – vyřizování insolvenčních věcí dle soudů, 2023</w:t>
        </w:r>
        <w:r w:rsidR="00056825">
          <w:rPr>
            <w:noProof/>
            <w:webHidden/>
          </w:rPr>
          <w:tab/>
        </w:r>
        <w:r w:rsidR="00056825">
          <w:rPr>
            <w:noProof/>
            <w:webHidden/>
          </w:rPr>
          <w:fldChar w:fldCharType="begin"/>
        </w:r>
        <w:r w:rsidR="00056825">
          <w:rPr>
            <w:noProof/>
            <w:webHidden/>
          </w:rPr>
          <w:instrText xml:space="preserve"> PAGEREF _Toc174080812 \h </w:instrText>
        </w:r>
        <w:r w:rsidR="00056825">
          <w:rPr>
            <w:noProof/>
            <w:webHidden/>
          </w:rPr>
        </w:r>
        <w:r w:rsidR="00056825">
          <w:rPr>
            <w:noProof/>
            <w:webHidden/>
          </w:rPr>
          <w:fldChar w:fldCharType="separate"/>
        </w:r>
        <w:r>
          <w:rPr>
            <w:noProof/>
            <w:webHidden/>
          </w:rPr>
          <w:t>130</w:t>
        </w:r>
        <w:r w:rsidR="00056825">
          <w:rPr>
            <w:noProof/>
            <w:webHidden/>
          </w:rPr>
          <w:fldChar w:fldCharType="end"/>
        </w:r>
      </w:hyperlink>
    </w:p>
    <w:p w14:paraId="03BAF24B" w14:textId="04DC73D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3" w:history="1">
        <w:r w:rsidR="00056825" w:rsidRPr="00167DCA">
          <w:rPr>
            <w:rStyle w:val="Hypertextovodkaz"/>
            <w:noProof/>
          </w:rPr>
          <w:t>Tabulka 70: KS – vyřizování ins. věcí na skutečný úvazek dle soudů, 2023</w:t>
        </w:r>
        <w:r w:rsidR="00056825">
          <w:rPr>
            <w:noProof/>
            <w:webHidden/>
          </w:rPr>
          <w:tab/>
        </w:r>
        <w:r w:rsidR="00056825">
          <w:rPr>
            <w:noProof/>
            <w:webHidden/>
          </w:rPr>
          <w:fldChar w:fldCharType="begin"/>
        </w:r>
        <w:r w:rsidR="00056825">
          <w:rPr>
            <w:noProof/>
            <w:webHidden/>
          </w:rPr>
          <w:instrText xml:space="preserve"> PAGEREF _Toc174080813 \h </w:instrText>
        </w:r>
        <w:r w:rsidR="00056825">
          <w:rPr>
            <w:noProof/>
            <w:webHidden/>
          </w:rPr>
        </w:r>
        <w:r w:rsidR="00056825">
          <w:rPr>
            <w:noProof/>
            <w:webHidden/>
          </w:rPr>
          <w:fldChar w:fldCharType="separate"/>
        </w:r>
        <w:r>
          <w:rPr>
            <w:noProof/>
            <w:webHidden/>
          </w:rPr>
          <w:t>132</w:t>
        </w:r>
        <w:r w:rsidR="00056825">
          <w:rPr>
            <w:noProof/>
            <w:webHidden/>
          </w:rPr>
          <w:fldChar w:fldCharType="end"/>
        </w:r>
      </w:hyperlink>
    </w:p>
    <w:p w14:paraId="35EDDA6C" w14:textId="29A5AC2A"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4" w:history="1">
        <w:r w:rsidR="00056825" w:rsidRPr="00167DCA">
          <w:rPr>
            <w:rStyle w:val="Hypertextovodkaz"/>
            <w:noProof/>
          </w:rPr>
          <w:t>Tabulka 71: KS – podíl jednotlivých způsobů řešení úpadku v %, 2023</w:t>
        </w:r>
        <w:r w:rsidR="00056825">
          <w:rPr>
            <w:noProof/>
            <w:webHidden/>
          </w:rPr>
          <w:tab/>
        </w:r>
        <w:r w:rsidR="00056825">
          <w:rPr>
            <w:noProof/>
            <w:webHidden/>
          </w:rPr>
          <w:fldChar w:fldCharType="begin"/>
        </w:r>
        <w:r w:rsidR="00056825">
          <w:rPr>
            <w:noProof/>
            <w:webHidden/>
          </w:rPr>
          <w:instrText xml:space="preserve"> PAGEREF _Toc174080814 \h </w:instrText>
        </w:r>
        <w:r w:rsidR="00056825">
          <w:rPr>
            <w:noProof/>
            <w:webHidden/>
          </w:rPr>
        </w:r>
        <w:r w:rsidR="00056825">
          <w:rPr>
            <w:noProof/>
            <w:webHidden/>
          </w:rPr>
          <w:fldChar w:fldCharType="separate"/>
        </w:r>
        <w:r>
          <w:rPr>
            <w:noProof/>
            <w:webHidden/>
          </w:rPr>
          <w:t>132</w:t>
        </w:r>
        <w:r w:rsidR="00056825">
          <w:rPr>
            <w:noProof/>
            <w:webHidden/>
          </w:rPr>
          <w:fldChar w:fldCharType="end"/>
        </w:r>
      </w:hyperlink>
    </w:p>
    <w:p w14:paraId="00E13D66" w14:textId="2C52712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5" w:history="1">
        <w:r w:rsidR="00056825" w:rsidRPr="00167DCA">
          <w:rPr>
            <w:rStyle w:val="Hypertextovodkaz"/>
            <w:noProof/>
          </w:rPr>
          <w:t>Tabulka 72: KS – délky incidenčních sporů dle soudů, 2023</w:t>
        </w:r>
        <w:r w:rsidR="00056825">
          <w:rPr>
            <w:noProof/>
            <w:webHidden/>
          </w:rPr>
          <w:tab/>
        </w:r>
        <w:r w:rsidR="00056825">
          <w:rPr>
            <w:noProof/>
            <w:webHidden/>
          </w:rPr>
          <w:fldChar w:fldCharType="begin"/>
        </w:r>
        <w:r w:rsidR="00056825">
          <w:rPr>
            <w:noProof/>
            <w:webHidden/>
          </w:rPr>
          <w:instrText xml:space="preserve"> PAGEREF _Toc174080815 \h </w:instrText>
        </w:r>
        <w:r w:rsidR="00056825">
          <w:rPr>
            <w:noProof/>
            <w:webHidden/>
          </w:rPr>
        </w:r>
        <w:r w:rsidR="00056825">
          <w:rPr>
            <w:noProof/>
            <w:webHidden/>
          </w:rPr>
          <w:fldChar w:fldCharType="separate"/>
        </w:r>
        <w:r>
          <w:rPr>
            <w:noProof/>
            <w:webHidden/>
          </w:rPr>
          <w:t>135</w:t>
        </w:r>
        <w:r w:rsidR="00056825">
          <w:rPr>
            <w:noProof/>
            <w:webHidden/>
          </w:rPr>
          <w:fldChar w:fldCharType="end"/>
        </w:r>
      </w:hyperlink>
    </w:p>
    <w:p w14:paraId="5BFD3590" w14:textId="61E56C6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6" w:history="1">
        <w:r w:rsidR="00056825" w:rsidRPr="00167DCA">
          <w:rPr>
            <w:rStyle w:val="Hypertextovodkaz"/>
            <w:noProof/>
          </w:rPr>
          <w:t>Tabulka 73: KS – vyřizování incidenčních sporů dle soudů</w:t>
        </w:r>
        <w:r w:rsidR="00056825">
          <w:rPr>
            <w:noProof/>
            <w:webHidden/>
          </w:rPr>
          <w:tab/>
        </w:r>
        <w:r w:rsidR="00056825">
          <w:rPr>
            <w:noProof/>
            <w:webHidden/>
          </w:rPr>
          <w:fldChar w:fldCharType="begin"/>
        </w:r>
        <w:r w:rsidR="00056825">
          <w:rPr>
            <w:noProof/>
            <w:webHidden/>
          </w:rPr>
          <w:instrText xml:space="preserve"> PAGEREF _Toc174080816 \h </w:instrText>
        </w:r>
        <w:r w:rsidR="00056825">
          <w:rPr>
            <w:noProof/>
            <w:webHidden/>
          </w:rPr>
        </w:r>
        <w:r w:rsidR="00056825">
          <w:rPr>
            <w:noProof/>
            <w:webHidden/>
          </w:rPr>
          <w:fldChar w:fldCharType="separate"/>
        </w:r>
        <w:r>
          <w:rPr>
            <w:noProof/>
            <w:webHidden/>
          </w:rPr>
          <w:t>137</w:t>
        </w:r>
        <w:r w:rsidR="00056825">
          <w:rPr>
            <w:noProof/>
            <w:webHidden/>
          </w:rPr>
          <w:fldChar w:fldCharType="end"/>
        </w:r>
      </w:hyperlink>
    </w:p>
    <w:p w14:paraId="1BFCC868" w14:textId="66F5413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7" w:history="1">
        <w:r w:rsidR="00056825" w:rsidRPr="00167DCA">
          <w:rPr>
            <w:rStyle w:val="Hypertextovodkaz"/>
            <w:noProof/>
          </w:rPr>
          <w:t>Tabulka 74: KS – vyřizování incidenčních sporů na skutečný úvazek dle soudů</w:t>
        </w:r>
        <w:r w:rsidR="00056825">
          <w:rPr>
            <w:noProof/>
            <w:webHidden/>
          </w:rPr>
          <w:tab/>
        </w:r>
        <w:r w:rsidR="00056825">
          <w:rPr>
            <w:noProof/>
            <w:webHidden/>
          </w:rPr>
          <w:fldChar w:fldCharType="begin"/>
        </w:r>
        <w:r w:rsidR="00056825">
          <w:rPr>
            <w:noProof/>
            <w:webHidden/>
          </w:rPr>
          <w:instrText xml:space="preserve"> PAGEREF _Toc174080817 \h </w:instrText>
        </w:r>
        <w:r w:rsidR="00056825">
          <w:rPr>
            <w:noProof/>
            <w:webHidden/>
          </w:rPr>
        </w:r>
        <w:r w:rsidR="00056825">
          <w:rPr>
            <w:noProof/>
            <w:webHidden/>
          </w:rPr>
          <w:fldChar w:fldCharType="separate"/>
        </w:r>
        <w:r>
          <w:rPr>
            <w:noProof/>
            <w:webHidden/>
          </w:rPr>
          <w:t>137</w:t>
        </w:r>
        <w:r w:rsidR="00056825">
          <w:rPr>
            <w:noProof/>
            <w:webHidden/>
          </w:rPr>
          <w:fldChar w:fldCharType="end"/>
        </w:r>
      </w:hyperlink>
    </w:p>
    <w:p w14:paraId="4BA0FCB8" w14:textId="4C7A878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8" w:history="1">
        <w:r w:rsidR="00056825" w:rsidRPr="00167DCA">
          <w:rPr>
            <w:rStyle w:val="Hypertextovodkaz"/>
            <w:noProof/>
          </w:rPr>
          <w:t>Tabulka 75: KS – DT incidenčních sporů dle soudů</w:t>
        </w:r>
        <w:r w:rsidR="00056825">
          <w:rPr>
            <w:noProof/>
            <w:webHidden/>
          </w:rPr>
          <w:tab/>
        </w:r>
        <w:r w:rsidR="00056825">
          <w:rPr>
            <w:noProof/>
            <w:webHidden/>
          </w:rPr>
          <w:fldChar w:fldCharType="begin"/>
        </w:r>
        <w:r w:rsidR="00056825">
          <w:rPr>
            <w:noProof/>
            <w:webHidden/>
          </w:rPr>
          <w:instrText xml:space="preserve"> PAGEREF _Toc174080818 \h </w:instrText>
        </w:r>
        <w:r w:rsidR="00056825">
          <w:rPr>
            <w:noProof/>
            <w:webHidden/>
          </w:rPr>
        </w:r>
        <w:r w:rsidR="00056825">
          <w:rPr>
            <w:noProof/>
            <w:webHidden/>
          </w:rPr>
          <w:fldChar w:fldCharType="separate"/>
        </w:r>
        <w:r>
          <w:rPr>
            <w:noProof/>
            <w:webHidden/>
          </w:rPr>
          <w:t>139</w:t>
        </w:r>
        <w:r w:rsidR="00056825">
          <w:rPr>
            <w:noProof/>
            <w:webHidden/>
          </w:rPr>
          <w:fldChar w:fldCharType="end"/>
        </w:r>
      </w:hyperlink>
    </w:p>
    <w:p w14:paraId="7A0C0EDC" w14:textId="5C08F310"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19" w:history="1">
        <w:r w:rsidR="00056825" w:rsidRPr="00167DCA">
          <w:rPr>
            <w:rStyle w:val="Hypertextovodkaz"/>
            <w:noProof/>
          </w:rPr>
          <w:t>Tabulka 76: VS – počet zaměstnanců ve výkonu dle soudů</w:t>
        </w:r>
        <w:r w:rsidR="00056825">
          <w:rPr>
            <w:noProof/>
            <w:webHidden/>
          </w:rPr>
          <w:tab/>
        </w:r>
        <w:r w:rsidR="00056825">
          <w:rPr>
            <w:noProof/>
            <w:webHidden/>
          </w:rPr>
          <w:fldChar w:fldCharType="begin"/>
        </w:r>
        <w:r w:rsidR="00056825">
          <w:rPr>
            <w:noProof/>
            <w:webHidden/>
          </w:rPr>
          <w:instrText xml:space="preserve"> PAGEREF _Toc174080819 \h </w:instrText>
        </w:r>
        <w:r w:rsidR="00056825">
          <w:rPr>
            <w:noProof/>
            <w:webHidden/>
          </w:rPr>
        </w:r>
        <w:r w:rsidR="00056825">
          <w:rPr>
            <w:noProof/>
            <w:webHidden/>
          </w:rPr>
          <w:fldChar w:fldCharType="separate"/>
        </w:r>
        <w:r>
          <w:rPr>
            <w:noProof/>
            <w:webHidden/>
          </w:rPr>
          <w:t>144</w:t>
        </w:r>
        <w:r w:rsidR="00056825">
          <w:rPr>
            <w:noProof/>
            <w:webHidden/>
          </w:rPr>
          <w:fldChar w:fldCharType="end"/>
        </w:r>
      </w:hyperlink>
    </w:p>
    <w:p w14:paraId="3BA2FCF7" w14:textId="0E663215"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20" w:history="1">
        <w:r w:rsidR="00056825" w:rsidRPr="00167DCA">
          <w:rPr>
            <w:rStyle w:val="Hypertextovodkaz"/>
            <w:noProof/>
          </w:rPr>
          <w:t>Tabulka 77: VS – vyřizování odvolacích civilních věcí na evidenčního soudce</w:t>
        </w:r>
        <w:r w:rsidR="00056825">
          <w:rPr>
            <w:noProof/>
            <w:webHidden/>
          </w:rPr>
          <w:tab/>
        </w:r>
        <w:r w:rsidR="00056825">
          <w:rPr>
            <w:noProof/>
            <w:webHidden/>
          </w:rPr>
          <w:fldChar w:fldCharType="begin"/>
        </w:r>
        <w:r w:rsidR="00056825">
          <w:rPr>
            <w:noProof/>
            <w:webHidden/>
          </w:rPr>
          <w:instrText xml:space="preserve"> PAGEREF _Toc174080820 \h </w:instrText>
        </w:r>
        <w:r w:rsidR="00056825">
          <w:rPr>
            <w:noProof/>
            <w:webHidden/>
          </w:rPr>
        </w:r>
        <w:r w:rsidR="00056825">
          <w:rPr>
            <w:noProof/>
            <w:webHidden/>
          </w:rPr>
          <w:fldChar w:fldCharType="separate"/>
        </w:r>
        <w:r>
          <w:rPr>
            <w:noProof/>
            <w:webHidden/>
          </w:rPr>
          <w:t>147</w:t>
        </w:r>
        <w:r w:rsidR="00056825">
          <w:rPr>
            <w:noProof/>
            <w:webHidden/>
          </w:rPr>
          <w:fldChar w:fldCharType="end"/>
        </w:r>
      </w:hyperlink>
    </w:p>
    <w:p w14:paraId="76CF710F" w14:textId="25A56F6C"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21" w:history="1">
        <w:r w:rsidR="00056825" w:rsidRPr="00167DCA">
          <w:rPr>
            <w:rStyle w:val="Hypertextovodkaz"/>
            <w:noProof/>
          </w:rPr>
          <w:t>Tabulka 78: VS – vyřizování odvolacích trestních věcí na evidenčního soudce</w:t>
        </w:r>
        <w:r w:rsidR="00056825">
          <w:rPr>
            <w:noProof/>
            <w:webHidden/>
          </w:rPr>
          <w:tab/>
        </w:r>
        <w:r w:rsidR="00056825">
          <w:rPr>
            <w:noProof/>
            <w:webHidden/>
          </w:rPr>
          <w:fldChar w:fldCharType="begin"/>
        </w:r>
        <w:r w:rsidR="00056825">
          <w:rPr>
            <w:noProof/>
            <w:webHidden/>
          </w:rPr>
          <w:instrText xml:space="preserve"> PAGEREF _Toc174080821 \h </w:instrText>
        </w:r>
        <w:r w:rsidR="00056825">
          <w:rPr>
            <w:noProof/>
            <w:webHidden/>
          </w:rPr>
        </w:r>
        <w:r w:rsidR="00056825">
          <w:rPr>
            <w:noProof/>
            <w:webHidden/>
          </w:rPr>
          <w:fldChar w:fldCharType="separate"/>
        </w:r>
        <w:r>
          <w:rPr>
            <w:noProof/>
            <w:webHidden/>
          </w:rPr>
          <w:t>151</w:t>
        </w:r>
        <w:r w:rsidR="00056825">
          <w:rPr>
            <w:noProof/>
            <w:webHidden/>
          </w:rPr>
          <w:fldChar w:fldCharType="end"/>
        </w:r>
      </w:hyperlink>
    </w:p>
    <w:p w14:paraId="0F314AC8" w14:textId="4D678BB2"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22" w:history="1">
        <w:r w:rsidR="00056825" w:rsidRPr="00167DCA">
          <w:rPr>
            <w:rStyle w:val="Hypertextovodkaz"/>
            <w:noProof/>
          </w:rPr>
          <w:t>Tabulka 79: NS – počet zaměstnanců ve výkonu</w:t>
        </w:r>
        <w:r w:rsidR="00056825">
          <w:rPr>
            <w:noProof/>
            <w:webHidden/>
          </w:rPr>
          <w:tab/>
        </w:r>
        <w:r w:rsidR="00056825">
          <w:rPr>
            <w:noProof/>
            <w:webHidden/>
          </w:rPr>
          <w:fldChar w:fldCharType="begin"/>
        </w:r>
        <w:r w:rsidR="00056825">
          <w:rPr>
            <w:noProof/>
            <w:webHidden/>
          </w:rPr>
          <w:instrText xml:space="preserve"> PAGEREF _Toc174080822 \h </w:instrText>
        </w:r>
        <w:r w:rsidR="00056825">
          <w:rPr>
            <w:noProof/>
            <w:webHidden/>
          </w:rPr>
        </w:r>
        <w:r w:rsidR="00056825">
          <w:rPr>
            <w:noProof/>
            <w:webHidden/>
          </w:rPr>
          <w:fldChar w:fldCharType="separate"/>
        </w:r>
        <w:r>
          <w:rPr>
            <w:noProof/>
            <w:webHidden/>
          </w:rPr>
          <w:t>162</w:t>
        </w:r>
        <w:r w:rsidR="00056825">
          <w:rPr>
            <w:noProof/>
            <w:webHidden/>
          </w:rPr>
          <w:fldChar w:fldCharType="end"/>
        </w:r>
      </w:hyperlink>
    </w:p>
    <w:p w14:paraId="710E97B8" w14:textId="25320BA8"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23" w:history="1">
        <w:r w:rsidR="00056825" w:rsidRPr="00167DCA">
          <w:rPr>
            <w:rStyle w:val="Hypertextovodkaz"/>
            <w:noProof/>
          </w:rPr>
          <w:t>Tabulka 80: NSS – počet zaměstnanců ve výkonu</w:t>
        </w:r>
        <w:r w:rsidR="00056825">
          <w:rPr>
            <w:noProof/>
            <w:webHidden/>
          </w:rPr>
          <w:tab/>
        </w:r>
        <w:r w:rsidR="00056825">
          <w:rPr>
            <w:noProof/>
            <w:webHidden/>
          </w:rPr>
          <w:fldChar w:fldCharType="begin"/>
        </w:r>
        <w:r w:rsidR="00056825">
          <w:rPr>
            <w:noProof/>
            <w:webHidden/>
          </w:rPr>
          <w:instrText xml:space="preserve"> PAGEREF _Toc174080823 \h </w:instrText>
        </w:r>
        <w:r w:rsidR="00056825">
          <w:rPr>
            <w:noProof/>
            <w:webHidden/>
          </w:rPr>
        </w:r>
        <w:r w:rsidR="00056825">
          <w:rPr>
            <w:noProof/>
            <w:webHidden/>
          </w:rPr>
          <w:fldChar w:fldCharType="separate"/>
        </w:r>
        <w:r>
          <w:rPr>
            <w:noProof/>
            <w:webHidden/>
          </w:rPr>
          <w:t>169</w:t>
        </w:r>
        <w:r w:rsidR="00056825">
          <w:rPr>
            <w:noProof/>
            <w:webHidden/>
          </w:rPr>
          <w:fldChar w:fldCharType="end"/>
        </w:r>
      </w:hyperlink>
    </w:p>
    <w:p w14:paraId="57DF6F78" w14:textId="68B59771"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24" w:history="1">
        <w:r w:rsidR="00056825" w:rsidRPr="00167DCA">
          <w:rPr>
            <w:rStyle w:val="Hypertextovodkaz"/>
            <w:noProof/>
          </w:rPr>
          <w:t>Tabulka 81: EU – Vnímaná nezávislost soudů a soudců ze strany veřejnosti, střední Evropa, 2013, 2019–2023</w:t>
        </w:r>
        <w:r w:rsidR="00056825">
          <w:rPr>
            <w:noProof/>
            <w:webHidden/>
          </w:rPr>
          <w:tab/>
        </w:r>
        <w:r w:rsidR="00056825">
          <w:rPr>
            <w:noProof/>
            <w:webHidden/>
          </w:rPr>
          <w:fldChar w:fldCharType="begin"/>
        </w:r>
        <w:r w:rsidR="00056825">
          <w:rPr>
            <w:noProof/>
            <w:webHidden/>
          </w:rPr>
          <w:instrText xml:space="preserve"> PAGEREF _Toc174080824 \h </w:instrText>
        </w:r>
        <w:r w:rsidR="00056825">
          <w:rPr>
            <w:noProof/>
            <w:webHidden/>
          </w:rPr>
        </w:r>
        <w:r w:rsidR="00056825">
          <w:rPr>
            <w:noProof/>
            <w:webHidden/>
          </w:rPr>
          <w:fldChar w:fldCharType="separate"/>
        </w:r>
        <w:r>
          <w:rPr>
            <w:noProof/>
            <w:webHidden/>
          </w:rPr>
          <w:t>176</w:t>
        </w:r>
        <w:r w:rsidR="00056825">
          <w:rPr>
            <w:noProof/>
            <w:webHidden/>
          </w:rPr>
          <w:fldChar w:fldCharType="end"/>
        </w:r>
      </w:hyperlink>
    </w:p>
    <w:p w14:paraId="31C431BA" w14:textId="28AB7AE9"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25" w:history="1">
        <w:r w:rsidR="00056825" w:rsidRPr="00167DCA">
          <w:rPr>
            <w:rStyle w:val="Hypertextovodkaz"/>
            <w:noProof/>
          </w:rPr>
          <w:t>Tabulka 82: EU – nápad sporných občanských a obch. věcí na 100 obyvatel v zemích EU, soudy 1. stupně (*)</w:t>
        </w:r>
        <w:r w:rsidR="00056825">
          <w:rPr>
            <w:noProof/>
            <w:webHidden/>
          </w:rPr>
          <w:tab/>
        </w:r>
        <w:r w:rsidR="00056825">
          <w:rPr>
            <w:noProof/>
            <w:webHidden/>
          </w:rPr>
          <w:fldChar w:fldCharType="begin"/>
        </w:r>
        <w:r w:rsidR="00056825">
          <w:rPr>
            <w:noProof/>
            <w:webHidden/>
          </w:rPr>
          <w:instrText xml:space="preserve"> PAGEREF _Toc174080825 \h </w:instrText>
        </w:r>
        <w:r w:rsidR="00056825">
          <w:rPr>
            <w:noProof/>
            <w:webHidden/>
          </w:rPr>
        </w:r>
        <w:r w:rsidR="00056825">
          <w:rPr>
            <w:noProof/>
            <w:webHidden/>
          </w:rPr>
          <w:fldChar w:fldCharType="separate"/>
        </w:r>
        <w:r>
          <w:rPr>
            <w:noProof/>
            <w:webHidden/>
          </w:rPr>
          <w:t>177</w:t>
        </w:r>
        <w:r w:rsidR="00056825">
          <w:rPr>
            <w:noProof/>
            <w:webHidden/>
          </w:rPr>
          <w:fldChar w:fldCharType="end"/>
        </w:r>
      </w:hyperlink>
    </w:p>
    <w:p w14:paraId="4EB46BF6" w14:textId="2105497B" w:rsidR="00056825" w:rsidRDefault="00551497">
      <w:pPr>
        <w:pStyle w:val="Seznamobrzk"/>
        <w:tabs>
          <w:tab w:val="right" w:leader="dot" w:pos="9062"/>
        </w:tabs>
        <w:rPr>
          <w:rFonts w:asciiTheme="minorHAnsi" w:eastAsiaTheme="minorEastAsia" w:hAnsiTheme="minorHAnsi" w:cstheme="minorBidi"/>
          <w:noProof/>
          <w:kern w:val="2"/>
          <w:sz w:val="22"/>
          <w:lang w:eastAsia="cs-CZ"/>
          <w14:ligatures w14:val="standardContextual"/>
        </w:rPr>
      </w:pPr>
      <w:hyperlink w:anchor="_Toc174080826" w:history="1">
        <w:r w:rsidR="00056825" w:rsidRPr="00167DCA">
          <w:rPr>
            <w:rStyle w:val="Hypertextovodkaz"/>
            <w:noProof/>
          </w:rPr>
          <w:t>Tabulka 83: Obchodování s lidmi, globální data</w:t>
        </w:r>
        <w:r w:rsidR="00056825">
          <w:rPr>
            <w:noProof/>
            <w:webHidden/>
          </w:rPr>
          <w:tab/>
        </w:r>
        <w:r w:rsidR="00056825">
          <w:rPr>
            <w:noProof/>
            <w:webHidden/>
          </w:rPr>
          <w:fldChar w:fldCharType="begin"/>
        </w:r>
        <w:r w:rsidR="00056825">
          <w:rPr>
            <w:noProof/>
            <w:webHidden/>
          </w:rPr>
          <w:instrText xml:space="preserve"> PAGEREF _Toc174080826 \h </w:instrText>
        </w:r>
        <w:r w:rsidR="00056825">
          <w:rPr>
            <w:noProof/>
            <w:webHidden/>
          </w:rPr>
        </w:r>
        <w:r w:rsidR="00056825">
          <w:rPr>
            <w:noProof/>
            <w:webHidden/>
          </w:rPr>
          <w:fldChar w:fldCharType="separate"/>
        </w:r>
        <w:r>
          <w:rPr>
            <w:noProof/>
            <w:webHidden/>
          </w:rPr>
          <w:t>179</w:t>
        </w:r>
        <w:r w:rsidR="00056825">
          <w:rPr>
            <w:noProof/>
            <w:webHidden/>
          </w:rPr>
          <w:fldChar w:fldCharType="end"/>
        </w:r>
      </w:hyperlink>
    </w:p>
    <w:p w14:paraId="72A43C92" w14:textId="7A9E8977" w:rsidR="008430BD" w:rsidRPr="00B64E96" w:rsidRDefault="008430BD" w:rsidP="008430BD">
      <w:pPr>
        <w:spacing w:line="240" w:lineRule="auto"/>
        <w:jc w:val="left"/>
      </w:pPr>
      <w:r w:rsidRPr="00B64E96">
        <w:rPr>
          <w:b/>
          <w:bCs/>
          <w:noProof/>
        </w:rPr>
        <w:fldChar w:fldCharType="end"/>
      </w:r>
      <w:r w:rsidRPr="00B64E96">
        <w:br w:type="page"/>
      </w:r>
    </w:p>
    <w:p w14:paraId="21B4A6A6" w14:textId="77777777" w:rsidR="008430BD" w:rsidRPr="00B64E96" w:rsidRDefault="008430BD" w:rsidP="008430BD">
      <w:pPr>
        <w:pStyle w:val="Nadpis1"/>
      </w:pPr>
      <w:bookmarkStart w:id="1875" w:name="_Toc487791316"/>
      <w:bookmarkStart w:id="1876" w:name="_Toc106092834"/>
      <w:bookmarkStart w:id="1877" w:name="_Toc169250913"/>
      <w:bookmarkStart w:id="1878" w:name="_Toc174080949"/>
      <w:r w:rsidRPr="00B64E96">
        <w:lastRenderedPageBreak/>
        <w:t>Přílohy</w:t>
      </w:r>
      <w:bookmarkEnd w:id="1875"/>
      <w:bookmarkEnd w:id="1876"/>
      <w:bookmarkEnd w:id="1877"/>
      <w:bookmarkEnd w:id="1878"/>
    </w:p>
    <w:p w14:paraId="2A6A00A7" w14:textId="375239DF" w:rsidR="008430BD" w:rsidRPr="00B64E96" w:rsidRDefault="008430BD" w:rsidP="008430BD">
      <w:pPr>
        <w:pStyle w:val="Nadpis2"/>
        <w:rPr>
          <w:color w:val="auto"/>
        </w:rPr>
      </w:pPr>
      <w:bookmarkStart w:id="1879" w:name="_Ref482901945"/>
      <w:bookmarkStart w:id="1880" w:name="_Toc487791317"/>
      <w:bookmarkStart w:id="1881" w:name="_Toc106092835"/>
      <w:bookmarkStart w:id="1882" w:name="_Toc169250914"/>
      <w:bookmarkStart w:id="1883" w:name="_Toc174080950"/>
      <w:r w:rsidRPr="00B64E96">
        <w:rPr>
          <w:color w:val="auto"/>
        </w:rPr>
        <w:t>Příloha</w:t>
      </w:r>
      <w:r w:rsidR="000C3B1E" w:rsidRPr="00B64E96">
        <w:rPr>
          <w:color w:val="auto"/>
        </w:rPr>
        <w:t> </w:t>
      </w:r>
      <w:r w:rsidRPr="00B64E96">
        <w:rPr>
          <w:color w:val="auto"/>
        </w:rPr>
        <w:t>A</w:t>
      </w:r>
      <w:r w:rsidR="000C3B1E" w:rsidRPr="00B64E96">
        <w:rPr>
          <w:color w:val="auto"/>
        </w:rPr>
        <w:t xml:space="preserve"> </w:t>
      </w:r>
      <w:r w:rsidRPr="00B64E96">
        <w:rPr>
          <w:color w:val="auto"/>
        </w:rPr>
        <w:t>– seznam použitých pojmů</w:t>
      </w:r>
      <w:bookmarkEnd w:id="1879"/>
      <w:bookmarkEnd w:id="1880"/>
      <w:bookmarkEnd w:id="1881"/>
      <w:bookmarkEnd w:id="1882"/>
      <w:bookmarkEnd w:id="1883"/>
    </w:p>
    <w:p w14:paraId="3FA7D20C" w14:textId="77777777" w:rsidR="008430BD" w:rsidRPr="00B64E96" w:rsidRDefault="008430BD" w:rsidP="008430BD">
      <w:pPr>
        <w:pStyle w:val="Nadpis3"/>
        <w:ind w:left="0" w:firstLine="0"/>
        <w:rPr>
          <w:color w:val="auto"/>
        </w:rPr>
      </w:pPr>
      <w:bookmarkStart w:id="1884" w:name="_Toc487791318"/>
      <w:bookmarkStart w:id="1885" w:name="_Toc106092836"/>
      <w:bookmarkStart w:id="1886" w:name="_Toc169250915"/>
      <w:bookmarkStart w:id="1887" w:name="_Toc174080951"/>
      <w:r w:rsidRPr="00B64E96">
        <w:rPr>
          <w:color w:val="auto"/>
        </w:rPr>
        <w:t>Statistické pojmy a použité statistické ukazatele</w:t>
      </w:r>
      <w:bookmarkEnd w:id="1884"/>
      <w:bookmarkEnd w:id="1885"/>
      <w:bookmarkEnd w:id="1886"/>
      <w:bookmarkEnd w:id="1887"/>
    </w:p>
    <w:p w14:paraId="2431E5DC" w14:textId="77777777" w:rsidR="008430BD" w:rsidRPr="00B64E96" w:rsidRDefault="008430BD" w:rsidP="00A94F8F">
      <w:pPr>
        <w:pStyle w:val="Odstavecseseznamem"/>
        <w:numPr>
          <w:ilvl w:val="0"/>
          <w:numId w:val="3"/>
        </w:numPr>
      </w:pPr>
      <w:r w:rsidRPr="00B64E96">
        <w:rPr>
          <w:b/>
        </w:rPr>
        <w:t xml:space="preserve">Časová řada </w:t>
      </w:r>
      <w:r w:rsidRPr="00B64E96">
        <w:t>– umožňuje sledovat vývoj daného ukazatele (např. průměrné délky řízení) v čase. Periodicita řad je v této zprávě roční, porovnáváme tedy mezi sebou jednotlivé roky. Řady jsou buď intervalové (např. počet vyřízených věcí za rok), nebo okamžikové (např. počet nevyřízených věcí k 31. 12. daného roku). Časové řady jsou vždy znázorněny v grafické podobě.</w:t>
      </w:r>
    </w:p>
    <w:p w14:paraId="41CB10A3" w14:textId="51EB3E39" w:rsidR="00DB2AA8" w:rsidRPr="00B64E96" w:rsidRDefault="00DB2AA8" w:rsidP="00A94F8F">
      <w:pPr>
        <w:pStyle w:val="Odstavecseseznamem"/>
        <w:numPr>
          <w:ilvl w:val="0"/>
          <w:numId w:val="3"/>
        </w:numPr>
        <w:rPr>
          <w:bCs/>
        </w:rPr>
      </w:pPr>
      <w:r w:rsidRPr="00B64E96">
        <w:rPr>
          <w:b/>
        </w:rPr>
        <w:t xml:space="preserve">Četnost </w:t>
      </w:r>
      <w:r w:rsidRPr="00B64E96">
        <w:rPr>
          <w:bCs/>
        </w:rPr>
        <w:t xml:space="preserve">– </w:t>
      </w:r>
      <w:r w:rsidR="00A8458E" w:rsidRPr="00B64E96">
        <w:rPr>
          <w:bCs/>
        </w:rPr>
        <w:t xml:space="preserve">neboli počet hodnot, </w:t>
      </w:r>
      <w:r w:rsidRPr="00B64E96">
        <w:rPr>
          <w:bCs/>
        </w:rPr>
        <w:t>může být absolutní</w:t>
      </w:r>
      <w:r w:rsidR="003426BF" w:rsidRPr="00B64E96">
        <w:rPr>
          <w:bCs/>
        </w:rPr>
        <w:t xml:space="preserve"> nebo </w:t>
      </w:r>
      <w:r w:rsidRPr="00B64E96">
        <w:rPr>
          <w:bCs/>
        </w:rPr>
        <w:t>relativní:</w:t>
      </w:r>
    </w:p>
    <w:p w14:paraId="264A0D8A" w14:textId="22C45A5E" w:rsidR="00DB2AA8" w:rsidRPr="00B64E96" w:rsidRDefault="00DB2AA8" w:rsidP="00A94F8F">
      <w:pPr>
        <w:pStyle w:val="Odstavecseseznamem"/>
        <w:numPr>
          <w:ilvl w:val="1"/>
          <w:numId w:val="3"/>
        </w:numPr>
        <w:rPr>
          <w:bCs/>
        </w:rPr>
      </w:pPr>
      <w:r w:rsidRPr="00B64E96">
        <w:rPr>
          <w:b/>
        </w:rPr>
        <w:t>absolutní</w:t>
      </w:r>
      <w:r w:rsidRPr="00B64E96">
        <w:rPr>
          <w:bCs/>
        </w:rPr>
        <w:t xml:space="preserve">: vyjadřuje, kolikrát se daná hodnota </w:t>
      </w:r>
      <w:r w:rsidR="00755920" w:rsidRPr="00B64E96">
        <w:rPr>
          <w:bCs/>
        </w:rPr>
        <w:t>v </w:t>
      </w:r>
      <w:r w:rsidRPr="00B64E96">
        <w:rPr>
          <w:bCs/>
        </w:rPr>
        <w:t xml:space="preserve">souboru </w:t>
      </w:r>
      <w:r w:rsidR="000A04FF" w:rsidRPr="00B64E96">
        <w:rPr>
          <w:bCs/>
        </w:rPr>
        <w:t xml:space="preserve">/ ukazateli </w:t>
      </w:r>
      <w:r w:rsidRPr="00B64E96">
        <w:rPr>
          <w:bCs/>
        </w:rPr>
        <w:t>vyskytuje; jejich součet dává celkový počet hodnot v</w:t>
      </w:r>
      <w:r w:rsidR="00A8458E" w:rsidRPr="00B64E96">
        <w:rPr>
          <w:bCs/>
        </w:rPr>
        <w:t> ukazateli</w:t>
      </w:r>
      <w:r w:rsidRPr="00B64E96">
        <w:rPr>
          <w:bCs/>
        </w:rPr>
        <w:t>.</w:t>
      </w:r>
    </w:p>
    <w:p w14:paraId="01F63630" w14:textId="3899C021" w:rsidR="00DB2AA8" w:rsidRPr="00B64E96" w:rsidRDefault="00DB2AA8" w:rsidP="00A94F8F">
      <w:pPr>
        <w:pStyle w:val="Odstavecseseznamem"/>
        <w:numPr>
          <w:ilvl w:val="1"/>
          <w:numId w:val="3"/>
        </w:numPr>
        <w:rPr>
          <w:bCs/>
        </w:rPr>
      </w:pPr>
      <w:r w:rsidRPr="00B64E96">
        <w:rPr>
          <w:b/>
        </w:rPr>
        <w:t>relativní</w:t>
      </w:r>
      <w:r w:rsidRPr="00B64E96">
        <w:rPr>
          <w:bCs/>
        </w:rPr>
        <w:t xml:space="preserve">: vyjadřuje podíl dané hodnoty na </w:t>
      </w:r>
      <w:r w:rsidR="00602009" w:rsidRPr="00B64E96">
        <w:rPr>
          <w:bCs/>
        </w:rPr>
        <w:t>celkovém počtu hodnot v ukazateli</w:t>
      </w:r>
      <w:r w:rsidRPr="00B64E96">
        <w:rPr>
          <w:bCs/>
        </w:rPr>
        <w:t>; po vynásobení stem se vyjádří v</w:t>
      </w:r>
      <w:r w:rsidR="00CB570A" w:rsidRPr="00B64E96">
        <w:rPr>
          <w:bCs/>
        </w:rPr>
        <w:t> %</w:t>
      </w:r>
      <w:r w:rsidRPr="00B64E96">
        <w:rPr>
          <w:bCs/>
        </w:rPr>
        <w:t>.</w:t>
      </w:r>
      <w:r w:rsidR="007D0235" w:rsidRPr="00B64E96">
        <w:rPr>
          <w:bCs/>
        </w:rPr>
        <w:t xml:space="preserve"> </w:t>
      </w:r>
      <w:r w:rsidR="007D0235" w:rsidRPr="00B64E96">
        <w:t>Máme-li například soubor, kde jsou hodnoty {1,1,2,2,3,3,3,4} potom relativní četnost hodnoty 3 v tomto souboru</w:t>
      </w:r>
      <w:r w:rsidR="00A8458E" w:rsidRPr="00B64E96">
        <w:t xml:space="preserve"> je</w:t>
      </w:r>
      <w:r w:rsidR="007D0235" w:rsidRPr="00B64E96">
        <w:t xml:space="preserve"> 3 : 8 </w:t>
      </w:r>
      <w:r w:rsidR="00755920" w:rsidRPr="00B64E96">
        <w:t xml:space="preserve">× </w:t>
      </w:r>
      <w:r w:rsidR="007D0235" w:rsidRPr="00B64E96">
        <w:t>100 = 37,5</w:t>
      </w:r>
      <w:r w:rsidR="00CB570A" w:rsidRPr="00B64E96">
        <w:t> %</w:t>
      </w:r>
      <w:r w:rsidR="00A05289" w:rsidRPr="00B64E96">
        <w:t xml:space="preserve"> </w:t>
      </w:r>
      <w:r w:rsidR="00CF32FA" w:rsidRPr="00B64E96">
        <w:t>–</w:t>
      </w:r>
      <w:r w:rsidR="00A05289" w:rsidRPr="00B64E96">
        <w:t xml:space="preserve"> tuto četnost hojně využíváme v grafech distribuce délek řízení</w:t>
      </w:r>
      <w:r w:rsidR="000777CE" w:rsidRPr="00B64E96">
        <w:t>.</w:t>
      </w:r>
      <w:r w:rsidR="001764B8" w:rsidRPr="00B64E96">
        <w:t xml:space="preserve"> Součet relativních četností v daném ukazateli musí logicky činit 100%.</w:t>
      </w:r>
    </w:p>
    <w:p w14:paraId="294BF80C" w14:textId="315D37D6" w:rsidR="008430BD" w:rsidRPr="00B64E96" w:rsidRDefault="008430BD" w:rsidP="00A94F8F">
      <w:pPr>
        <w:pStyle w:val="Odstavecseseznamem"/>
        <w:numPr>
          <w:ilvl w:val="0"/>
          <w:numId w:val="3"/>
        </w:numPr>
        <w:rPr>
          <w:b/>
        </w:rPr>
      </w:pPr>
      <w:r w:rsidRPr="00B64E96">
        <w:rPr>
          <w:b/>
        </w:rPr>
        <w:t xml:space="preserve">Délka řízení </w:t>
      </w:r>
      <w:r w:rsidRPr="00B64E96">
        <w:t xml:space="preserve">– v textu je pojem často používán v množném čísle „délky řízení“. Tím jsou obvykle myšleny sledované ukazatele (průměrná délka řízení, mediánová délka řízení a devadesátý percentil). U každé podkapitoly je uvedeno, o jakou délku řízení se jedná (ode dne nápadu do dne vyřízení soudem </w:t>
      </w:r>
      <w:r w:rsidR="000C3B1E" w:rsidRPr="00B64E96">
        <w:t>I. stupně</w:t>
      </w:r>
      <w:r w:rsidRPr="00B64E96">
        <w:t xml:space="preserve"> apod.). Délka řízení je vždy</w:t>
      </w:r>
      <w:r w:rsidRPr="00B64E96" w:rsidDel="00312547">
        <w:t xml:space="preserve"> </w:t>
      </w:r>
      <w:r w:rsidRPr="00B64E96">
        <w:t>udávána v kalendářních dnech. Vypočtena je ze statistických listů a je považována za jeden z ukazatelů výkonnosti a zatíženosti soudů.</w:t>
      </w:r>
    </w:p>
    <w:p w14:paraId="47F19C83" w14:textId="125A5670" w:rsidR="00F95DAE" w:rsidRPr="00B64E96" w:rsidRDefault="008430BD" w:rsidP="00A94F8F">
      <w:pPr>
        <w:pStyle w:val="Odstavecseseznamem"/>
        <w:numPr>
          <w:ilvl w:val="0"/>
          <w:numId w:val="3"/>
        </w:numPr>
      </w:pPr>
      <w:r w:rsidRPr="00B64E96">
        <w:rPr>
          <w:b/>
        </w:rPr>
        <w:t xml:space="preserve">Disposition time (DT) </w:t>
      </w:r>
      <w:r w:rsidRPr="00B64E96">
        <w:t>– je vypočítán podle metodiky CEPEJ</w:t>
      </w:r>
      <w:r w:rsidRPr="00B64E96">
        <w:rPr>
          <w:rStyle w:val="Znakapoznpodarou"/>
        </w:rPr>
        <w:footnoteReference w:id="27"/>
      </w:r>
      <w:r w:rsidRPr="00B64E96">
        <w:t xml:space="preserve"> jako (počet nevyřízených věcí na konci daného období) / (počet vyřízených věcí v daném období) ×</w:t>
      </w:r>
      <w:r w:rsidR="000C3B1E" w:rsidRPr="00B64E96">
        <w:t xml:space="preserve"> </w:t>
      </w:r>
      <w:r w:rsidRPr="00B64E96">
        <w:t xml:space="preserve">365. Tento údaj v podstatě ukazuje, za kolik dní by při stejném tempu soud dovyřídil všechny věci, které u něj dnes </w:t>
      </w:r>
      <w:r w:rsidR="0052609E" w:rsidRPr="00B64E96">
        <w:t>„</w:t>
      </w:r>
      <w:r w:rsidRPr="00B64E96">
        <w:t>leží</w:t>
      </w:r>
      <w:r w:rsidR="0052609E" w:rsidRPr="00B64E96">
        <w:t>“</w:t>
      </w:r>
      <w:r w:rsidRPr="00B64E96">
        <w:t xml:space="preserve">, kdyby k němu již žádné další nepřicházely. Nejedná se o délku řízení, přestože by se to mohlo podle názvu nabízet. Další informace k tomuto ukazateli obsahuje podkapitola 2.2.4. DT je považován za jeden z ukazatelů výkonnosti a zatíženosti soudů. Příklad interpretace: Pokud by soud vykázal za daný rok pouze </w:t>
      </w:r>
      <w:r w:rsidR="000C3B1E" w:rsidRPr="00B64E96">
        <w:t>1 </w:t>
      </w:r>
      <w:r w:rsidRPr="00B64E96">
        <w:t xml:space="preserve">nevyřízenou věc </w:t>
      </w:r>
      <w:r w:rsidR="000C3B1E" w:rsidRPr="00B64E96">
        <w:t>a </w:t>
      </w:r>
      <w:r w:rsidRPr="00B64E96">
        <w:t>100</w:t>
      </w:r>
      <w:r w:rsidR="000C3B1E" w:rsidRPr="00B64E96">
        <w:t> </w:t>
      </w:r>
      <w:r w:rsidRPr="00B64E96">
        <w:t>věcí vyřízených, potom ukazatel disposition time má hodnotu 3,65</w:t>
      </w:r>
      <w:r w:rsidR="000C3B1E" w:rsidRPr="00B64E96">
        <w:t> </w:t>
      </w:r>
      <w:r w:rsidRPr="00B64E96">
        <w:t>dní. Pokud by soud vykázal 100</w:t>
      </w:r>
      <w:r w:rsidR="000C3B1E" w:rsidRPr="00B64E96">
        <w:t> </w:t>
      </w:r>
      <w:r w:rsidRPr="00B64E96">
        <w:t xml:space="preserve">nevyřízených věci </w:t>
      </w:r>
      <w:r w:rsidR="00466E7F" w:rsidRPr="00B64E96">
        <w:t>věcí</w:t>
      </w:r>
      <w:r w:rsidRPr="00B64E96">
        <w:t xml:space="preserve"> na 100</w:t>
      </w:r>
      <w:r w:rsidR="000C3B1E" w:rsidRPr="00B64E96">
        <w:t> </w:t>
      </w:r>
      <w:r w:rsidRPr="00B64E96">
        <w:t xml:space="preserve">vyřízených věcí </w:t>
      </w:r>
      <w:r w:rsidR="000C3B1E" w:rsidRPr="00B64E96">
        <w:t>v </w:t>
      </w:r>
      <w:r w:rsidRPr="00B64E96">
        <w:t>daném roce, potom by ukazatel disposition time měl hodnotu 365</w:t>
      </w:r>
      <w:r w:rsidR="000C3B1E" w:rsidRPr="00B64E96">
        <w:t> </w:t>
      </w:r>
      <w:r w:rsidRPr="00B64E96">
        <w:t>dní</w:t>
      </w:r>
      <w:r w:rsidR="00FC53D6" w:rsidRPr="00B64E96">
        <w:t xml:space="preserve">. </w:t>
      </w:r>
      <w:r w:rsidR="00BA1658" w:rsidRPr="00B64E96">
        <w:t>V</w:t>
      </w:r>
      <w:r w:rsidR="00F5698F" w:rsidRPr="00B64E96">
        <w:t xml:space="preserve">šechny agendy </w:t>
      </w:r>
      <w:r w:rsidR="000C3B1E" w:rsidRPr="00B64E96">
        <w:t>a </w:t>
      </w:r>
      <w:r w:rsidR="00F5698F" w:rsidRPr="00B64E96">
        <w:t>všechny soudy s</w:t>
      </w:r>
      <w:r w:rsidR="00BA1658" w:rsidRPr="00B64E96">
        <w:t> DT &gt; </w:t>
      </w:r>
      <w:r w:rsidR="00F5698F" w:rsidRPr="00B64E96">
        <w:t xml:space="preserve">365 mají </w:t>
      </w:r>
      <w:r w:rsidR="00BA1658" w:rsidRPr="00B64E96">
        <w:t xml:space="preserve">tedy </w:t>
      </w:r>
      <w:r w:rsidR="00F5698F" w:rsidRPr="00B64E96">
        <w:t xml:space="preserve">více nevyřízených věcí než vyřízených, </w:t>
      </w:r>
      <w:r w:rsidR="000C3B1E" w:rsidRPr="00B64E96">
        <w:t>a </w:t>
      </w:r>
      <w:r w:rsidR="00BA1658" w:rsidRPr="00B64E96">
        <w:t xml:space="preserve">pokud </w:t>
      </w:r>
      <w:r w:rsidR="005176A0" w:rsidRPr="00B64E96">
        <w:t xml:space="preserve">by </w:t>
      </w:r>
      <w:r w:rsidR="00BA1658" w:rsidRPr="00B64E96">
        <w:t>nepřicházel nový nápad nebo obži</w:t>
      </w:r>
      <w:r w:rsidR="00102E29">
        <w:t>vlé věci</w:t>
      </w:r>
      <w:r w:rsidR="00BA1658" w:rsidRPr="00B64E96">
        <w:t xml:space="preserve">, </w:t>
      </w:r>
      <w:r w:rsidR="00F5698F" w:rsidRPr="00B64E96">
        <w:t>jejich vyřízení by trvalo více než jeden rok</w:t>
      </w:r>
      <w:r w:rsidR="005176A0" w:rsidRPr="00B64E96">
        <w:t>.</w:t>
      </w:r>
    </w:p>
    <w:p w14:paraId="25B4889E" w14:textId="77777777" w:rsidR="008430BD" w:rsidRPr="00B64E96" w:rsidRDefault="008430BD" w:rsidP="00A94F8F">
      <w:pPr>
        <w:pStyle w:val="Odstavecseseznamem"/>
        <w:numPr>
          <w:ilvl w:val="0"/>
          <w:numId w:val="3"/>
        </w:numPr>
        <w:rPr>
          <w:b/>
        </w:rPr>
      </w:pPr>
      <w:r w:rsidRPr="00B64E96">
        <w:rPr>
          <w:b/>
        </w:rPr>
        <w:t xml:space="preserve">Evidenční počet soudců </w:t>
      </w:r>
      <w:r w:rsidRPr="00B64E96">
        <w:t>– zahrnuje všechny soudce. Do čísla jsou tedy započteni i dlouhodobě nepřítomní soudci (např. na mateřské nebo rodičovské dovolené, dlouhodobě nemocní, na stáži). Uváděné počty jsou vždy k 1. 1. sledovaného roku.</w:t>
      </w:r>
    </w:p>
    <w:p w14:paraId="19E9D46A" w14:textId="17AAA9F5" w:rsidR="008430BD" w:rsidRPr="00B64E96" w:rsidRDefault="008430BD" w:rsidP="00A94F8F">
      <w:pPr>
        <w:pStyle w:val="Odstavecseseznamem"/>
        <w:numPr>
          <w:ilvl w:val="0"/>
          <w:numId w:val="3"/>
        </w:numPr>
      </w:pPr>
      <w:r w:rsidRPr="00B64E96">
        <w:rPr>
          <w:b/>
        </w:rPr>
        <w:t xml:space="preserve">Histogram </w:t>
      </w:r>
      <w:r w:rsidRPr="00B64E96">
        <w:t>– používá se pro znázornění rozdělení zkoumaných dat za využití sloupcového grafu. V této zprávě je na ose </w:t>
      </w:r>
      <w:r w:rsidRPr="00B64E96">
        <w:rPr>
          <w:i/>
        </w:rPr>
        <w:t>x</w:t>
      </w:r>
      <w:r w:rsidRPr="00B64E96">
        <w:t xml:space="preserve"> zkoumaný ukazatel, na ose </w:t>
      </w:r>
      <w:r w:rsidRPr="00B64E96">
        <w:rPr>
          <w:i/>
        </w:rPr>
        <w:t>y</w:t>
      </w:r>
      <w:r w:rsidRPr="00B64E96">
        <w:t xml:space="preserve"> je relativní četnost v</w:t>
      </w:r>
      <w:r w:rsidR="00CB570A" w:rsidRPr="00B64E96">
        <w:t> %</w:t>
      </w:r>
      <w:r w:rsidRPr="00B64E96">
        <w:t>. Výška sloupců tedy vyjadřuje relativní četnost. Jedná se o počet pozorování, která se nacházejí v daném intervalu / celkový počet pozorování v datovém souboru ×</w:t>
      </w:r>
      <w:r w:rsidR="000C3B1E" w:rsidRPr="00B64E96">
        <w:t xml:space="preserve"> </w:t>
      </w:r>
      <w:r w:rsidRPr="00B64E96">
        <w:t>100.</w:t>
      </w:r>
    </w:p>
    <w:p w14:paraId="3A86B722" w14:textId="77777777" w:rsidR="008430BD" w:rsidRPr="00B64E96" w:rsidRDefault="008430BD" w:rsidP="00A94F8F">
      <w:pPr>
        <w:pStyle w:val="Odstavecseseznamem"/>
        <w:numPr>
          <w:ilvl w:val="0"/>
          <w:numId w:val="3"/>
        </w:numPr>
      </w:pPr>
      <w:r w:rsidRPr="00B64E96">
        <w:rPr>
          <w:b/>
        </w:rPr>
        <w:lastRenderedPageBreak/>
        <w:t xml:space="preserve">Kartogram </w:t>
      </w:r>
      <w:r w:rsidRPr="00B64E96">
        <w:t>– v této zprávě se jedná o mapu, která znázorňuje výši zkoumaného ukazatele v 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 k dezinterpretaci. Graf se vždy skládá ze dvou kartogramů – větší znázorňuje celou ČR, Praha je pak znázorněna na menším kartogramu v pravém horním rohu.</w:t>
      </w:r>
    </w:p>
    <w:p w14:paraId="5D2C57E9" w14:textId="71FF4E7C" w:rsidR="008430BD" w:rsidRPr="00B64E96" w:rsidRDefault="008430BD" w:rsidP="00A94F8F">
      <w:pPr>
        <w:pStyle w:val="Odstavecseseznamem"/>
        <w:numPr>
          <w:ilvl w:val="0"/>
          <w:numId w:val="3"/>
        </w:numPr>
        <w:rPr>
          <w:rStyle w:val="OdstavecASRChar"/>
        </w:rPr>
      </w:pPr>
      <w:r w:rsidRPr="00B64E96">
        <w:rPr>
          <w:b/>
        </w:rPr>
        <w:t xml:space="preserve">Krabicový graf </w:t>
      </w:r>
      <w:r w:rsidRPr="00B64E96">
        <w:t xml:space="preserve">– </w:t>
      </w:r>
      <w:r w:rsidRPr="00B64E96">
        <w:rPr>
          <w:rStyle w:val="OdstavecASRChar"/>
        </w:rPr>
        <w:t>nebo</w:t>
      </w:r>
      <w:r w:rsidR="00245596" w:rsidRPr="00B64E96">
        <w:rPr>
          <w:rStyle w:val="OdstavecASRChar"/>
        </w:rPr>
        <w:t>li</w:t>
      </w:r>
      <w:r w:rsidRPr="00B64E96">
        <w:rPr>
          <w:rStyle w:val="OdstavecASRChar"/>
        </w:rPr>
        <w:t xml:space="preserve"> krabicový diagram, z anglického </w:t>
      </w:r>
      <w:r w:rsidRPr="00B64E96">
        <w:rPr>
          <w:rStyle w:val="OdstavecASRChar"/>
          <w:i/>
        </w:rPr>
        <w:t>box plot</w:t>
      </w:r>
      <w:r w:rsidRPr="00B64E96">
        <w:rPr>
          <w:rStyle w:val="OdstavecASRChar"/>
        </w:rPr>
        <w:t xml:space="preserve">. U vybraných ukazatelů a agend je sestaven pro každý rok. Krabicové grafy jsou seřazeny za sebe do časové řady, aby bylo vidět, jak se s postupem času měnily, a jak se tedy měnila data, z nichž vychází. Na obrázku níže je zobrazen krabicový graf i s popisky jednotlivých částí. Pojmy medián a kvartil jsou vysvětleny v příslušných heslech tohoto seznamu. Přilehlé hodnoty se rovnají 1,5násobku hodnoty příslušného kvartilu. Odlehlé hodnoty (tzv. </w:t>
      </w:r>
      <w:r w:rsidRPr="00B64E96">
        <w:rPr>
          <w:rStyle w:val="OdstavecASRChar"/>
          <w:i/>
        </w:rPr>
        <w:t>outliers</w:t>
      </w:r>
      <w:r w:rsidRPr="00B64E96">
        <w:rPr>
          <w:rStyle w:val="OdstavecASRChar"/>
        </w:rPr>
        <w:t xml:space="preserve">) jsou pak hodnoty </w:t>
      </w:r>
      <w:r w:rsidR="00245596" w:rsidRPr="00B64E96">
        <w:rPr>
          <w:rStyle w:val="OdstavecASRChar"/>
        </w:rPr>
        <w:t>vyšší nebo nižší</w:t>
      </w:r>
      <w:r w:rsidRPr="00B64E96">
        <w:rPr>
          <w:rStyle w:val="OdstavecASRChar"/>
        </w:rPr>
        <w:t>, než je přilehlá hodnota.</w:t>
      </w:r>
    </w:p>
    <w:p w14:paraId="09356734" w14:textId="77777777" w:rsidR="008430BD" w:rsidRPr="00B64E96" w:rsidRDefault="008430BD" w:rsidP="008430BD">
      <w:pPr>
        <w:pStyle w:val="Odstavecseseznamem"/>
      </w:pPr>
      <w:r w:rsidRPr="00B64E96">
        <w:rPr>
          <w:rStyle w:val="OdstavecASRChar"/>
          <w:noProof/>
          <w:lang w:eastAsia="cs-CZ"/>
        </w:rPr>
        <w:drawing>
          <wp:inline distT="0" distB="0" distL="0" distR="0" wp14:anchorId="541574C8" wp14:editId="562E0362">
            <wp:extent cx="4985385" cy="4126865"/>
            <wp:effectExtent l="0" t="0" r="5715" b="6985"/>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985385" cy="4126865"/>
                    </a:xfrm>
                    <a:prstGeom prst="rect">
                      <a:avLst/>
                    </a:prstGeom>
                    <a:noFill/>
                    <a:ln>
                      <a:noFill/>
                    </a:ln>
                  </pic:spPr>
                </pic:pic>
              </a:graphicData>
            </a:graphic>
          </wp:inline>
        </w:drawing>
      </w:r>
    </w:p>
    <w:p w14:paraId="60C4FC65" w14:textId="77777777" w:rsidR="008430BD" w:rsidRPr="00B64E96" w:rsidRDefault="008430BD" w:rsidP="008430BD">
      <w:pPr>
        <w:pStyle w:val="Odstavecseseznamem"/>
      </w:pPr>
      <w:r w:rsidRPr="00B64E96">
        <w:t>Příklad grafu zobrazuje data, která jsou téměř dokonale symetrická, jedinou výjimku tvoří odlehlé hodnoty. Vousy i části boxu (krabice) jsou totožné nad i pod mediánem. Reálná data ale takto symetrická většinou nejsou. Části nad i pod mediánem jsou různě velké a samozřejmě se mění během času.</w:t>
      </w:r>
    </w:p>
    <w:p w14:paraId="0013ABFA" w14:textId="77777777" w:rsidR="008430BD" w:rsidRPr="00B64E96" w:rsidRDefault="008430BD" w:rsidP="008430BD">
      <w:pPr>
        <w:pStyle w:val="Odstavecseseznamem"/>
      </w:pPr>
      <w:r w:rsidRPr="00B64E96">
        <w:t>Větší box, delší vousy nebo více odlehlých hodnot</w:t>
      </w:r>
      <w:r w:rsidR="00BA1658" w:rsidRPr="00B64E96">
        <w:t>,</w:t>
      </w:r>
      <w:r w:rsidRPr="00B64E96">
        <w:t xml:space="preserve"> značí větší variabilitu v datech, a tedy i větší rozdíly mezi soudy. Vždy je však potřeba věnovat pozornost měřítku osy </w:t>
      </w:r>
      <w:r w:rsidRPr="00B64E96">
        <w:rPr>
          <w:i/>
        </w:rPr>
        <w:t>y</w:t>
      </w:r>
      <w:r w:rsidRPr="00B64E96">
        <w:t>.</w:t>
      </w:r>
    </w:p>
    <w:p w14:paraId="0DB93DE9" w14:textId="77777777" w:rsidR="008430BD" w:rsidRPr="00B64E96" w:rsidRDefault="008430BD" w:rsidP="008430BD">
      <w:pPr>
        <w:pStyle w:val="Odstavecseseznamem"/>
      </w:pPr>
      <w:r w:rsidRPr="00B64E96">
        <w:t>Výhodou krabicového grafu je, že poskytuje lepší a komplexnější přehled o rozdělení a míře variability v datech než pouze jeden sledovaný ukazatel, jako je například směrodatná odchylka. Přitom je ale stále vhodný pro sledování změn v čase.</w:t>
      </w:r>
    </w:p>
    <w:p w14:paraId="195163D3" w14:textId="7F598F2D" w:rsidR="008430BD" w:rsidRPr="00B64E96" w:rsidRDefault="008430BD" w:rsidP="00A94F8F">
      <w:pPr>
        <w:pStyle w:val="Odstavecseseznamem"/>
        <w:numPr>
          <w:ilvl w:val="0"/>
          <w:numId w:val="3"/>
        </w:numPr>
      </w:pPr>
      <w:r w:rsidRPr="00B64E96">
        <w:rPr>
          <w:b/>
        </w:rPr>
        <w:lastRenderedPageBreak/>
        <w:t xml:space="preserve">Kvartil </w:t>
      </w:r>
      <w:r w:rsidRPr="00B64E96">
        <w:t>– tři kvartily rozdělí vzestupně setříděný soubor hodnot na čtyři stejně velké části, z nichž každá představuje právě jednu čtvrtinu. První kvartil (tzv. dolní) se rovná 25. percentilu, tedy 25</w:t>
      </w:r>
      <w:r w:rsidR="00CB570A" w:rsidRPr="00B64E96">
        <w:t> %</w:t>
      </w:r>
      <w:r w:rsidRPr="00B64E96">
        <w:t xml:space="preserve"> hodnot je </w:t>
      </w:r>
      <w:r w:rsidR="00245596" w:rsidRPr="00B64E96">
        <w:t xml:space="preserve">nižších </w:t>
      </w:r>
      <w:r w:rsidRPr="00B64E96">
        <w:t>a 75</w:t>
      </w:r>
      <w:r w:rsidR="00CB570A" w:rsidRPr="00B64E96">
        <w:t> %</w:t>
      </w:r>
      <w:r w:rsidRPr="00B64E96">
        <w:t xml:space="preserve"> je </w:t>
      </w:r>
      <w:r w:rsidR="00245596" w:rsidRPr="00B64E96">
        <w:t>vyšších</w:t>
      </w:r>
      <w:r w:rsidRPr="00B64E96">
        <w:t>, druhý kvartil (střední) je mediánem a třetí kvartil (horní) je roven 75. percentilu.</w:t>
      </w:r>
    </w:p>
    <w:p w14:paraId="626F4BB1" w14:textId="2045E6F9" w:rsidR="008430BD" w:rsidRPr="00B64E96" w:rsidRDefault="008430BD" w:rsidP="00A94F8F">
      <w:pPr>
        <w:pStyle w:val="Odstavecseseznamem"/>
        <w:numPr>
          <w:ilvl w:val="0"/>
          <w:numId w:val="3"/>
        </w:numPr>
      </w:pPr>
      <w:r w:rsidRPr="00B64E96">
        <w:rPr>
          <w:b/>
        </w:rPr>
        <w:t xml:space="preserve">Medián </w:t>
      </w:r>
      <w:r w:rsidRPr="00B64E96">
        <w:t>– hodnota, která se nachází přesně uprostřed vzestupně setříděného souboru hodnot a dělí ho na dvě stejně velké části o stejném počtu hodnot. Platí, že nejméně 50</w:t>
      </w:r>
      <w:r w:rsidR="00CB570A" w:rsidRPr="00B64E96">
        <w:t> %</w:t>
      </w:r>
      <w:r w:rsidRPr="00B64E96">
        <w:t xml:space="preserve"> hodnot je </w:t>
      </w:r>
      <w:r w:rsidR="007474D8" w:rsidRPr="00B64E96">
        <w:t xml:space="preserve">nižších </w:t>
      </w:r>
      <w:r w:rsidRPr="00B64E96">
        <w:t>nebo rovno a nejméně 50</w:t>
      </w:r>
      <w:r w:rsidR="00CB570A" w:rsidRPr="00B64E96">
        <w:t> %</w:t>
      </w:r>
      <w:r w:rsidRPr="00B64E96">
        <w:t xml:space="preserve"> hodnot je </w:t>
      </w:r>
      <w:r w:rsidR="00245596" w:rsidRPr="00B64E96">
        <w:t xml:space="preserve">vyšších </w:t>
      </w:r>
      <w:r w:rsidRPr="00B64E96">
        <w:t xml:space="preserve">nebo rovno mediánu. Medián se rovná druhému kvartilu, pátému decilu a padesátému percentilu. Má-li soud mediánovou délku řízení např. 200 dnů, řízení pro první polovinu případů (tedy věcí) trvá maximálně 200 dnů včetně, pro druhou polovinu </w:t>
      </w:r>
      <w:r w:rsidR="00560594" w:rsidRPr="00B64E96">
        <w:t xml:space="preserve">pak </w:t>
      </w:r>
      <w:r w:rsidRPr="00B64E96">
        <w:t>20</w:t>
      </w:r>
      <w:r w:rsidR="005176A0" w:rsidRPr="00B64E96">
        <w:t>0</w:t>
      </w:r>
      <w:r w:rsidRPr="00B64E96">
        <w:t xml:space="preserve"> dnů nebo více.</w:t>
      </w:r>
    </w:p>
    <w:p w14:paraId="055DBA40" w14:textId="77777777" w:rsidR="00105367" w:rsidRPr="00B64E96" w:rsidRDefault="008430BD" w:rsidP="00A94F8F">
      <w:pPr>
        <w:pStyle w:val="Odstavecseseznamem"/>
        <w:numPr>
          <w:ilvl w:val="0"/>
          <w:numId w:val="3"/>
        </w:numPr>
      </w:pPr>
      <w:r w:rsidRPr="00B64E96">
        <w:rPr>
          <w:b/>
        </w:rPr>
        <w:t xml:space="preserve">Měřítko náročnosti agendy </w:t>
      </w:r>
      <w:r w:rsidRPr="00B64E96">
        <w:t>– měřítka byla pro každou soudní agendu (rejstřík) stanovena komisí složenou ze soudců a expertů. Teoreticky určuje náročnost průměrné věci v dané agendě (rejstříku). Měřítka vyjadřují počet věcí, které by měl jeden soudce nebo zaměstnanec ve výkonu vyřídit (zpracovat) za rok. Vyšší číslo tedy znamená nižší náročnost. Měřítka jsou využita při tzv. systemizaci (viz toto heslo).</w:t>
      </w:r>
      <w:r w:rsidR="001764B8" w:rsidRPr="00B64E96">
        <w:t xml:space="preserve"> </w:t>
      </w:r>
    </w:p>
    <w:p w14:paraId="3DBCFF85" w14:textId="2B94C531" w:rsidR="008430BD" w:rsidRPr="00B64E96" w:rsidRDefault="008430BD" w:rsidP="00A94F8F">
      <w:pPr>
        <w:pStyle w:val="Odstavecseseznamem"/>
        <w:numPr>
          <w:ilvl w:val="0"/>
          <w:numId w:val="3"/>
        </w:numPr>
      </w:pPr>
      <w:r w:rsidRPr="00B64E96">
        <w:rPr>
          <w:b/>
        </w:rPr>
        <w:t xml:space="preserve">Míra celkové změny rozsudku </w:t>
      </w:r>
      <w:r w:rsidRPr="00B64E96">
        <w:t xml:space="preserve">– vypočtena jako míra odvolání krát míra změny rozsudku. Jde </w:t>
      </w:r>
      <w:r w:rsidR="000C3B1E" w:rsidRPr="00B64E96">
        <w:t>o </w:t>
      </w:r>
      <w:r w:rsidRPr="00B64E96">
        <w:t xml:space="preserve">podíl věcí, v nichž nakonec bylo odvolacím soudem změněno rozhodnutí soudu </w:t>
      </w:r>
      <w:r w:rsidR="000C3B1E" w:rsidRPr="00B64E96">
        <w:t>I. stupně</w:t>
      </w:r>
      <w:r w:rsidR="00BA1658" w:rsidRPr="00B64E96">
        <w:t>,</w:t>
      </w:r>
      <w:r w:rsidRPr="00B64E96">
        <w:t xml:space="preserve"> ke všem prvostupňovým rozhodnutím.</w:t>
      </w:r>
    </w:p>
    <w:p w14:paraId="5AE25CD6" w14:textId="254F9D2F" w:rsidR="00930695" w:rsidRPr="00B64E96" w:rsidRDefault="00930695" w:rsidP="00A94F8F">
      <w:pPr>
        <w:pStyle w:val="Odstavecseseznamem"/>
        <w:numPr>
          <w:ilvl w:val="0"/>
          <w:numId w:val="3"/>
        </w:numPr>
      </w:pPr>
      <w:r w:rsidRPr="00B64E96">
        <w:rPr>
          <w:b/>
          <w:bCs/>
        </w:rPr>
        <w:t>Míra odsouzení</w:t>
      </w:r>
      <w:r w:rsidRPr="00B64E96">
        <w:t xml:space="preserve"> – je vypočtena ze statistických listů</w:t>
      </w:r>
      <w:r w:rsidR="00033563" w:rsidRPr="00B64E96">
        <w:t>.</w:t>
      </w:r>
      <w:r w:rsidRPr="00B64E96">
        <w:t xml:space="preserve"> </w:t>
      </w:r>
      <w:r w:rsidR="00033563" w:rsidRPr="00B64E96">
        <w:t>J</w:t>
      </w:r>
      <w:r w:rsidRPr="00B64E96">
        <w:t xml:space="preserve">edná se </w:t>
      </w:r>
      <w:r w:rsidR="000C3B1E" w:rsidRPr="00B64E96">
        <w:t>o </w:t>
      </w:r>
      <w:r w:rsidRPr="00B64E96">
        <w:t>podíl odsouzených na počtu obžalovaných × 100</w:t>
      </w:r>
      <w:r w:rsidR="00CB570A" w:rsidRPr="00B64E96">
        <w:t> %</w:t>
      </w:r>
      <w:r w:rsidR="0056684D" w:rsidRPr="00B64E96">
        <w:t xml:space="preserve"> rozhodnutých soudy v daném roce</w:t>
      </w:r>
      <w:r w:rsidRPr="00B64E96">
        <w:t>. Udává tedy</w:t>
      </w:r>
      <w:r w:rsidR="00033563" w:rsidRPr="00B64E96">
        <w:t>,</w:t>
      </w:r>
      <w:r w:rsidRPr="00B64E96">
        <w:t xml:space="preserve"> kolik z obžalovaných osob bylo aspoň za jeden trestný </w:t>
      </w:r>
      <w:r w:rsidR="00BF4CBC" w:rsidRPr="00B64E96">
        <w:t xml:space="preserve">čin </w:t>
      </w:r>
      <w:r w:rsidRPr="00B64E96">
        <w:t>uznán</w:t>
      </w:r>
      <w:r w:rsidR="00E844A3" w:rsidRPr="00B64E96">
        <w:t>o</w:t>
      </w:r>
      <w:r w:rsidRPr="00B64E96">
        <w:t xml:space="preserve"> vinným</w:t>
      </w:r>
      <w:r w:rsidR="00033563" w:rsidRPr="00B64E96">
        <w:t>i</w:t>
      </w:r>
      <w:r w:rsidRPr="00B64E96">
        <w:t xml:space="preserve">. Do obžalovaných osob </w:t>
      </w:r>
      <w:r w:rsidR="00E844A3" w:rsidRPr="00B64E96">
        <w:t xml:space="preserve">se </w:t>
      </w:r>
      <w:r w:rsidRPr="00B64E96">
        <w:t xml:space="preserve">započítávají všechny osoby, vůči kterým státní zástupce </w:t>
      </w:r>
      <w:r w:rsidR="00BE34F3" w:rsidRPr="00B64E96">
        <w:t xml:space="preserve">podal </w:t>
      </w:r>
      <w:r w:rsidR="000C3B1E" w:rsidRPr="00B64E96">
        <w:t>u </w:t>
      </w:r>
      <w:r w:rsidRPr="00B64E96">
        <w:t xml:space="preserve">soudu obžalobu, návrh na potrestání nebo návrh na schválení dohody o vinně </w:t>
      </w:r>
      <w:r w:rsidR="000C3B1E" w:rsidRPr="00B64E96">
        <w:t>a </w:t>
      </w:r>
      <w:r w:rsidRPr="00B64E96">
        <w:t>trestu.</w:t>
      </w:r>
      <w:r w:rsidR="001764B8" w:rsidRPr="00B64E96">
        <w:t xml:space="preserve"> </w:t>
      </w:r>
    </w:p>
    <w:p w14:paraId="16A37439" w14:textId="3D1B2044" w:rsidR="008430BD" w:rsidRPr="00B64E96" w:rsidRDefault="008430BD" w:rsidP="00A94F8F">
      <w:pPr>
        <w:pStyle w:val="Odstavecseseznamem"/>
        <w:numPr>
          <w:ilvl w:val="0"/>
          <w:numId w:val="3"/>
        </w:numPr>
        <w:ind w:left="714" w:hanging="357"/>
      </w:pPr>
      <w:r w:rsidRPr="00B64E96">
        <w:rPr>
          <w:b/>
        </w:rPr>
        <w:t xml:space="preserve">Míra odvolání </w:t>
      </w:r>
      <w:r w:rsidRPr="00B64E96">
        <w:t>– je vypočtena ze statistických listů a jedná se o poměr pravomocně vyřízených věcí, v nichž bylo podáno odvolání, k celkovému počtu pravomocně skončených (vyřízených) věcí × 100</w:t>
      </w:r>
      <w:r w:rsidR="00CB570A" w:rsidRPr="00B64E96">
        <w:t> %</w:t>
      </w:r>
      <w:r w:rsidRPr="00B64E96">
        <w:t xml:space="preserve">. </w:t>
      </w:r>
      <w:r w:rsidRPr="00B64E96">
        <w:rPr>
          <w:bCs/>
          <w:i/>
        </w:rPr>
        <w:t>Ceteris paribus</w:t>
      </w:r>
      <w:r w:rsidRPr="00B64E96">
        <w:rPr>
          <w:i/>
        </w:rPr>
        <w:t xml:space="preserve"> </w:t>
      </w:r>
      <w:r w:rsidRPr="00B64E96">
        <w:t>(za jinak neměnných podmínek) ji</w:t>
      </w:r>
      <w:r w:rsidRPr="00B64E96">
        <w:rPr>
          <w:i/>
        </w:rPr>
        <w:t xml:space="preserve"> </w:t>
      </w:r>
      <w:r w:rsidRPr="00B64E96">
        <w:t xml:space="preserve">lze považovat za aproximaci složitosti věcí (čím složitější věc, tím pravděpodobnější odvolání), je však třeba mít na paměti, že je ovlivněna i mnoha dalšími faktory. Způsob výpočtu míry odvolání jsme oproti verzi z roku 2016 upravili. </w:t>
      </w:r>
      <w:r w:rsidR="00105367" w:rsidRPr="00B64E96">
        <w:t>J</w:t>
      </w:r>
      <w:r w:rsidRPr="00B64E96">
        <w:t xml:space="preserve">sou zahrnuty i věci, v nichž odvolací soud zrušil rozhodnutí soudu </w:t>
      </w:r>
      <w:r w:rsidR="000C3B1E" w:rsidRPr="00B64E96">
        <w:t>I. stupně</w:t>
      </w:r>
      <w:r w:rsidRPr="00B64E96">
        <w:t xml:space="preserve"> a věc mu vrátil </w:t>
      </w:r>
      <w:r w:rsidR="000C3B1E" w:rsidRPr="00B64E96">
        <w:t>a </w:t>
      </w:r>
      <w:r w:rsidRPr="00B64E96">
        <w:t>následně již odvolání podáno nebylo. Dále jsme data u prvostupňové civilní agendy očistili o spory, kde byla výše přiznaného nároku menší než 10 000 Kč. V těchto sporech (až na výjimky) nelze podat odvolání, a jejich zahrnutí by tak snižovalo vypočtené hodnoty míry odvolání. Po této úpravě tak došlo k poměrně značnému zvýšení míry odvolání. Změnu metodiky jsme aplikovali i na data z předchozích let.</w:t>
      </w:r>
    </w:p>
    <w:p w14:paraId="17AE7F8F" w14:textId="62E538D9" w:rsidR="008430BD" w:rsidRPr="00B64E96" w:rsidRDefault="008430BD" w:rsidP="00A94F8F">
      <w:pPr>
        <w:pStyle w:val="Odstavecseseznamem"/>
        <w:numPr>
          <w:ilvl w:val="0"/>
          <w:numId w:val="3"/>
        </w:numPr>
      </w:pPr>
      <w:r w:rsidRPr="00B64E96">
        <w:rPr>
          <w:b/>
        </w:rPr>
        <w:t xml:space="preserve">Míra vyřizování </w:t>
      </w:r>
      <w:r w:rsidR="001764B8" w:rsidRPr="00B64E96">
        <w:rPr>
          <w:b/>
        </w:rPr>
        <w:t xml:space="preserve">(tzv. Clearance rate) </w:t>
      </w:r>
      <w:r w:rsidR="001764B8" w:rsidRPr="00B64E96">
        <w:t>– udává, zda soud vyřídil více věcí</w:t>
      </w:r>
      <w:r w:rsidR="005B435F" w:rsidRPr="00B64E96">
        <w:t>,</w:t>
      </w:r>
      <w:r w:rsidR="001764B8" w:rsidRPr="00B64E96">
        <w:t xml:space="preserve"> než mu nově přišlo (nápad + </w:t>
      </w:r>
      <w:r w:rsidR="00102E29">
        <w:t>obživlé věci</w:t>
      </w:r>
      <w:r w:rsidR="001764B8" w:rsidRPr="00B64E96">
        <w:t xml:space="preserve">) </w:t>
      </w:r>
      <w:r w:rsidRPr="00B64E96">
        <w:t>je vypočtena jako (počet vyřízených věcí v daném období) / (počet příchozích věcí v daném období) × 100</w:t>
      </w:r>
      <w:r w:rsidR="00CB570A" w:rsidRPr="00B64E96">
        <w:t> %</w:t>
      </w:r>
      <w:r w:rsidRPr="00B64E96">
        <w:t xml:space="preserve">. Je-li </w:t>
      </w:r>
      <w:r w:rsidR="00245596" w:rsidRPr="00B64E96">
        <w:t>vyšší</w:t>
      </w:r>
      <w:r w:rsidRPr="00B64E96">
        <w:t xml:space="preserve"> než 100</w:t>
      </w:r>
      <w:r w:rsidR="00CB570A" w:rsidRPr="00B64E96">
        <w:t> %</w:t>
      </w:r>
      <w:r w:rsidRPr="00B64E96">
        <w:t xml:space="preserve">, soud vyřídil více věcí, než mu přišlo, a snížil se tedy počet nevyřízených věcí. Je-li </w:t>
      </w:r>
      <w:r w:rsidR="007474D8" w:rsidRPr="00B64E96">
        <w:t xml:space="preserve">nižší </w:t>
      </w:r>
      <w:r w:rsidRPr="00B64E96">
        <w:t>než 100</w:t>
      </w:r>
      <w:r w:rsidR="00CB570A" w:rsidRPr="00B64E96">
        <w:t> %</w:t>
      </w:r>
      <w:r w:rsidRPr="00B64E96">
        <w:t>, soud vyřídil m</w:t>
      </w:r>
      <w:r w:rsidR="00DA1058" w:rsidRPr="00B64E96">
        <w:t>é</w:t>
      </w:r>
      <w:r w:rsidRPr="00B64E96">
        <w:t>ně věcí, než mu přišlo, a zvýšil se tedy počet nevyřízených věcí.</w:t>
      </w:r>
    </w:p>
    <w:p w14:paraId="1C60440E" w14:textId="6FB34515" w:rsidR="008430BD" w:rsidRPr="00B64E96" w:rsidRDefault="008430BD" w:rsidP="00A94F8F">
      <w:pPr>
        <w:pStyle w:val="Odstavecseseznamem"/>
        <w:numPr>
          <w:ilvl w:val="0"/>
          <w:numId w:val="3"/>
        </w:numPr>
      </w:pPr>
      <w:r w:rsidRPr="00B64E96">
        <w:rPr>
          <w:b/>
        </w:rPr>
        <w:t xml:space="preserve">Míra změny rozsudku </w:t>
      </w:r>
      <w:r w:rsidRPr="00B64E96">
        <w:t xml:space="preserve">– </w:t>
      </w:r>
      <w:r w:rsidR="001764B8" w:rsidRPr="00B64E96">
        <w:t xml:space="preserve">udává, jak často odvolací soud změnil rozhodnutí soudu I. stupně. Je </w:t>
      </w:r>
      <w:r w:rsidRPr="00B64E96">
        <w:t xml:space="preserve">vypočtena ze statistických listů a jedná se o poměr pravomocně skončených věcí, v nichž bylo vyhověno odvolání (tedy rozsudek soudu </w:t>
      </w:r>
      <w:r w:rsidR="000C3B1E" w:rsidRPr="00B64E96">
        <w:t>I. stupně</w:t>
      </w:r>
      <w:r w:rsidRPr="00B64E96">
        <w:t xml:space="preserve"> byl změněn odvolacím soudem na podkladě odvolání)</w:t>
      </w:r>
      <w:r w:rsidR="00431442" w:rsidRPr="00B64E96">
        <w:t>,</w:t>
      </w:r>
      <w:r w:rsidRPr="00B64E96">
        <w:t xml:space="preserve"> k celkovému počtu pravomocně skončených věcí, v nichž </w:t>
      </w:r>
      <w:r w:rsidRPr="00B64E96">
        <w:lastRenderedPageBreak/>
        <w:t>bylo podáno odvolání × 100</w:t>
      </w:r>
      <w:r w:rsidR="00CB570A" w:rsidRPr="00B64E96">
        <w:t> %</w:t>
      </w:r>
      <w:r w:rsidRPr="00B64E96">
        <w:t xml:space="preserve">. Do změny rozsudku jsou započítány i případy, kdy bylo rozhodnutí soudu </w:t>
      </w:r>
      <w:r w:rsidR="000C3B1E" w:rsidRPr="00B64E96">
        <w:t>I. stupně</w:t>
      </w:r>
      <w:r w:rsidRPr="00B64E96">
        <w:t xml:space="preserve"> u odvolacího soudu zrušeno a vráceno soudu </w:t>
      </w:r>
      <w:r w:rsidR="000C3B1E" w:rsidRPr="00B64E96">
        <w:t>I. stupně</w:t>
      </w:r>
      <w:r w:rsidRPr="00B64E96">
        <w:t xml:space="preserve">. </w:t>
      </w:r>
      <w:r w:rsidRPr="00B64E96">
        <w:rPr>
          <w:bCs/>
          <w:i/>
        </w:rPr>
        <w:t>Ceteris paribus</w:t>
      </w:r>
      <w:r w:rsidRPr="00B64E96">
        <w:rPr>
          <w:i/>
        </w:rPr>
        <w:t xml:space="preserve"> </w:t>
      </w:r>
      <w:r w:rsidRPr="00B64E96">
        <w:t>(za jinak neměnných podmínek) ji</w:t>
      </w:r>
      <w:r w:rsidRPr="00B64E96">
        <w:rPr>
          <w:i/>
        </w:rPr>
        <w:t xml:space="preserve"> </w:t>
      </w:r>
      <w:r w:rsidRPr="00B64E96">
        <w:t>lze považovat za aproximaci kvality rozhodování, je však třeba mít na paměti, že je ovlivněna i mnoha dalšími faktory.</w:t>
      </w:r>
    </w:p>
    <w:p w14:paraId="341F7BEB" w14:textId="703CD89B" w:rsidR="008430BD" w:rsidRPr="00B64E96" w:rsidRDefault="008430BD" w:rsidP="00A94F8F">
      <w:pPr>
        <w:pStyle w:val="Odstavecseseznamem"/>
        <w:numPr>
          <w:ilvl w:val="0"/>
          <w:numId w:val="3"/>
        </w:numPr>
        <w:ind w:left="714" w:hanging="357"/>
      </w:pPr>
      <w:r w:rsidRPr="00B64E96">
        <w:rPr>
          <w:b/>
        </w:rPr>
        <w:t>Nápad</w:t>
      </w:r>
      <w:r w:rsidRPr="00B64E96">
        <w:t xml:space="preserve"> – nebo také napadlé věci. Počet nově zapsaných věcí do rejstříku za určité období. V této zprávě se jedná vždy o </w:t>
      </w:r>
      <w:r w:rsidR="001764B8" w:rsidRPr="00B64E96">
        <w:t>data za kalendářní rok</w:t>
      </w:r>
      <w:r w:rsidRPr="00B64E96">
        <w:t>, která získáváme z výkazů o činnosti soudů.</w:t>
      </w:r>
    </w:p>
    <w:p w14:paraId="36E1AE01" w14:textId="5C7E8DA5" w:rsidR="008430BD" w:rsidRPr="00B64E96" w:rsidRDefault="008430BD" w:rsidP="00A94F8F">
      <w:pPr>
        <w:pStyle w:val="Odstavecseseznamem"/>
        <w:numPr>
          <w:ilvl w:val="0"/>
          <w:numId w:val="3"/>
        </w:numPr>
        <w:ind w:left="714" w:hanging="357"/>
      </w:pPr>
      <w:r w:rsidRPr="00B64E96">
        <w:rPr>
          <w:b/>
        </w:rPr>
        <w:t xml:space="preserve">Nevyřízené věci </w:t>
      </w:r>
      <w:r w:rsidRPr="00B64E96">
        <w:t xml:space="preserve">– počet věcí, které nebyly vyřízeny (skončeny) k poslednímu dni vykazovaného období. Na rozdíl od ukazatelů jako je nápad, </w:t>
      </w:r>
      <w:r w:rsidR="00102E29">
        <w:t>obživlé věci</w:t>
      </w:r>
      <w:r w:rsidRPr="00B64E96">
        <w:t xml:space="preserve"> nebo vyřízené věci, které se vztahují k celému sledovanému období, se v tomto případě jedná o stav k určitému datu, v této zprávě vždy k 31. 12. daného roku. Data pocházejí z výkazů o činnosti soudů.</w:t>
      </w:r>
    </w:p>
    <w:p w14:paraId="0ADD28B8" w14:textId="7DF06645" w:rsidR="008430BD" w:rsidRPr="00B64E96" w:rsidRDefault="00102E29" w:rsidP="00A94F8F">
      <w:pPr>
        <w:pStyle w:val="Odstavecseseznamem"/>
        <w:numPr>
          <w:ilvl w:val="0"/>
          <w:numId w:val="3"/>
        </w:numPr>
        <w:ind w:left="714" w:hanging="357"/>
      </w:pPr>
      <w:r>
        <w:rPr>
          <w:b/>
        </w:rPr>
        <w:t>Obživlé věci</w:t>
      </w:r>
      <w:r w:rsidR="008430BD" w:rsidRPr="00B64E96">
        <w:t xml:space="preserve">. Jedná se o případy, kdy byla věc sice vyřízena, ale z určitého důvodu se v řízení pokračuje (většinou v důsledku odvolacího řízení, kdy bylo rozhodnutí soudu </w:t>
      </w:r>
      <w:r w:rsidR="000C3B1E" w:rsidRPr="00B64E96">
        <w:t>I. stupně</w:t>
      </w:r>
      <w:r w:rsidR="008430BD" w:rsidRPr="00B64E96">
        <w:t xml:space="preserve"> zrušeno a vráceno mu k novému projednání, či po podání odporu). V této zprávě se stejně jako u nápadu jedná o počet věcí, které obživly za vykazované období, tedy za celý daný </w:t>
      </w:r>
      <w:r w:rsidR="001764B8" w:rsidRPr="00B64E96">
        <w:t xml:space="preserve">kalendářní </w:t>
      </w:r>
      <w:r w:rsidR="008430BD" w:rsidRPr="00B64E96">
        <w:t>rok. Data jsou rovněž získávána z výkazů o činnosti soudů.</w:t>
      </w:r>
    </w:p>
    <w:p w14:paraId="616FD1D7" w14:textId="15976514" w:rsidR="008430BD" w:rsidRPr="00B64E96" w:rsidRDefault="008430BD" w:rsidP="00A94F8F">
      <w:pPr>
        <w:pStyle w:val="Odstavecseseznamem"/>
        <w:numPr>
          <w:ilvl w:val="0"/>
          <w:numId w:val="3"/>
        </w:numPr>
      </w:pPr>
      <w:r w:rsidRPr="00B64E96">
        <w:rPr>
          <w:b/>
        </w:rPr>
        <w:t xml:space="preserve">Percentil </w:t>
      </w:r>
      <w:r w:rsidRPr="00B64E96">
        <w:t>– percentily dělí vzestupně setříděný soubor hodnot na setiny (na sto stejných částí). Devadesátý percentil znamená, že 90</w:t>
      </w:r>
      <w:r w:rsidR="00CB570A" w:rsidRPr="00B64E96">
        <w:t> %</w:t>
      </w:r>
      <w:r w:rsidRPr="00B64E96">
        <w:t xml:space="preserve"> hodnot je </w:t>
      </w:r>
      <w:r w:rsidR="00245596" w:rsidRPr="00B64E96">
        <w:t xml:space="preserve">nižších </w:t>
      </w:r>
      <w:r w:rsidRPr="00B64E96">
        <w:t>nebo rovno a 10</w:t>
      </w:r>
      <w:r w:rsidR="00CB570A" w:rsidRPr="00B64E96">
        <w:t> %</w:t>
      </w:r>
      <w:r w:rsidRPr="00B64E96">
        <w:t xml:space="preserve"> hodnot </w:t>
      </w:r>
      <w:r w:rsidR="00245596" w:rsidRPr="00B64E96">
        <w:t xml:space="preserve">vyšších </w:t>
      </w:r>
      <w:r w:rsidRPr="00B64E96">
        <w:t>nebo rovno hodnotě percentilu. Má-li tedy soud devadesátý percentil délky řízení 400 dnů, znamená to, že vyřízení 90</w:t>
      </w:r>
      <w:r w:rsidR="00CB570A" w:rsidRPr="00B64E96">
        <w:t> %</w:t>
      </w:r>
      <w:r w:rsidRPr="00B64E96">
        <w:t> věcí trvá maximálně 400 dnů, zbylých 10</w:t>
      </w:r>
      <w:r w:rsidR="00CB570A" w:rsidRPr="00B64E96">
        <w:t> %</w:t>
      </w:r>
      <w:r w:rsidRPr="00B64E96">
        <w:t> pak 400 dnů a více.</w:t>
      </w:r>
    </w:p>
    <w:p w14:paraId="19D20B63" w14:textId="7C53C214" w:rsidR="008430BD" w:rsidRPr="00B64E96" w:rsidRDefault="008430BD" w:rsidP="00A94F8F">
      <w:pPr>
        <w:pStyle w:val="Odstavecseseznamem"/>
        <w:numPr>
          <w:ilvl w:val="0"/>
          <w:numId w:val="3"/>
        </w:numPr>
      </w:pPr>
      <w:r w:rsidRPr="00B64E96">
        <w:rPr>
          <w:b/>
        </w:rPr>
        <w:t xml:space="preserve">Plánovaný počet soudců </w:t>
      </w:r>
      <w:r w:rsidRPr="00B64E96">
        <w:t>– odhad počtu soudců potřebných k vyřízení nápadu za předmětný rok. Je vypočítáván pro všechny okresní a krajské soudy</w:t>
      </w:r>
      <w:r w:rsidRPr="00B64E96">
        <w:rPr>
          <w:lang w:eastAsia="cs-CZ"/>
        </w:rPr>
        <w:t>, zpravidla</w:t>
      </w:r>
      <w:r w:rsidRPr="00B64E96">
        <w:t xml:space="preserve"> jednou ročně pro následující rok. Systemizace </w:t>
      </w:r>
      <w:r w:rsidR="005A776C" w:rsidRPr="00B64E96">
        <w:t>nej</w:t>
      </w:r>
      <w:r w:rsidRPr="00B64E96">
        <w:rPr>
          <w:lang w:eastAsia="cs-CZ"/>
        </w:rPr>
        <w:t>vyšších soudů je určena na základě dohody, nikoliv výpočtem.</w:t>
      </w:r>
    </w:p>
    <w:p w14:paraId="2A0B861F" w14:textId="77777777" w:rsidR="008430BD" w:rsidRPr="00B64E96" w:rsidRDefault="008430BD" w:rsidP="00A94F8F">
      <w:pPr>
        <w:pStyle w:val="Odstavecseseznamem"/>
        <w:numPr>
          <w:ilvl w:val="0"/>
          <w:numId w:val="3"/>
        </w:numPr>
      </w:pPr>
      <w:r w:rsidRPr="00B64E96">
        <w:rPr>
          <w:b/>
        </w:rPr>
        <w:t xml:space="preserve">Plošný graf </w:t>
      </w:r>
      <w:r w:rsidRPr="00B64E96">
        <w:t>– typ grafu, který velmi dobře znázorňuje velikost změn v čase a v součtu zobrazovaných hodnot</w:t>
      </w:r>
      <w:r w:rsidR="001126B0" w:rsidRPr="00B64E96">
        <w:t>,</w:t>
      </w:r>
      <w:r w:rsidRPr="00B64E96">
        <w:t xml:space="preserve"> vyjadřuje rovněž vztah jednotlivých částí k celku. Jedná se v podstatě o spojnicový graf, ale plochy pod čarami jsou vyplněny barvami. Plošných grafů existuje několik podtypů a v této zprávě používáme skládaný plošný graf a stoprocentní skládaný plošný graf. Osa </w:t>
      </w:r>
      <w:r w:rsidRPr="00B64E96">
        <w:rPr>
          <w:i/>
        </w:rPr>
        <w:t>x</w:t>
      </w:r>
      <w:r w:rsidRPr="00B64E96">
        <w:t xml:space="preserve"> znázorňuje čas a na svislé ose </w:t>
      </w:r>
      <w:r w:rsidRPr="00B64E96">
        <w:rPr>
          <w:i/>
        </w:rPr>
        <w:t>y</w:t>
      </w:r>
      <w:r w:rsidRPr="00B64E96">
        <w:t xml:space="preserve"> jsou hodnoty jednotlivých druhů zkoumaných ukazatelů v absolutních číslech nebo v procentním poměru.</w:t>
      </w:r>
    </w:p>
    <w:p w14:paraId="17250CBC" w14:textId="18706F17" w:rsidR="008430BD" w:rsidRPr="00B64E96" w:rsidRDefault="008430BD" w:rsidP="00A94F8F">
      <w:pPr>
        <w:pStyle w:val="Odstavecseseznamem"/>
        <w:numPr>
          <w:ilvl w:val="0"/>
          <w:numId w:val="3"/>
        </w:numPr>
      </w:pPr>
      <w:r w:rsidRPr="00B64E96">
        <w:rPr>
          <w:b/>
        </w:rPr>
        <w:t xml:space="preserve">Počet soudkyň </w:t>
      </w:r>
      <w:r w:rsidR="000C3B1E" w:rsidRPr="00B64E96">
        <w:rPr>
          <w:b/>
        </w:rPr>
        <w:t>a </w:t>
      </w:r>
      <w:r w:rsidRPr="00B64E96">
        <w:rPr>
          <w:b/>
        </w:rPr>
        <w:t xml:space="preserve">soudců na MD/RD </w:t>
      </w:r>
      <w:r w:rsidRPr="00B64E96">
        <w:t xml:space="preserve">– počet soudkyň </w:t>
      </w:r>
      <w:r w:rsidR="000C3B1E" w:rsidRPr="00B64E96">
        <w:t>a </w:t>
      </w:r>
      <w:r w:rsidRPr="00B64E96">
        <w:t>soudců, kteří jsou na mateřské nebo rodičovské dovolené. Je zahrnut do evidenčního počtu soudců. Uvádíme vždy údaje k 1. 1. daného roku.</w:t>
      </w:r>
    </w:p>
    <w:p w14:paraId="036647FD" w14:textId="77777777" w:rsidR="008430BD" w:rsidRPr="00B64E96" w:rsidRDefault="008430BD" w:rsidP="00A94F8F">
      <w:pPr>
        <w:pStyle w:val="Odstavecseseznamem"/>
        <w:numPr>
          <w:ilvl w:val="0"/>
          <w:numId w:val="3"/>
        </w:numPr>
        <w:rPr>
          <w:b/>
        </w:rPr>
      </w:pPr>
      <w:r w:rsidRPr="00B64E96">
        <w:rPr>
          <w:b/>
        </w:rPr>
        <w:t xml:space="preserve">Průměr </w:t>
      </w:r>
      <w:r w:rsidRPr="00B64E96">
        <w:t>– je míněn aritmetický průměr hodnot.</w:t>
      </w:r>
    </w:p>
    <w:p w14:paraId="05E47786" w14:textId="00B6B78E" w:rsidR="008430BD" w:rsidRPr="00B64E96" w:rsidRDefault="008430BD" w:rsidP="00A94F8F">
      <w:pPr>
        <w:pStyle w:val="Odstavecseseznamem"/>
        <w:numPr>
          <w:ilvl w:val="0"/>
          <w:numId w:val="3"/>
        </w:numPr>
      </w:pPr>
      <w:r w:rsidRPr="00B64E96">
        <w:rPr>
          <w:b/>
        </w:rPr>
        <w:t xml:space="preserve">Přepočet na soudce </w:t>
      </w:r>
      <w:r w:rsidRPr="00B64E96">
        <w:t xml:space="preserve">– počty napadlých, vyřízených a nevyřízených věcí jsou vyděleny počtem soudců. Jedná se o jeden z ukazatelů výkonnosti a zatíženosti soudů. Pro výpočet je využit počet skutečných úvazků. Tato data byla poprvé sbírána k 1. 1. 2020. Jejich velkou výhodou je fakt, že jsou přesnější. Je zde například vyčleněna opatrovnická agenda (počet není uveden dohromady s rejstříkem C) </w:t>
      </w:r>
      <w:r w:rsidR="000C3B1E" w:rsidRPr="00B64E96">
        <w:t>a </w:t>
      </w:r>
      <w:r w:rsidRPr="00B64E96">
        <w:t>dále jsou zohledněny i nepřítomnosti soudců, jako je dlouhodobá nemoc apod. Počty soudců jsou s přesností na desetinu soudce.</w:t>
      </w:r>
    </w:p>
    <w:p w14:paraId="28CA1584" w14:textId="77777777" w:rsidR="008430BD" w:rsidRPr="00B64E96" w:rsidRDefault="008430BD" w:rsidP="00A94F8F">
      <w:pPr>
        <w:pStyle w:val="Odstavecseseznamem"/>
        <w:numPr>
          <w:ilvl w:val="0"/>
          <w:numId w:val="3"/>
        </w:numPr>
      </w:pPr>
      <w:r w:rsidRPr="00B64E96">
        <w:rPr>
          <w:b/>
        </w:rPr>
        <w:t xml:space="preserve">Příchozí věci </w:t>
      </w:r>
      <w:r w:rsidRPr="00B64E96">
        <w:t>– v této zprávě znamená součet napadlých a obživlých věcí.</w:t>
      </w:r>
    </w:p>
    <w:p w14:paraId="6BA82784" w14:textId="6E1EBFD2" w:rsidR="008430BD" w:rsidRPr="00B64E96" w:rsidRDefault="008430BD" w:rsidP="00A94F8F">
      <w:pPr>
        <w:pStyle w:val="Odstavecseseznamem"/>
        <w:numPr>
          <w:ilvl w:val="0"/>
          <w:numId w:val="3"/>
        </w:numPr>
      </w:pPr>
      <w:r w:rsidRPr="00B64E96">
        <w:rPr>
          <w:b/>
        </w:rPr>
        <w:lastRenderedPageBreak/>
        <w:t xml:space="preserve">Skutečný počet úvazků </w:t>
      </w:r>
      <w:r w:rsidRPr="00B64E96">
        <w:rPr>
          <w:bCs/>
        </w:rPr>
        <w:t xml:space="preserve">– jde </w:t>
      </w:r>
      <w:r w:rsidR="000C3B1E" w:rsidRPr="00B64E96">
        <w:rPr>
          <w:bCs/>
        </w:rPr>
        <w:t>o</w:t>
      </w:r>
      <w:r w:rsidR="000C3B1E" w:rsidRPr="00B64E96">
        <w:t> </w:t>
      </w:r>
      <w:r w:rsidRPr="00B64E96">
        <w:t xml:space="preserve">data, která byla získána dotazníkovým šetřením od soudů. </w:t>
      </w:r>
      <w:r w:rsidR="00033563" w:rsidRPr="00B64E96">
        <w:t>Zahrnují</w:t>
      </w:r>
      <w:r w:rsidRPr="00B64E96">
        <w:t xml:space="preserve"> pouze soudc</w:t>
      </w:r>
      <w:r w:rsidR="00033563" w:rsidRPr="00B64E96">
        <w:t>e</w:t>
      </w:r>
      <w:r w:rsidRPr="00B64E96">
        <w:t>, kteří dan</w:t>
      </w:r>
      <w:r w:rsidR="00E844A3" w:rsidRPr="00B64E96">
        <w:t>o</w:t>
      </w:r>
      <w:r w:rsidRPr="00B64E96">
        <w:t xml:space="preserve">u agendu v příslušném roce </w:t>
      </w:r>
      <w:r w:rsidR="00033563" w:rsidRPr="00B64E96">
        <w:t xml:space="preserve">reálně </w:t>
      </w:r>
      <w:r w:rsidRPr="00B64E96">
        <w:t xml:space="preserve">vyřizovali. Na rozdíl od evidenčního počtu soudců tedy nejsou zahrnuti dlouhodobě nepřítomní soudci (na MD/RD, dlouhodobě nemocní, dočasně zproštěni výkonu funkce soudce </w:t>
      </w:r>
      <w:r w:rsidR="000E2347" w:rsidRPr="00B64E96">
        <w:t>(§ </w:t>
      </w:r>
      <w:r w:rsidRPr="00B64E96">
        <w:t xml:space="preserve">99, 100 </w:t>
      </w:r>
      <w:r w:rsidR="000C3B1E" w:rsidRPr="00B64E96">
        <w:t>a </w:t>
      </w:r>
      <w:r w:rsidRPr="00B64E96">
        <w:t>100a zák. č</w:t>
      </w:r>
      <w:r w:rsidR="000E2347" w:rsidRPr="00B64E96">
        <w:t>. </w:t>
      </w:r>
      <w:r w:rsidRPr="00B64E96">
        <w:t>6/</w:t>
      </w:r>
      <w:r w:rsidR="000E2347" w:rsidRPr="00B64E96">
        <w:t>2002 </w:t>
      </w:r>
      <w:r w:rsidRPr="00B64E96">
        <w:t>Sb.</w:t>
      </w:r>
      <w:r w:rsidR="001126B0" w:rsidRPr="00B64E96">
        <w:t>,</w:t>
      </w:r>
      <w:r w:rsidR="00C8663B" w:rsidRPr="00B64E96">
        <w:t xml:space="preserve"> o soudech, soudcích, přísedících a státní správě soudů a o změně některých dalších zákonů (zákon o soudech a soudcích), ve znění pozdějších předpisů</w:t>
      </w:r>
      <w:r w:rsidRPr="00B64E96">
        <w:t xml:space="preserve">) nebo dočasně přeloženi </w:t>
      </w:r>
      <w:r w:rsidR="000C3B1E" w:rsidRPr="00B64E96">
        <w:t>k </w:t>
      </w:r>
      <w:r w:rsidRPr="00B64E96">
        <w:t xml:space="preserve">jinému soudu (stáž). Údaje jsou </w:t>
      </w:r>
      <w:r w:rsidR="00033563" w:rsidRPr="00B64E96">
        <w:t>sledovány</w:t>
      </w:r>
      <w:r w:rsidRPr="00B64E96">
        <w:t xml:space="preserve"> s přesností na desetinu soudce </w:t>
      </w:r>
      <w:r w:rsidR="000C3B1E" w:rsidRPr="00B64E96">
        <w:t>a </w:t>
      </w:r>
      <w:r w:rsidRPr="00B64E96">
        <w:t>jsou podrobněji členěn</w:t>
      </w:r>
      <w:r w:rsidR="00E844A3" w:rsidRPr="00B64E96">
        <w:t>y</w:t>
      </w:r>
      <w:r w:rsidRPr="00B64E96">
        <w:t xml:space="preserve"> dle úseků </w:t>
      </w:r>
      <w:r w:rsidR="000C3B1E" w:rsidRPr="00B64E96">
        <w:t>a </w:t>
      </w:r>
      <w:r w:rsidRPr="00B64E96">
        <w:t>agendy, které se</w:t>
      </w:r>
      <w:r w:rsidR="00E844A3" w:rsidRPr="00B64E96">
        <w:t xml:space="preserve"> soudci</w:t>
      </w:r>
      <w:r w:rsidRPr="00B64E96">
        <w:t xml:space="preserve"> věnují. Někdy též </w:t>
      </w:r>
      <w:r w:rsidR="00033563" w:rsidRPr="00B64E96">
        <w:t xml:space="preserve">označováno </w:t>
      </w:r>
      <w:r w:rsidRPr="00B64E96">
        <w:t>jako</w:t>
      </w:r>
      <w:r w:rsidR="000E2347" w:rsidRPr="00B64E96">
        <w:t xml:space="preserve"> </w:t>
      </w:r>
      <w:r w:rsidRPr="00B64E96">
        <w:t>skutečný počet soudců.</w:t>
      </w:r>
    </w:p>
    <w:p w14:paraId="2D00E67E" w14:textId="77777777" w:rsidR="008430BD" w:rsidRPr="00B64E96" w:rsidRDefault="008430BD" w:rsidP="00A94F8F">
      <w:pPr>
        <w:pStyle w:val="Odstavecseseznamem"/>
        <w:numPr>
          <w:ilvl w:val="0"/>
          <w:numId w:val="3"/>
        </w:numPr>
      </w:pPr>
      <w:r w:rsidRPr="00B64E96">
        <w:rPr>
          <w:b/>
        </w:rPr>
        <w:t xml:space="preserve">Statistické listy (SL) </w:t>
      </w:r>
      <w:r w:rsidRPr="00B64E96">
        <w:t>– po pravomocném skončení (konečném vyřízení) věci v hlavních agendách jsou vyplňovány u jednotlivých soudů odpovědnou osobou, odeslány v elektronické podobě a automaticky zařazeny do datového skladu. Vyhotovují se ke každé věci (osobě v trestní agendě). Obsahují velmi detailní údaje o věci (významné časové údaje, údaje o odvolání, výsledek řízení, anonymizované údaje o účastnících řízení, o výši a druhu trestu apod.).</w:t>
      </w:r>
    </w:p>
    <w:p w14:paraId="16974D36" w14:textId="3A309148" w:rsidR="008430BD" w:rsidRPr="00B64E96" w:rsidRDefault="008430BD" w:rsidP="00A94F8F">
      <w:pPr>
        <w:pStyle w:val="Odstavecseseznamem"/>
        <w:numPr>
          <w:ilvl w:val="0"/>
          <w:numId w:val="3"/>
        </w:numPr>
      </w:pPr>
      <w:r w:rsidRPr="00B64E96">
        <w:rPr>
          <w:b/>
        </w:rPr>
        <w:t xml:space="preserve">Výkazy o činnosti soudů </w:t>
      </w:r>
      <w:r w:rsidRPr="00B64E96">
        <w:t xml:space="preserve">– obsahují především údaje o počtu napadlých, obživlých, vyřízených a nevyřízených věcí za zkoumané období, ale i další data </w:t>
      </w:r>
      <w:r w:rsidR="001126B0" w:rsidRPr="00B64E96">
        <w:t>jako</w:t>
      </w:r>
      <w:r w:rsidRPr="00B64E96">
        <w:t xml:space="preserve"> např. dělení vyřízených věcí podle způsobu vyřízení </w:t>
      </w:r>
      <w:r w:rsidR="005A77B7" w:rsidRPr="00B64E96">
        <w:t>či</w:t>
      </w:r>
      <w:r w:rsidRPr="00B64E96">
        <w:t> dělení obživlých věcí podle důvodu pro obživnutí. Vypočítávají se automaticky pro každou agendu (rejstřík) a každý soud.</w:t>
      </w:r>
    </w:p>
    <w:p w14:paraId="4579D780" w14:textId="77777777" w:rsidR="008430BD" w:rsidRPr="00B64E96" w:rsidRDefault="008430BD" w:rsidP="00A94F8F">
      <w:pPr>
        <w:pStyle w:val="Odstavecseseznamem"/>
        <w:numPr>
          <w:ilvl w:val="0"/>
          <w:numId w:val="3"/>
        </w:numPr>
        <w:rPr>
          <w:b/>
        </w:rPr>
      </w:pPr>
      <w:r w:rsidRPr="00B64E96">
        <w:rPr>
          <w:b/>
        </w:rPr>
        <w:t xml:space="preserve">Vyřízené věci </w:t>
      </w:r>
      <w:r w:rsidRPr="00B64E96">
        <w:t>– v této zprávě se vždy jedná o roční data, která jsou získána z výkazů o činnosti soudů.</w:t>
      </w:r>
    </w:p>
    <w:p w14:paraId="6E4D1CE5" w14:textId="77777777" w:rsidR="008430BD" w:rsidRPr="00B64E96" w:rsidRDefault="008430BD" w:rsidP="008430BD"/>
    <w:p w14:paraId="1F5A5D67" w14:textId="77777777" w:rsidR="008430BD" w:rsidRPr="00B64E96" w:rsidRDefault="008430BD" w:rsidP="008430BD">
      <w:pPr>
        <w:pStyle w:val="Nadpis3"/>
        <w:pageBreakBefore/>
        <w:ind w:left="0" w:firstLine="0"/>
        <w:rPr>
          <w:color w:val="auto"/>
        </w:rPr>
      </w:pPr>
      <w:bookmarkStart w:id="1888" w:name="_Toc487791319"/>
      <w:bookmarkStart w:id="1889" w:name="_Toc106092837"/>
      <w:bookmarkStart w:id="1890" w:name="_Toc169250916"/>
      <w:bookmarkStart w:id="1891" w:name="_Toc174080952"/>
      <w:r w:rsidRPr="00B64E96">
        <w:rPr>
          <w:color w:val="auto"/>
        </w:rPr>
        <w:lastRenderedPageBreak/>
        <w:t>Právní a ostatní pojmy</w:t>
      </w:r>
      <w:bookmarkEnd w:id="1888"/>
      <w:bookmarkEnd w:id="1889"/>
      <w:bookmarkEnd w:id="1890"/>
      <w:bookmarkEnd w:id="1891"/>
    </w:p>
    <w:p w14:paraId="68BDF495" w14:textId="77777777" w:rsidR="008430BD" w:rsidRPr="00B64E96" w:rsidRDefault="008430BD" w:rsidP="00A94F8F">
      <w:pPr>
        <w:pStyle w:val="Odstavecseseznamem"/>
        <w:numPr>
          <w:ilvl w:val="0"/>
          <w:numId w:val="3"/>
        </w:numPr>
      </w:pPr>
      <w:r w:rsidRPr="00B64E96">
        <w:rPr>
          <w:b/>
        </w:rPr>
        <w:t xml:space="preserve">Civilní </w:t>
      </w:r>
      <w:r w:rsidRPr="00B64E96">
        <w:t>– (agenda, řízení, úsek) činnost soudů v občanském soudním řízení. Civilní soudnictví v sobě dále zahrnuje celou řadů různých specificky upravených typů řízení (řízení o pozůstalosti, umoření listin apod.) a člení se tudíž na další agendy. Do samostatných agend se z něj vyčleňuje opatrovnická a obchodní agenda, z obchodní agendy pak dále zvlášť agenda insolvenční. V této zprávě se civilní agendou myslí zpravidla věci vedené v rejstříku C, do kterého se zapisují zejména občanskoprávní návrhy týkající se právních poměrů mezi žalobcem a žalovaným a návrhy na rozhodnutí ve statusových věcech manželských a partnerských.</w:t>
      </w:r>
    </w:p>
    <w:p w14:paraId="2794FE33" w14:textId="327E884D" w:rsidR="002754E0" w:rsidRPr="00B64E96" w:rsidRDefault="002754E0" w:rsidP="00A94F8F">
      <w:pPr>
        <w:pStyle w:val="Odstavecseseznamem"/>
        <w:numPr>
          <w:ilvl w:val="0"/>
          <w:numId w:val="3"/>
        </w:numPr>
      </w:pPr>
      <w:r w:rsidRPr="00B64E96">
        <w:rPr>
          <w:b/>
        </w:rPr>
        <w:t>CEPEJ</w:t>
      </w:r>
      <w:r w:rsidRPr="00B64E96">
        <w:t xml:space="preserve"> – </w:t>
      </w:r>
      <w:r w:rsidR="00357A51" w:rsidRPr="00B64E96">
        <w:t>E</w:t>
      </w:r>
      <w:r w:rsidRPr="00B64E96">
        <w:t>vropská komise pro efektivitu justice</w:t>
      </w:r>
      <w:r w:rsidR="001D7D46" w:rsidRPr="00B64E96">
        <w:t xml:space="preserve"> Rady Evropy</w:t>
      </w:r>
      <w:r w:rsidRPr="00B64E96">
        <w:t xml:space="preserve"> (</w:t>
      </w:r>
      <w:r w:rsidR="00357A51" w:rsidRPr="00B64E96">
        <w:t xml:space="preserve">European </w:t>
      </w:r>
      <w:r w:rsidR="003426BF" w:rsidRPr="00B64E96">
        <w:br/>
      </w:r>
      <w:r w:rsidR="00357A51" w:rsidRPr="00B64E96">
        <w:t xml:space="preserve">Commission for the Efficiency of Justice), jejímž úkolem je </w:t>
      </w:r>
      <w:r w:rsidR="00C22C9A" w:rsidRPr="00B64E96">
        <w:t xml:space="preserve">porovnávání </w:t>
      </w:r>
      <w:r w:rsidR="003426BF" w:rsidRPr="00B64E96">
        <w:br/>
      </w:r>
      <w:r w:rsidR="00C22C9A" w:rsidRPr="00B64E96">
        <w:t xml:space="preserve">soudních systémů </w:t>
      </w:r>
      <w:r w:rsidR="00755920" w:rsidRPr="00B64E96">
        <w:t>a</w:t>
      </w:r>
      <w:r w:rsidR="003426BF" w:rsidRPr="00B64E96">
        <w:t xml:space="preserve"> </w:t>
      </w:r>
      <w:r w:rsidR="00C22C9A" w:rsidRPr="00B64E96">
        <w:t xml:space="preserve">výměna poznatků o jejich fungování. </w:t>
      </w:r>
      <w:r w:rsidR="00395B5A" w:rsidRPr="00B64E96">
        <w:t>Domovská stránka</w:t>
      </w:r>
      <w:r w:rsidR="00C22C9A" w:rsidRPr="00B64E96">
        <w:t xml:space="preserve">: </w:t>
      </w:r>
      <w:hyperlink r:id="rId186" w:history="1">
        <w:r w:rsidR="000777CE" w:rsidRPr="00B64E96">
          <w:rPr>
            <w:rStyle w:val="Hypertextovodkaz"/>
            <w:color w:val="auto"/>
          </w:rPr>
          <w:t>https://www.coe.int/en/web/cepej/home</w:t>
        </w:r>
      </w:hyperlink>
      <w:r w:rsidR="000777CE" w:rsidRPr="00B64E96">
        <w:t>.</w:t>
      </w:r>
    </w:p>
    <w:p w14:paraId="27231A99" w14:textId="4B1330F8" w:rsidR="004D554D" w:rsidRPr="00B64E96" w:rsidRDefault="004D554D" w:rsidP="00A94F8F">
      <w:pPr>
        <w:pStyle w:val="Odstavecseseznamem"/>
        <w:numPr>
          <w:ilvl w:val="0"/>
          <w:numId w:val="3"/>
        </w:numPr>
      </w:pPr>
      <w:r w:rsidRPr="00B64E96">
        <w:rPr>
          <w:b/>
        </w:rPr>
        <w:t xml:space="preserve">Dohoda o vině a trestu </w:t>
      </w:r>
      <w:r w:rsidRPr="00B64E96">
        <w:t>– představuje alternativní způsob řešení trestních věcí, který má svůj původ v angloamerickém právním systému</w:t>
      </w:r>
      <w:r w:rsidR="00652F87" w:rsidRPr="00B64E96">
        <w:t>.</w:t>
      </w:r>
      <w:r w:rsidRPr="00B64E96">
        <w:t xml:space="preserve"> Jedná se o dohodu mezi státním zástupcem, obviněným a případně poškozeným, jejíž podstatou je prohlášení obviněného, že spáchal skutek, pro který je stíhán, a vzdání se práva na projednání věci před soudem výměnou za mírnější trest, s fakultativní možností sjednání dohody o náhradě újmy způsobené trestným činem. O uzavřené dohodě rozhoduje soud ve veřejné</w:t>
      </w:r>
      <w:r w:rsidR="005015F7" w:rsidRPr="00B64E96">
        <w:t>m</w:t>
      </w:r>
      <w:r w:rsidRPr="00B64E96">
        <w:t xml:space="preserve"> zasedání v řízení o schválení dohody o vině a trestu; k uzavření dohody může dojít i v řízení před soudem v hlavním líčení.</w:t>
      </w:r>
      <w:r w:rsidR="00652F87" w:rsidRPr="00B64E96">
        <w:t xml:space="preserve"> Institut dohody o vině a trestu byl do českého trestního práva zaveden s účinností od 1. 9. 2012 novelou trestního řádu zákonem č. 193/2012 Sb. S cílem rozšířit uplatnění dohody o vině a trestu v trestním řízení a zvýšit tak počet případů byla s účinnost</w:t>
      </w:r>
      <w:r w:rsidR="00561B98" w:rsidRPr="00B64E96">
        <w:t>í</w:t>
      </w:r>
      <w:r w:rsidR="00652F87" w:rsidRPr="00B64E96">
        <w:t xml:space="preserve"> od 1. 10. 2020 přijata novela trestního řádu provedená zákonem č. 333/2020 Sb.</w:t>
      </w:r>
    </w:p>
    <w:p w14:paraId="5A5CF2DC" w14:textId="4D17DD63" w:rsidR="008430BD" w:rsidRPr="00B64E96" w:rsidRDefault="008430BD" w:rsidP="00A94F8F">
      <w:pPr>
        <w:pStyle w:val="Odstavecseseznamem"/>
        <w:numPr>
          <w:ilvl w:val="0"/>
          <w:numId w:val="3"/>
        </w:numPr>
      </w:pPr>
      <w:r w:rsidRPr="00B64E96">
        <w:rPr>
          <w:b/>
        </w:rPr>
        <w:t xml:space="preserve">Dovolání </w:t>
      </w:r>
      <w:r w:rsidRPr="00B64E96">
        <w:t>– mimořádný opravný prostředek, jímž lze napadnout pravomocné rozhodnutí odvolacího soudu, pokud to zákon připouští. O dovolání rozhoduje Nejvyšší soud; v civilních řízeních nemusí být v zákonem stanovených případech věc předložena dovolacímu soudu, ale o dovolání může rozhodnout soud v první instanci (jedná se zejména o zastavení dovolacího řízení pro nezaplacení soudního poplatku, odmítnutí dovolání pro opožděnost apod.).</w:t>
      </w:r>
    </w:p>
    <w:p w14:paraId="3ADDCFFE" w14:textId="5E3A4E6E" w:rsidR="008430BD" w:rsidRPr="00B64E96" w:rsidRDefault="008430BD" w:rsidP="00A94F8F">
      <w:pPr>
        <w:pStyle w:val="Odstavecseseznamem"/>
        <w:numPr>
          <w:ilvl w:val="0"/>
          <w:numId w:val="3"/>
        </w:numPr>
      </w:pPr>
      <w:r w:rsidRPr="00B64E96">
        <w:rPr>
          <w:b/>
        </w:rPr>
        <w:t xml:space="preserve">Hlavní agendy </w:t>
      </w:r>
      <w:r w:rsidRPr="00B64E96">
        <w:t xml:space="preserve">– jedná se o takové agendy soudů, které svou velikostí a významem tvoří stěžejní část jejich práce. V případě </w:t>
      </w:r>
      <w:r w:rsidR="00A678A0" w:rsidRPr="00B64E96">
        <w:t xml:space="preserve">okresních a krajských </w:t>
      </w:r>
      <w:r w:rsidRPr="00B64E96">
        <w:t>soudů jsou to z civilní (občanskoprávní) agendy věci zapisované do rejstříku C, z opatrovnické agendy věci vedené v rejstříku P</w:t>
      </w:r>
      <w:r w:rsidR="0053190F" w:rsidRPr="00B64E96">
        <w:t> </w:t>
      </w:r>
      <w:r w:rsidRPr="00B64E96">
        <w:t xml:space="preserve">a Nc, </w:t>
      </w:r>
      <w:r w:rsidR="00A272A1" w:rsidRPr="00B64E96">
        <w:t>u </w:t>
      </w:r>
      <w:r w:rsidRPr="00B64E96">
        <w:t>obchodní agendy věci z rejstříku Cm</w:t>
      </w:r>
      <w:r w:rsidR="00FA2FE2" w:rsidRPr="00B64E96">
        <w:t xml:space="preserve">, </w:t>
      </w:r>
      <w:r w:rsidRPr="00B64E96">
        <w:t>insolvenčního rejstříku</w:t>
      </w:r>
      <w:r w:rsidR="0053190F" w:rsidRPr="00B64E96">
        <w:t> </w:t>
      </w:r>
      <w:r w:rsidRPr="00B64E96">
        <w:t>INS</w:t>
      </w:r>
      <w:r w:rsidR="00FA2FE2" w:rsidRPr="00B64E96">
        <w:t xml:space="preserve"> a rejstříku incidenčních sporů ICm</w:t>
      </w:r>
      <w:r w:rsidRPr="00B64E96">
        <w:t>, z trestní agendy rejstříky T a Tm a ze správního soudnictví všechny správní rejstříky kromě tzv. všeobecného rejstříku správního soudnictví.</w:t>
      </w:r>
      <w:r w:rsidR="00A678A0" w:rsidRPr="00B64E96">
        <w:t xml:space="preserve"> Dále to jsou odvolací agendy: civilní (rejstřík Co) a trestní (rejstřík To)</w:t>
      </w:r>
      <w:r w:rsidR="005B435F" w:rsidRPr="00B64E96">
        <w:t>.</w:t>
      </w:r>
      <w:r w:rsidR="00A678A0" w:rsidRPr="00B64E96">
        <w:t xml:space="preserve"> </w:t>
      </w:r>
    </w:p>
    <w:p w14:paraId="6A811697" w14:textId="128DE212" w:rsidR="008430BD" w:rsidRPr="00B64E96" w:rsidRDefault="008430BD" w:rsidP="00A94F8F">
      <w:pPr>
        <w:pStyle w:val="Odstavecseseznamem"/>
        <w:numPr>
          <w:ilvl w:val="0"/>
          <w:numId w:val="3"/>
        </w:numPr>
      </w:pPr>
      <w:r w:rsidRPr="00B64E96">
        <w:rPr>
          <w:b/>
        </w:rPr>
        <w:t xml:space="preserve">InfoData </w:t>
      </w:r>
      <w:r w:rsidRPr="00B64E96">
        <w:t>– statistický portál Ministerstva spravedlnosti, který umožňuje přístup široké veřejnosti k výkazům a statistikám soudů. Jeho hlavním cílem je prezentovat všechny důležité informace o justici na jednom místě a tím přispět k její větší otevřenosti (</w:t>
      </w:r>
      <w:hyperlink r:id="rId187" w:history="1">
        <w:r w:rsidR="005B0E0D" w:rsidRPr="00564C47">
          <w:rPr>
            <w:rStyle w:val="Hypertextovodkaz"/>
          </w:rPr>
          <w:t>http://cslav.justice.cz/InfoData/uvod.html</w:t>
        </w:r>
      </w:hyperlink>
      <w:r w:rsidRPr="00B64E96">
        <w:t>).</w:t>
      </w:r>
      <w:r w:rsidR="00C11478" w:rsidRPr="00B64E96">
        <w:t xml:space="preserve"> Data zobrazená pomocí dynamických grafů a tabulek je možné najít </w:t>
      </w:r>
      <w:hyperlink r:id="rId188" w:history="1">
        <w:r w:rsidR="00C11478" w:rsidRPr="00564C47">
          <w:rPr>
            <w:rStyle w:val="Hypertextovodkaz"/>
          </w:rPr>
          <w:t>zde</w:t>
        </w:r>
      </w:hyperlink>
      <w:r w:rsidR="00C11478" w:rsidRPr="00B64E96">
        <w:t xml:space="preserve"> pro trestní agendu a </w:t>
      </w:r>
      <w:hyperlink r:id="rId189" w:history="1">
        <w:r w:rsidR="00C11478" w:rsidRPr="00564C47">
          <w:rPr>
            <w:rStyle w:val="Hypertextovodkaz"/>
          </w:rPr>
          <w:t>zde</w:t>
        </w:r>
      </w:hyperlink>
      <w:r w:rsidR="00C11478" w:rsidRPr="00B64E96">
        <w:t xml:space="preserve"> pro </w:t>
      </w:r>
      <w:r w:rsidR="00EA1E0D" w:rsidRPr="00B64E96">
        <w:t>netrestní agendy</w:t>
      </w:r>
      <w:r w:rsidR="00C11478" w:rsidRPr="00B64E96">
        <w:t>.</w:t>
      </w:r>
    </w:p>
    <w:p w14:paraId="754C9E75" w14:textId="7DE8E608" w:rsidR="008430BD" w:rsidRPr="00B64E96" w:rsidRDefault="008430BD" w:rsidP="00A94F8F">
      <w:pPr>
        <w:pStyle w:val="Odstavecseseznamem"/>
        <w:numPr>
          <w:ilvl w:val="0"/>
          <w:numId w:val="3"/>
        </w:numPr>
      </w:pPr>
      <w:r w:rsidRPr="00B64E96">
        <w:rPr>
          <w:b/>
        </w:rPr>
        <w:t xml:space="preserve">Incidenční spory </w:t>
      </w:r>
      <w:r w:rsidRPr="00B64E96">
        <w:t xml:space="preserve">– jedná se </w:t>
      </w:r>
      <w:r w:rsidR="000C3B1E" w:rsidRPr="00B64E96">
        <w:t>o </w:t>
      </w:r>
      <w:r w:rsidRPr="00B64E96">
        <w:t xml:space="preserve">spory vyvolané insolvenčním řízením </w:t>
      </w:r>
      <w:r w:rsidR="000C3B1E" w:rsidRPr="00B64E96">
        <w:t>a </w:t>
      </w:r>
      <w:r w:rsidRPr="00B64E96">
        <w:t xml:space="preserve">projednávané v rámci insolvenčního řízení. Co jsou incidenční spory vymezuje insolvenční zákon (zákon </w:t>
      </w:r>
      <w:r w:rsidRPr="00B64E96">
        <w:lastRenderedPageBreak/>
        <w:t xml:space="preserve">č. 182/2006 Sb.). Jde například </w:t>
      </w:r>
      <w:r w:rsidR="000C3B1E" w:rsidRPr="00B64E96">
        <w:t>o </w:t>
      </w:r>
      <w:r w:rsidRPr="00B64E96">
        <w:t xml:space="preserve">spory </w:t>
      </w:r>
      <w:r w:rsidR="000C3B1E" w:rsidRPr="00B64E96">
        <w:t>o </w:t>
      </w:r>
      <w:r w:rsidRPr="00B64E96">
        <w:t xml:space="preserve">pravost, výši nebo pořadí přihlášených pohledávek, spory </w:t>
      </w:r>
      <w:r w:rsidR="000C3B1E" w:rsidRPr="00B64E96">
        <w:t>o </w:t>
      </w:r>
      <w:r w:rsidRPr="00B64E96">
        <w:t xml:space="preserve">vypořádání společného jmění dlužníka </w:t>
      </w:r>
      <w:r w:rsidR="000C3B1E" w:rsidRPr="00B64E96">
        <w:t>a </w:t>
      </w:r>
      <w:r w:rsidRPr="00B64E96">
        <w:t xml:space="preserve">jeho manžela, spory o platnost smluv, kterými došlo ke zpeněžení majetkové podstaty prodejem mimo dražbu </w:t>
      </w:r>
      <w:r w:rsidR="000C3B1E" w:rsidRPr="00B64E96">
        <w:t>a </w:t>
      </w:r>
      <w:r w:rsidRPr="00B64E96">
        <w:t>další (viz také ust. §</w:t>
      </w:r>
      <w:r w:rsidR="0053190F" w:rsidRPr="00B64E96">
        <w:t> </w:t>
      </w:r>
      <w:r w:rsidRPr="00B64E96">
        <w:t xml:space="preserve">159 </w:t>
      </w:r>
      <w:r w:rsidR="000C3B1E" w:rsidRPr="00B64E96">
        <w:t>a </w:t>
      </w:r>
      <w:r w:rsidRPr="00B64E96">
        <w:t>násl. insolvenčního zákona).</w:t>
      </w:r>
    </w:p>
    <w:p w14:paraId="1767D529" w14:textId="18298AC4" w:rsidR="008430BD" w:rsidRPr="00B64E96" w:rsidRDefault="008430BD" w:rsidP="00A94F8F">
      <w:pPr>
        <w:pStyle w:val="Odstavecseseznamem"/>
        <w:numPr>
          <w:ilvl w:val="0"/>
          <w:numId w:val="3"/>
        </w:numPr>
      </w:pPr>
      <w:r w:rsidRPr="00B64E96">
        <w:rPr>
          <w:b/>
        </w:rPr>
        <w:t xml:space="preserve">Insolvence </w:t>
      </w:r>
      <w:r w:rsidRPr="00B64E96">
        <w:t>– jinak také insolvenční agenda (řízení). Jedná se o zvláštní soudní řízení civilní agendy, jehož předmětem je projednání úpadku a jeho řešení. Do insolvenční agendy se dále ř</w:t>
      </w:r>
      <w:r w:rsidR="005A77B7" w:rsidRPr="00B64E96">
        <w:t>a</w:t>
      </w:r>
      <w:r w:rsidRPr="00B64E96">
        <w:t xml:space="preserve">dí incidenční spory. </w:t>
      </w:r>
      <w:r w:rsidR="00560594" w:rsidRPr="00B64E96">
        <w:t xml:space="preserve">Insolvenční řízení vedou krajské soudy jako soudy věcně příslušné v rámci </w:t>
      </w:r>
      <w:r w:rsidRPr="00B64E96">
        <w:t>insolvenčních oddělení obchodních úseků soudů.</w:t>
      </w:r>
    </w:p>
    <w:p w14:paraId="056933AE" w14:textId="0CA951EB" w:rsidR="008430BD" w:rsidRPr="00B64E96" w:rsidRDefault="008430BD" w:rsidP="00A94F8F">
      <w:pPr>
        <w:pStyle w:val="Odstavecseseznamem"/>
        <w:numPr>
          <w:ilvl w:val="0"/>
          <w:numId w:val="3"/>
        </w:numPr>
      </w:pPr>
      <w:r w:rsidRPr="00B64E96">
        <w:rPr>
          <w:b/>
        </w:rPr>
        <w:t xml:space="preserve">Jmenovací etapa </w:t>
      </w:r>
      <w:r w:rsidRPr="00B64E96">
        <w:t>– jinak také etapa jmenování soudců. Soudce jmenuje prezident na návrh ministra spravedlnosti dle aktuální potřeby jednotlivých soudů.</w:t>
      </w:r>
    </w:p>
    <w:p w14:paraId="2FF04D03" w14:textId="14755FAA" w:rsidR="008430BD" w:rsidRPr="00B64E96" w:rsidRDefault="008430BD" w:rsidP="00A94F8F">
      <w:pPr>
        <w:pStyle w:val="Odstavecseseznamem"/>
        <w:numPr>
          <w:ilvl w:val="0"/>
          <w:numId w:val="3"/>
        </w:numPr>
      </w:pPr>
      <w:r w:rsidRPr="00B64E96">
        <w:rPr>
          <w:b/>
        </w:rPr>
        <w:t xml:space="preserve">Kasační stížnost </w:t>
      </w:r>
      <w:r w:rsidRPr="00B64E96">
        <w:t>– mimořádný opravný prostředek, jímž lze napadnout pravomocné rozhodnutí krajského soudu vydané ve správním soudnictví. Kasační stížnost je možné podat v zásadě proti každému takovému rozhodnutí, není-li přezkoumání v kasačním řízení zákonem výslovně vyloučeno. O kasačních stížnostech rozhoduje Nejvyšší správní soud.</w:t>
      </w:r>
    </w:p>
    <w:p w14:paraId="30C74BC6" w14:textId="77777777" w:rsidR="008430BD" w:rsidRPr="00B64E96" w:rsidRDefault="008430BD" w:rsidP="00A94F8F">
      <w:pPr>
        <w:pStyle w:val="Odstavecseseznamem"/>
        <w:numPr>
          <w:ilvl w:val="0"/>
          <w:numId w:val="3"/>
        </w:numPr>
      </w:pPr>
      <w:r w:rsidRPr="00B64E96">
        <w:rPr>
          <w:b/>
        </w:rPr>
        <w:t xml:space="preserve">Krajské soudy (KS) </w:t>
      </w:r>
      <w:r w:rsidRPr="00B64E96">
        <w:t>– druhý ze čtyř článků soustavy soudů ČR. Působí jich celkem osm, a to Krajský soud v Praze, v Českých Budějovicích, v Plzni, v Ústí nad Labem, v Hradci Králové, v Brně a v Ostravě a Městský soud v Praze, který vykonává působnost krajského soudu pro území hlavního města Prahy.</w:t>
      </w:r>
    </w:p>
    <w:p w14:paraId="68B2C30B" w14:textId="47B97211" w:rsidR="008430BD" w:rsidRPr="00B64E96" w:rsidRDefault="008430BD" w:rsidP="00A94F8F">
      <w:pPr>
        <w:pStyle w:val="Odstavecseseznamem"/>
        <w:numPr>
          <w:ilvl w:val="0"/>
          <w:numId w:val="3"/>
        </w:numPr>
      </w:pPr>
      <w:r w:rsidRPr="00B64E96">
        <w:rPr>
          <w:b/>
        </w:rPr>
        <w:t xml:space="preserve">Moratorium </w:t>
      </w:r>
      <w:r w:rsidRPr="00B64E96">
        <w:t xml:space="preserve">– představuje poslední možnost odvrátit úpadek dlužníka před jeho zjištěním, neboť po dobu jeho trvání nelze vyhlásit úpadek dlužníka, platí však stejné účinky jako při zahájení insolvenčního řízení. O moratorium může žádat jen dlužník, který je podnikatelem. Moratorium se vyhlašuje za splnění zákonných podmínek nejdéle na dobu 3 měsíců; ve zvláštních případech může být prodlouženo </w:t>
      </w:r>
      <w:r w:rsidR="000C3B1E" w:rsidRPr="00B64E96">
        <w:t>o </w:t>
      </w:r>
      <w:r w:rsidRPr="00B64E96">
        <w:t xml:space="preserve">dalších třicet dnů. </w:t>
      </w:r>
      <w:r w:rsidRPr="00B64E96" w:rsidDel="003549CA">
        <w:t>Smyslem moratoria je poskytnout dlužník</w:t>
      </w:r>
      <w:r w:rsidRPr="00B64E96">
        <w:t>ovi</w:t>
      </w:r>
      <w:r w:rsidRPr="00B64E96" w:rsidDel="003549CA">
        <w:t xml:space="preserve"> čas na vyřešení svých nesplácených závazků</w:t>
      </w:r>
      <w:r w:rsidRPr="00B64E96">
        <w:t xml:space="preserve"> a </w:t>
      </w:r>
      <w:r w:rsidRPr="00B64E96" w:rsidDel="003549CA">
        <w:t>pohledávek</w:t>
      </w:r>
      <w:r w:rsidRPr="00B64E96">
        <w:t>, zachovat provoz podniku dlužníka a </w:t>
      </w:r>
      <w:r w:rsidRPr="00B64E96" w:rsidDel="003549CA">
        <w:t>vyrovnat se</w:t>
      </w:r>
      <w:r w:rsidRPr="00B64E96">
        <w:t xml:space="preserve"> s </w:t>
      </w:r>
      <w:r w:rsidRPr="00B64E96" w:rsidDel="003549CA">
        <w:t xml:space="preserve">věřiteli ještě před </w:t>
      </w:r>
      <w:r w:rsidRPr="00B64E96">
        <w:t>tím, než proběhne celé insolvenční</w:t>
      </w:r>
      <w:r w:rsidRPr="00B64E96" w:rsidDel="003549CA">
        <w:t xml:space="preserve"> řízení.</w:t>
      </w:r>
    </w:p>
    <w:p w14:paraId="2CF16E37" w14:textId="77777777" w:rsidR="008430BD" w:rsidRPr="00B64E96" w:rsidRDefault="008430BD" w:rsidP="00A94F8F">
      <w:pPr>
        <w:pStyle w:val="Odstavecseseznamem"/>
        <w:numPr>
          <w:ilvl w:val="0"/>
          <w:numId w:val="3"/>
        </w:numPr>
        <w:ind w:left="714" w:hanging="357"/>
      </w:pPr>
      <w:r w:rsidRPr="00B64E96">
        <w:rPr>
          <w:b/>
        </w:rPr>
        <w:t xml:space="preserve">Nadřízený soud </w:t>
      </w:r>
      <w:r w:rsidRPr="00B64E96">
        <w:t>– z hlediska hierarchického organizačního uspořádání soudní soustavy lze soudy obecně označovat podle jejich postavení v soustavě jako soudy vyšší a nižší a z hlediska instančních vztahů také jako soudy nadřízené (vyššího stupně) a podřízené (nižšího stupně). Vyšším soudem je soud, který v soudní soustavě zaujímá oproti jinému soudu vyšší postavení bez ohledu na to, zda nižší soud je činný v obvodu působnosti soudu vyššího. Nadřízeným soudem je soud vyšší ve vztahu k soudu nižšímu (podřízenému), který spadá do jeho obvodu působnosti. Například krajský soud je vždy nadřízeným soudem ve vztahu k okresním soudům v obvodu jeho působnosti, nikoliv však již ve vztahu k okresním soudům, které spadají do působnosti jiného krajského soudu.</w:t>
      </w:r>
    </w:p>
    <w:p w14:paraId="451DF910" w14:textId="77777777" w:rsidR="008430BD" w:rsidRPr="00B64E96" w:rsidRDefault="008430BD" w:rsidP="00A94F8F">
      <w:pPr>
        <w:pStyle w:val="Odstavecseseznamem"/>
        <w:numPr>
          <w:ilvl w:val="0"/>
          <w:numId w:val="3"/>
        </w:numPr>
        <w:ind w:left="714" w:hanging="357"/>
      </w:pPr>
      <w:r w:rsidRPr="00B64E96">
        <w:rPr>
          <w:b/>
        </w:rPr>
        <w:t xml:space="preserve">Nejvyšší soud (NS) </w:t>
      </w:r>
      <w:r w:rsidRPr="00B64E96">
        <w:t>– čtvrtý článek soudní soustavy a vrcholný soudní orgán ve věcech patřících do pravomoci soudů v civilním a trestním soudnictví s výjimkou záležitostí, o nichž rozhoduje Ústavní soud a Nejvyšší správní soud. Rozhoduje o mimořádných opravných prostředcích v případech stanovených zákony o řízení před soudy a v jiných případech stanovených zvláštním právním předpisem nebo mezinárodní smlouvou, s níž vyslovil souhlas Parlament, jíž je Česká republika vázána a která byla vyhlášena. Sídlí v Brně.</w:t>
      </w:r>
    </w:p>
    <w:p w14:paraId="29E8C6C9" w14:textId="0CFE5D4B" w:rsidR="008430BD" w:rsidRPr="00B64E96" w:rsidRDefault="008430BD" w:rsidP="00A94F8F">
      <w:pPr>
        <w:pStyle w:val="Odstavecseseznamem"/>
        <w:numPr>
          <w:ilvl w:val="0"/>
          <w:numId w:val="3"/>
        </w:numPr>
        <w:ind w:left="714" w:hanging="357"/>
      </w:pPr>
      <w:r w:rsidRPr="00B64E96">
        <w:rPr>
          <w:b/>
        </w:rPr>
        <w:t xml:space="preserve">Nejvyšší správní soud (NSS) </w:t>
      </w:r>
      <w:r w:rsidRPr="00B64E96">
        <w:t>– vrcholný soudní orgán ve věcech patřících do pravomoci soudů ve správním soudnictví. Správní soudnictví v ČR spolu s NSS vykonávají krajské soudy. Sídlí v Brně.</w:t>
      </w:r>
    </w:p>
    <w:p w14:paraId="621EDD0B" w14:textId="77777777" w:rsidR="008430BD" w:rsidRPr="00B64E96" w:rsidRDefault="008430BD" w:rsidP="00A94F8F">
      <w:pPr>
        <w:pStyle w:val="Odstavecseseznamem"/>
        <w:numPr>
          <w:ilvl w:val="0"/>
          <w:numId w:val="3"/>
        </w:numPr>
        <w:ind w:left="714" w:hanging="357"/>
      </w:pPr>
      <w:r w:rsidRPr="00B64E96">
        <w:rPr>
          <w:b/>
        </w:rPr>
        <w:lastRenderedPageBreak/>
        <w:t xml:space="preserve">O. z. </w:t>
      </w:r>
      <w:r w:rsidRPr="00B64E96">
        <w:t>– občanský zákoník, zákon č. 89/2012 Sb., který rekodifikoval české soukromé právo a nahradil předchozí československý občanský zákoník z roku 1964. Nabyl účinnosti dnem 1. 1. 2014.</w:t>
      </w:r>
    </w:p>
    <w:p w14:paraId="5512C889" w14:textId="50AE0BEF" w:rsidR="008430BD" w:rsidRPr="00B64E96" w:rsidRDefault="008430BD" w:rsidP="00A94F8F">
      <w:pPr>
        <w:pStyle w:val="Odstavecseseznamem"/>
        <w:numPr>
          <w:ilvl w:val="0"/>
          <w:numId w:val="3"/>
        </w:numPr>
        <w:ind w:left="714" w:hanging="357"/>
      </w:pPr>
      <w:r w:rsidRPr="00B64E96">
        <w:rPr>
          <w:b/>
        </w:rPr>
        <w:t xml:space="preserve">Obchodní </w:t>
      </w:r>
      <w:r w:rsidRPr="00B64E96">
        <w:t>– (agenda, úsek) jedna ze samostatně sledovaných agend civilního soudnictví, jejíž převážnou část tvoří spory mezi podnikateli a statusové věci právnických osob včetně jejich zrušení a likvidace, jmenování a odvolávání členů jejich orgánů nebo likvidátora a přeměn</w:t>
      </w:r>
      <w:r w:rsidR="00395B5A" w:rsidRPr="00B64E96">
        <w:t>y</w:t>
      </w:r>
      <w:r w:rsidRPr="00B64E96">
        <w:t>. Do obchodní agendy se řadí i dvě další agendy se specificky upraveným druhem řízení. V prvním případě se jedná o insolvenci, která je vzhledem ke svému rozsahu a významu sledována zvlášť. V druhém případě jde o řízení ve věcech veřejných rejstříků právnických a fyzických osob</w:t>
      </w:r>
      <w:r w:rsidR="00FA2FE2" w:rsidRPr="00B64E96">
        <w:t>, evidence svěřeneckých fondů a evidence skutečných majitelů</w:t>
      </w:r>
      <w:r w:rsidRPr="00B64E96">
        <w:t>. Tato zpráva se posledně uvedenou agendou nezabývá; údaje o ní lze získat z ostatních veřejných zdrojů justičních statistik.</w:t>
      </w:r>
    </w:p>
    <w:p w14:paraId="4CA40BEE" w14:textId="3551738C" w:rsidR="008430BD" w:rsidRPr="00B64E96" w:rsidRDefault="008430BD" w:rsidP="00A94F8F">
      <w:pPr>
        <w:pStyle w:val="Odstavecseseznamem"/>
        <w:numPr>
          <w:ilvl w:val="0"/>
          <w:numId w:val="3"/>
        </w:numPr>
      </w:pPr>
      <w:r w:rsidRPr="00B64E96">
        <w:rPr>
          <w:b/>
        </w:rPr>
        <w:t xml:space="preserve">Odvolací instance (agenda) </w:t>
      </w:r>
      <w:r w:rsidRPr="00B64E96">
        <w:t>– také soud I</w:t>
      </w:r>
      <w:r w:rsidR="000C3B1E" w:rsidRPr="00B64E96">
        <w:t>I. stupně</w:t>
      </w:r>
      <w:r w:rsidRPr="00B64E96">
        <w:t xml:space="preserve"> (druhostupňová agenda). Soudní řízení bývá zpravidla dvoustupňové. Každá nová věc (spor nebo jiná právní věc) je nejdříve projednána a rozhodnuta v první instanci (viz dále). Lze-li nepravomocné rozhodnutí soudu </w:t>
      </w:r>
      <w:r w:rsidR="000C3B1E" w:rsidRPr="00B64E96">
        <w:t>I. stupně</w:t>
      </w:r>
      <w:r w:rsidRPr="00B64E96">
        <w:t xml:space="preserve"> napadnout opravným prostředkem, </w:t>
      </w:r>
      <w:r w:rsidR="00395B5A" w:rsidRPr="00B64E96">
        <w:t xml:space="preserve">rozhoduje </w:t>
      </w:r>
      <w:r w:rsidR="00755920" w:rsidRPr="00B64E96">
        <w:t>o </w:t>
      </w:r>
      <w:r w:rsidR="00395B5A" w:rsidRPr="00B64E96">
        <w:t>něm</w:t>
      </w:r>
      <w:r w:rsidRPr="00B64E96">
        <w:t xml:space="preserve"> bezprostředně </w:t>
      </w:r>
      <w:r w:rsidR="00395B5A" w:rsidRPr="00B64E96">
        <w:t xml:space="preserve">nadřízený </w:t>
      </w:r>
      <w:r w:rsidRPr="00B64E96">
        <w:t xml:space="preserve">soud </w:t>
      </w:r>
      <w:r w:rsidR="00755920" w:rsidRPr="00B64E96">
        <w:t>v </w:t>
      </w:r>
      <w:r w:rsidRPr="00B64E96">
        <w:t>odvolací</w:t>
      </w:r>
      <w:r w:rsidR="00395B5A" w:rsidRPr="00B64E96">
        <w:t>m</w:t>
      </w:r>
      <w:r w:rsidRPr="00B64E96">
        <w:t xml:space="preserve"> řízení.</w:t>
      </w:r>
    </w:p>
    <w:p w14:paraId="4C6A9356" w14:textId="49989935" w:rsidR="008430BD" w:rsidRPr="00B64E96" w:rsidRDefault="008430BD" w:rsidP="00A94F8F">
      <w:pPr>
        <w:pStyle w:val="Odstavecseseznamem"/>
        <w:numPr>
          <w:ilvl w:val="0"/>
          <w:numId w:val="3"/>
        </w:numPr>
      </w:pPr>
      <w:r w:rsidRPr="00B64E96">
        <w:rPr>
          <w:b/>
        </w:rPr>
        <w:t>Okresní soudy (OS)</w:t>
      </w:r>
      <w:r w:rsidRPr="00B64E96">
        <w:t xml:space="preserve"> – první, nejnižší článek soudní soustavy. Tento článek soustavy čítá celkem 86 okresních soudů, z nichž 75 je označeno jako </w:t>
      </w:r>
      <w:r w:rsidRPr="00B64E96">
        <w:rPr>
          <w:i/>
        </w:rPr>
        <w:t>okresní</w:t>
      </w:r>
      <w:r w:rsidRPr="00B64E96">
        <w:t xml:space="preserve">, deset soudů na území hlavního města Prahy jako </w:t>
      </w:r>
      <w:r w:rsidRPr="00B64E96">
        <w:rPr>
          <w:i/>
        </w:rPr>
        <w:t>obvodní</w:t>
      </w:r>
      <w:r w:rsidRPr="00B64E96">
        <w:t xml:space="preserve"> (území hl. m. Prahy se dělí na deset soudních obvodů) a jeden jako </w:t>
      </w:r>
      <w:r w:rsidRPr="00B64E96">
        <w:rPr>
          <w:i/>
        </w:rPr>
        <w:t>městský</w:t>
      </w:r>
      <w:r w:rsidRPr="00B64E96">
        <w:t xml:space="preserve"> – Městský soud v Brně, který vykonává působnost okresního soudu pro území Statutárního města Brno (okres </w:t>
      </w:r>
      <w:r w:rsidR="0053190F" w:rsidRPr="00B64E96">
        <w:t>Brno</w:t>
      </w:r>
      <w:r w:rsidR="0053190F" w:rsidRPr="00B64E96">
        <w:noBreakHyphen/>
      </w:r>
      <w:r w:rsidRPr="00B64E96">
        <w:t>město).</w:t>
      </w:r>
    </w:p>
    <w:p w14:paraId="2FA316F8" w14:textId="77777777" w:rsidR="008430BD" w:rsidRPr="00B64E96" w:rsidRDefault="008430BD" w:rsidP="00A94F8F">
      <w:pPr>
        <w:pStyle w:val="Odstavecseseznamem"/>
        <w:numPr>
          <w:ilvl w:val="0"/>
          <w:numId w:val="3"/>
        </w:numPr>
      </w:pPr>
      <w:r w:rsidRPr="00B64E96">
        <w:rPr>
          <w:b/>
        </w:rPr>
        <w:t xml:space="preserve">Opatrovnická </w:t>
      </w:r>
      <w:r w:rsidRPr="00B64E96">
        <w:t xml:space="preserve">– (agenda, řízení, úsek) je jednou ze samostatných agend civilního soudnictví, kterou tvoří zejména věci týkající se svéprávnosti a opatrovnictví člověka a dále především záležitosti nezletilých dětí, poručenství a jiných forem péče o dítě. Kromě výše uvedeného se do opatrovnické agendy započítávají také věci tzv. </w:t>
      </w:r>
      <w:r w:rsidRPr="00B64E96">
        <w:rPr>
          <w:i/>
        </w:rPr>
        <w:t>detenčního řízení</w:t>
      </w:r>
      <w:r w:rsidRPr="00B64E96">
        <w:t>, tedy řízení ve věcech vyslovení přípustnosti převzetí nebo držení ve zdravotním ústavu (rejstřík L). Vzhledem k omezenému rozsahu detenční agendy se jí tato zpráva nezabývá.</w:t>
      </w:r>
    </w:p>
    <w:p w14:paraId="1EB501EF" w14:textId="4B957A8C" w:rsidR="008430BD" w:rsidRPr="00B64E96" w:rsidRDefault="008430BD" w:rsidP="00A94F8F">
      <w:pPr>
        <w:pStyle w:val="Odstavecseseznamem"/>
        <w:numPr>
          <w:ilvl w:val="0"/>
          <w:numId w:val="3"/>
        </w:numPr>
      </w:pPr>
      <w:r w:rsidRPr="00B64E96">
        <w:rPr>
          <w:b/>
        </w:rPr>
        <w:t xml:space="preserve">První instance (prvoinstanční agenda) </w:t>
      </w:r>
      <w:r w:rsidRPr="00B64E96">
        <w:t xml:space="preserve">– také soud </w:t>
      </w:r>
      <w:r w:rsidR="000C3B1E" w:rsidRPr="00B64E96">
        <w:t>I. stupně</w:t>
      </w:r>
      <w:r w:rsidRPr="00B64E96">
        <w:t xml:space="preserve"> (prvostupňová agenda). Okresní soudy jsou soudy první instance vždy, není-li k tomu podle předpisů upravujících soudní řízení u</w:t>
      </w:r>
      <w:r w:rsidR="000B514E" w:rsidRPr="00B64E96">
        <w:t>r</w:t>
      </w:r>
      <w:r w:rsidRPr="00B64E96">
        <w:t>čen jiný článek soudní soustavy. Takovým jiným článkem jsou zpravidla krajské soudy. Existuje však velmi malý okruh věcí, kdy jako prvoinstanční soud působí soudy vrchní nebo nejvyšší (Nejvyšší soud a Nejvyšší správní soud).</w:t>
      </w:r>
    </w:p>
    <w:p w14:paraId="2117FF80" w14:textId="279B8463" w:rsidR="008430BD" w:rsidRPr="00B64E96" w:rsidRDefault="008430BD" w:rsidP="00A94F8F">
      <w:pPr>
        <w:pStyle w:val="Odstavecseseznamem"/>
        <w:numPr>
          <w:ilvl w:val="0"/>
          <w:numId w:val="3"/>
        </w:numPr>
      </w:pPr>
      <w:r w:rsidRPr="00B64E96">
        <w:rPr>
          <w:b/>
        </w:rPr>
        <w:t xml:space="preserve">Přísedící soudu </w:t>
      </w:r>
      <w:r w:rsidRPr="00B64E96">
        <w:t>–</w:t>
      </w:r>
      <w:r w:rsidR="00AB2060" w:rsidRPr="00B64E96">
        <w:t xml:space="preserve"> </w:t>
      </w:r>
      <w:r w:rsidRPr="00B64E96">
        <w:t>osoby</w:t>
      </w:r>
      <w:r w:rsidR="00DF67CE" w:rsidRPr="00B64E96">
        <w:t xml:space="preserve">, které jsou voleny z řad laické veřejnosti </w:t>
      </w:r>
      <w:r w:rsidR="00755920" w:rsidRPr="00B64E96">
        <w:t>a </w:t>
      </w:r>
      <w:r w:rsidR="00DF67CE" w:rsidRPr="00B64E96">
        <w:t>které se podílí na rozhodovací činnosti soudů.</w:t>
      </w:r>
      <w:r w:rsidRPr="00B64E96">
        <w:t xml:space="preserve"> </w:t>
      </w:r>
      <w:r w:rsidR="00DF67CE" w:rsidRPr="00B64E96">
        <w:t>V</w:t>
      </w:r>
      <w:r w:rsidRPr="00B64E96">
        <w:t>edle předsedy</w:t>
      </w:r>
      <w:r w:rsidR="00DF67CE" w:rsidRPr="00B64E96">
        <w:t>, kterým je profesionální soudce,</w:t>
      </w:r>
      <w:r w:rsidRPr="00B64E96">
        <w:t xml:space="preserve"> </w:t>
      </w:r>
      <w:r w:rsidR="00DF67CE" w:rsidRPr="00B64E96">
        <w:t>jsou</w:t>
      </w:r>
      <w:r w:rsidRPr="00B64E96">
        <w:t xml:space="preserve"> členy </w:t>
      </w:r>
      <w:r w:rsidR="00DF67CE" w:rsidRPr="00B64E96">
        <w:t xml:space="preserve">tříčlenného </w:t>
      </w:r>
      <w:r w:rsidRPr="00B64E96">
        <w:t>soudního senátu</w:t>
      </w:r>
      <w:r w:rsidR="00DF67CE" w:rsidRPr="00B64E96">
        <w:t xml:space="preserve"> </w:t>
      </w:r>
      <w:r w:rsidR="00755920" w:rsidRPr="00B64E96">
        <w:t>a </w:t>
      </w:r>
      <w:r w:rsidR="00DF67CE" w:rsidRPr="00B64E96">
        <w:t>disponují hlasovacím právem</w:t>
      </w:r>
      <w:r w:rsidRPr="00B64E96">
        <w:t xml:space="preserve">. </w:t>
      </w:r>
      <w:r w:rsidR="00DF67CE" w:rsidRPr="00B64E96">
        <w:t>P</w:t>
      </w:r>
      <w:r w:rsidRPr="00B64E96">
        <w:t xml:space="preserve">ři poradě </w:t>
      </w:r>
      <w:r w:rsidR="000C3B1E" w:rsidRPr="00B64E96">
        <w:t>o </w:t>
      </w:r>
      <w:r w:rsidRPr="00B64E96">
        <w:t xml:space="preserve">rozsudku platí rovnost hlasů </w:t>
      </w:r>
      <w:r w:rsidR="00755920" w:rsidRPr="00B64E96">
        <w:t>a </w:t>
      </w:r>
      <w:r w:rsidR="00C8663B" w:rsidRPr="00B64E96">
        <w:t>může tak dojít k přehlasování předsedy soudního senátu přísedícími</w:t>
      </w:r>
      <w:r w:rsidRPr="00B64E96">
        <w:t xml:space="preserve"> </w:t>
      </w:r>
      <w:r w:rsidR="005D76CA" w:rsidRPr="00B64E96">
        <w:t>(</w:t>
      </w:r>
      <w:r w:rsidRPr="00B64E96">
        <w:t>více zákon č. 6/2002 Sb., o soudech, soudcích, přísedících a státní správě soudů a o změně některých dalších zákonů (zákon o soudech a soudcích), ve znění pozdějších předpisů</w:t>
      </w:r>
      <w:r w:rsidR="005D76CA" w:rsidRPr="00B64E96">
        <w:t>)</w:t>
      </w:r>
      <w:r w:rsidRPr="00B64E96">
        <w:t>.</w:t>
      </w:r>
    </w:p>
    <w:p w14:paraId="30B18487" w14:textId="6ECF9BE5" w:rsidR="008430BD" w:rsidRPr="00B64E96" w:rsidRDefault="008430BD" w:rsidP="00A94F8F">
      <w:pPr>
        <w:pStyle w:val="Odstavecseseznamem"/>
        <w:numPr>
          <w:ilvl w:val="0"/>
          <w:numId w:val="3"/>
        </w:numPr>
      </w:pPr>
      <w:r w:rsidRPr="00B64E96">
        <w:rPr>
          <w:b/>
        </w:rPr>
        <w:t xml:space="preserve">Rejstřík </w:t>
      </w:r>
      <w:r w:rsidRPr="00B64E96">
        <w:t>– evidenční pomůcka, která podává přehled o počtu a stavu vyřizování jednotlivých věcí. Je také podkladem pro vypracování statistických výkazů o činnosti soudů a dalších statistických výstupů a zdrojem pro základní kontrolu výkonu působnosti soudů. Soudy (včetně nejvyšších) vedou celkem přibližně 120 druhů rejstříků.</w:t>
      </w:r>
    </w:p>
    <w:p w14:paraId="2535FD45" w14:textId="675EB547" w:rsidR="008430BD" w:rsidRPr="00B64E96" w:rsidRDefault="008430BD" w:rsidP="00A94F8F">
      <w:pPr>
        <w:pStyle w:val="Odstavecseseznamem"/>
        <w:numPr>
          <w:ilvl w:val="0"/>
          <w:numId w:val="3"/>
        </w:numPr>
      </w:pPr>
      <w:r w:rsidRPr="00B64E96">
        <w:rPr>
          <w:b/>
        </w:rPr>
        <w:lastRenderedPageBreak/>
        <w:t xml:space="preserve">Rozkazní řízení </w:t>
      </w:r>
      <w:r w:rsidRPr="00B64E96">
        <w:t>– jedná se o civilní řízení ve zkrácené formě, jehož cílem je skončení věc</w:t>
      </w:r>
      <w:r w:rsidR="00C8663B" w:rsidRPr="00B64E96">
        <w:t>i</w:t>
      </w:r>
      <w:r w:rsidRPr="00B64E96">
        <w:t xml:space="preserve"> vydáním platebního rozkazu. V této zprávě označuje jen ta civilní řízení, která jsou zahájena návrhem žalobce na vydání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 Platebním rozkazem se v této zprávě míní nejen běžný platební rozkaz, ale i elektronický platební rozkaz, evropský platební rozkaz a směnečný (šekový) platební rozkaz, není-li uvedeno jinak.</w:t>
      </w:r>
    </w:p>
    <w:p w14:paraId="23420BD2" w14:textId="77777777" w:rsidR="008430BD" w:rsidRPr="00B64E96" w:rsidRDefault="008430BD" w:rsidP="00A94F8F">
      <w:pPr>
        <w:pStyle w:val="Odstavecseseznamem"/>
        <w:numPr>
          <w:ilvl w:val="0"/>
          <w:numId w:val="3"/>
        </w:numPr>
      </w:pPr>
      <w:r w:rsidRPr="00B64E96">
        <w:rPr>
          <w:b/>
        </w:rPr>
        <w:t xml:space="preserve">Skutková podstata trestného činu </w:t>
      </w:r>
      <w:r w:rsidRPr="00B64E96">
        <w:t>– souhrn typových znaků uvedených v trestním zákoníku, podle kterých se rozlišují jednotlivé druhy trestných činů (vražda, loupež, krádež, podvod atd.).</w:t>
      </w:r>
    </w:p>
    <w:p w14:paraId="37CC4344" w14:textId="14F29C92" w:rsidR="008430BD" w:rsidRPr="00B64E96" w:rsidRDefault="008430BD" w:rsidP="00A94F8F">
      <w:pPr>
        <w:pStyle w:val="Odstavecseseznamem"/>
        <w:numPr>
          <w:ilvl w:val="0"/>
          <w:numId w:val="3"/>
        </w:numPr>
        <w:rPr>
          <w:b/>
        </w:rPr>
      </w:pPr>
      <w:r w:rsidRPr="00B64E96">
        <w:rPr>
          <w:b/>
        </w:rPr>
        <w:t>Soudní obvod (okresního, krajského a vrchního soudu)</w:t>
      </w:r>
      <w:r w:rsidRPr="00B64E96">
        <w:t xml:space="preserve"> – územní působnost jednotlivých soudů, včetně názvu a umístění sídla, stanovuje zákon č. 6/2002 Sb., </w:t>
      </w:r>
      <w:bookmarkStart w:id="1892" w:name="_Hlk103611250"/>
      <w:r w:rsidRPr="00B64E96">
        <w:t>o soudech, soudcích, přísedících a státní správě soudů a </w:t>
      </w:r>
      <w:r w:rsidR="000C3B1E" w:rsidRPr="00B64E96">
        <w:t>o </w:t>
      </w:r>
      <w:r w:rsidRPr="00B64E96">
        <w:t>změně některých dalších zákonů (zákon o soudech a soudcích), ve znění pozdějších předpisů</w:t>
      </w:r>
      <w:bookmarkEnd w:id="1892"/>
      <w:r w:rsidRPr="00B64E96">
        <w:t>. Obvod okresního soudu (soudní okres) je vymezen územním výčtem obcí, které jej tvoří (u obvodního soudu územím městských částí hlavního města Prahy). Obvod krajského soudu (soudní kraj) se skládá z obvod</w:t>
      </w:r>
      <w:r w:rsidR="00BE1819" w:rsidRPr="00B64E96">
        <w:t>ů</w:t>
      </w:r>
      <w:r w:rsidRPr="00B64E96">
        <w:t xml:space="preserve"> okresních soudů, kterým je nadřízeným soudem, a obvod vrchního soudu z obvodů krajských soudů, kterým je nadřízeným soudem.</w:t>
      </w:r>
    </w:p>
    <w:p w14:paraId="323D6896" w14:textId="77777777" w:rsidR="008430BD" w:rsidRPr="00B64E96" w:rsidRDefault="008430BD" w:rsidP="00A94F8F">
      <w:pPr>
        <w:pStyle w:val="Odstavecseseznamem"/>
        <w:numPr>
          <w:ilvl w:val="0"/>
          <w:numId w:val="3"/>
        </w:numPr>
      </w:pPr>
      <w:r w:rsidRPr="00B64E96">
        <w:rPr>
          <w:b/>
        </w:rPr>
        <w:t xml:space="preserve">Správní </w:t>
      </w:r>
      <w:r w:rsidRPr="00B64E96">
        <w:t>– (agenda, řízení, úsek) – ve správním soudnictví poskytují soudy ochranu veřejným subjektivním právům fyzických i právnických osob a rozhodují i další věci, o kterých tak stanoví zákon (zejména věci volební, věci místního a krajského referenda a rozhodování o zrušení opatření obecné povahy nebo jeho částí pro rozpor se zákonem).</w:t>
      </w:r>
    </w:p>
    <w:p w14:paraId="78E21702" w14:textId="77777777" w:rsidR="008430BD" w:rsidRPr="00B64E96" w:rsidRDefault="008430BD" w:rsidP="00A94F8F">
      <w:pPr>
        <w:pStyle w:val="Odstavecseseznamem"/>
        <w:numPr>
          <w:ilvl w:val="0"/>
          <w:numId w:val="3"/>
        </w:numPr>
      </w:pPr>
      <w:r w:rsidRPr="00B64E96">
        <w:rPr>
          <w:b/>
        </w:rPr>
        <w:t xml:space="preserve">Stížnost pro porušení zákona </w:t>
      </w:r>
      <w:r w:rsidRPr="00B64E96">
        <w:t>– mimořádný opravný prostředek</w:t>
      </w:r>
      <w:r w:rsidR="00BE1819" w:rsidRPr="00B64E96">
        <w:t xml:space="preserve"> v trestním řízení</w:t>
      </w:r>
      <w:r w:rsidRPr="00B64E96">
        <w:t>, který může podat jen ministr spravedlnosti, a to proti pravomocnému rozhodnutí soudu nebo státního zástupce, jímž byl porušen zákon nebo které bylo učiněno na podkladě vadného postupu řízení. Stížnost pro porušení zákona se podává k Nejvyššímu soudu, který o ní také rozhoduje (viz také ust. § 266 a násl. tr. řádu).</w:t>
      </w:r>
    </w:p>
    <w:p w14:paraId="1499A3BC" w14:textId="28DEAE81" w:rsidR="008430BD" w:rsidRPr="00B64E96" w:rsidRDefault="008430BD" w:rsidP="00A94F8F">
      <w:pPr>
        <w:pStyle w:val="Odstavecseseznamem"/>
        <w:numPr>
          <w:ilvl w:val="0"/>
          <w:numId w:val="3"/>
        </w:numPr>
      </w:pPr>
      <w:r w:rsidRPr="00B64E96">
        <w:rPr>
          <w:b/>
        </w:rPr>
        <w:t xml:space="preserve">Systemizace a její výpočet </w:t>
      </w:r>
      <w:r w:rsidRPr="00B64E96">
        <w:t xml:space="preserve">– </w:t>
      </w:r>
      <w:r w:rsidRPr="00B64E96">
        <w:rPr>
          <w:lang w:eastAsia="cs-CZ"/>
        </w:rPr>
        <w:t xml:space="preserve">výpočet slouží k odhadu potřeby soudců k vyřízení nápadu pro následující rok. Pro každý soud se z dat za předchozí tři roky odhadne nápad ve všech rejstřících pro předmětný rok. Za pomoci měřítek se vypočte teoretický počet soudců potřebných k vyřízení nápadu v daném rejstříku. Potřeba soudců pro jednotlivé rejstříky se sečte a vyjde tak potřeba soudců pro předmětný soud a rok. Vypočtená potřeba je nakonec upravena s přihlédnutím ke státnímu rozpočtu, jehož prostředky v současné době postačují pro 3 063 soudců. Samotná systemizace spočívá ve stanovení plánovaného počtu soudců pro jednotlivé kraje na základě výše popsaného výpočtu. Pro </w:t>
      </w:r>
      <w:r w:rsidR="005A776C" w:rsidRPr="00B64E96">
        <w:rPr>
          <w:lang w:eastAsia="cs-CZ"/>
        </w:rPr>
        <w:t>nej</w:t>
      </w:r>
      <w:r w:rsidRPr="00B64E96">
        <w:rPr>
          <w:lang w:eastAsia="cs-CZ"/>
        </w:rPr>
        <w:t>vyšší soudy je systemizace určena na základě dohody, nikoliv na základě výpočtu.</w:t>
      </w:r>
    </w:p>
    <w:p w14:paraId="652B2E73" w14:textId="77777777" w:rsidR="008430BD" w:rsidRPr="00B64E96" w:rsidRDefault="008430BD" w:rsidP="00A94F8F">
      <w:pPr>
        <w:pStyle w:val="Odstavecseseznamem"/>
        <w:numPr>
          <w:ilvl w:val="0"/>
          <w:numId w:val="3"/>
        </w:numPr>
      </w:pPr>
      <w:r w:rsidRPr="00B64E96">
        <w:rPr>
          <w:b/>
        </w:rPr>
        <w:t xml:space="preserve">Trestní </w:t>
      </w:r>
      <w:r w:rsidRPr="00B64E96">
        <w:t>– (agenda, řízení, úsek). Hlavním těžištěm trestního řízení je náležité zjištění trestných činů a spravedlivé potrestání jejich pachatelů v souladu se zákonem.</w:t>
      </w:r>
    </w:p>
    <w:p w14:paraId="44A1D2BC" w14:textId="5BA7129E" w:rsidR="008430BD" w:rsidRPr="00B64E96" w:rsidRDefault="000C3B1E" w:rsidP="008430BD">
      <w:pPr>
        <w:pStyle w:val="Odstavecseseznamem"/>
      </w:pPr>
      <w:r w:rsidRPr="00B64E96">
        <w:rPr>
          <w:noProof/>
          <w:lang w:eastAsia="cs-CZ"/>
        </w:rPr>
        <w:lastRenderedPageBreak/>
        <w:drawing>
          <wp:anchor distT="0" distB="0" distL="114300" distR="114300" simplePos="0" relativeHeight="251659264" behindDoc="0" locked="0" layoutInCell="1" allowOverlap="1" wp14:anchorId="3E44A191" wp14:editId="169B0D53">
            <wp:simplePos x="0" y="0"/>
            <wp:positionH relativeFrom="column">
              <wp:posOffset>474041</wp:posOffset>
            </wp:positionH>
            <wp:positionV relativeFrom="paragraph">
              <wp:posOffset>986790</wp:posOffset>
            </wp:positionV>
            <wp:extent cx="4964430" cy="1518920"/>
            <wp:effectExtent l="0" t="0" r="7620" b="5080"/>
            <wp:wrapTopAndBottom/>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96443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0BD" w:rsidRPr="00B64E96">
        <w:t>Trestní řízení je zákonem upravený postup orgánů činných v trestním řízení (policejní orgány, státní zastupitelství a soudy) a dalších subjektů podílejících se na tomto postupu. Trestní řízení probíhá v několika stádiích. Rozlišujeme přípravné řízení, předběžné projednání obžaloby, hlavní líčení, odvolací řízení a vykonávací řízení (viz zjednodušené schéma níže):</w:t>
      </w:r>
    </w:p>
    <w:p w14:paraId="0F1E51CA" w14:textId="1BE92E6F" w:rsidR="008430BD" w:rsidRPr="00B64E96" w:rsidRDefault="008430BD" w:rsidP="008430BD">
      <w:pPr>
        <w:pStyle w:val="Odstavecseseznamem"/>
      </w:pPr>
      <w:r w:rsidRPr="00B64E96">
        <w:t>Trestní věc nemusí projít všemi stádii, zejména může být rozhodnuta již v přípravném řízení, což znamená, že hlavní líčení se nebude vůbec konat. Obdobně skončí-li věc ve prospěch obžalovaného, není důvodu pro konání vykonávacího řízení, neboť rozsudkem nebyla uložena sankce (trest, ochranné opatření).</w:t>
      </w:r>
    </w:p>
    <w:p w14:paraId="19345D8B" w14:textId="736696C9" w:rsidR="008430BD" w:rsidRPr="00B64E96" w:rsidRDefault="008430BD" w:rsidP="008430BD">
      <w:pPr>
        <w:pStyle w:val="Odstavecseseznamem"/>
      </w:pPr>
      <w:r w:rsidRPr="00B64E96">
        <w:t xml:space="preserve">Soudů se především týká část trestního řízení od podání obžaloby, tedy předběžné projednání obžaloby, hlavní líčení, odvolací řízení (souhrnně označená jako řízení před soudem) a vykonávací řízení. Samozřejmě soudy na trestním úseku vyřizují i další trestní agendu (např. rozhodování soudce v přípravném řízení). Tato zpráva se ale věnuje trestním věcem spadajícím do řízení před soudem a zapisovaným do rejstříků T a Tm u prvostupňového soudu a do rejstříků To a Tmo </w:t>
      </w:r>
      <w:r w:rsidR="00755920" w:rsidRPr="00B64E96">
        <w:t>u </w:t>
      </w:r>
      <w:r w:rsidRPr="00B64E96">
        <w:t>odvolacího soudu.</w:t>
      </w:r>
    </w:p>
    <w:p w14:paraId="08F568F4" w14:textId="36AB6C2D" w:rsidR="008430BD" w:rsidRPr="00B64E96" w:rsidRDefault="008430BD" w:rsidP="00A94F8F">
      <w:pPr>
        <w:pStyle w:val="Odstavecseseznamem"/>
        <w:numPr>
          <w:ilvl w:val="0"/>
          <w:numId w:val="3"/>
        </w:numPr>
      </w:pPr>
      <w:r w:rsidRPr="00B64E96">
        <w:rPr>
          <w:b/>
        </w:rPr>
        <w:t xml:space="preserve">Vrchní soudy (VS) </w:t>
      </w:r>
      <w:r w:rsidRPr="00B64E96">
        <w:t>– jsou třetím článkem soudní soustavy tvořeným dvěma soudy se sídl</w:t>
      </w:r>
      <w:r w:rsidR="00C53827" w:rsidRPr="00B64E96">
        <w:t>y</w:t>
      </w:r>
      <w:r w:rsidRPr="00B64E96">
        <w:t xml:space="preserve"> v Praze a v Olomouci.</w:t>
      </w:r>
    </w:p>
    <w:p w14:paraId="49C808BF" w14:textId="742B7824" w:rsidR="008430BD" w:rsidRPr="00B64E96" w:rsidRDefault="008430BD" w:rsidP="00A94F8F">
      <w:pPr>
        <w:pStyle w:val="Odstavecseseznamem"/>
        <w:numPr>
          <w:ilvl w:val="0"/>
          <w:numId w:val="3"/>
        </w:numPr>
      </w:pPr>
      <w:r w:rsidRPr="00B64E96">
        <w:rPr>
          <w:b/>
        </w:rPr>
        <w:t xml:space="preserve">Zaměstnanec ve výkonu </w:t>
      </w:r>
      <w:r w:rsidRPr="00B64E96">
        <w:t>– jedná se o zaměstnance soudu, který není soudcem, ale bezprostředně se podílí na vyřizování soudní agendy a výkonu soudnictví. Zaměstnance lze roztřídit do několika kategorií podle druhu práce, kterou vykonávají. Bližší popis je uveden v</w:t>
      </w:r>
      <w:r w:rsidR="000C3B1E" w:rsidRPr="00B64E96">
        <w:t> </w:t>
      </w:r>
      <w:r w:rsidRPr="00B64E96">
        <w:t>podkapitole</w:t>
      </w:r>
      <w:r w:rsidR="000C3B1E" w:rsidRPr="00B64E96">
        <w:t> </w:t>
      </w:r>
      <w:r w:rsidRPr="00B64E96">
        <w:t>2.1.2.</w:t>
      </w:r>
    </w:p>
    <w:p w14:paraId="1A045265" w14:textId="77777777" w:rsidR="008430BD" w:rsidRPr="00B64E96" w:rsidRDefault="008430BD" w:rsidP="00A94F8F">
      <w:pPr>
        <w:pStyle w:val="Odstavecseseznamem"/>
        <w:numPr>
          <w:ilvl w:val="0"/>
          <w:numId w:val="3"/>
        </w:numPr>
      </w:pPr>
      <w:r w:rsidRPr="00B64E96">
        <w:rPr>
          <w:b/>
        </w:rPr>
        <w:t xml:space="preserve">Zaměstnanec ve správě </w:t>
      </w:r>
      <w:r w:rsidRPr="00B64E96">
        <w:t xml:space="preserve">– zajišťuje provoz soudu, což zahrnuje velkou škálu funkcí. Celou správu soudu řídí ředitel správy. Dalšími zaměstnanci ve správě jsou například pracovníci sekretariátu, dozorčí úředníci, účetní, ekonomové, informatici nebo řidiči. Celkem je rozlišováno </w:t>
      </w:r>
      <w:r w:rsidR="00BE1819" w:rsidRPr="00B64E96">
        <w:t>přibližně</w:t>
      </w:r>
      <w:r w:rsidRPr="00B64E96">
        <w:t xml:space="preserve"> 40 kategorií zaměstnanců ve správě.</w:t>
      </w:r>
    </w:p>
    <w:p w14:paraId="32D9995A" w14:textId="77777777" w:rsidR="008430BD" w:rsidRPr="00B64E96" w:rsidRDefault="008430BD" w:rsidP="00A94F8F">
      <w:pPr>
        <w:pStyle w:val="Odstavecseseznamem"/>
        <w:numPr>
          <w:ilvl w:val="0"/>
          <w:numId w:val="3"/>
        </w:numPr>
      </w:pPr>
      <w:r w:rsidRPr="00B64E96">
        <w:rPr>
          <w:b/>
        </w:rPr>
        <w:t xml:space="preserve">Zkrácené přípravné řízení </w:t>
      </w:r>
      <w:r w:rsidRPr="00B64E96">
        <w:t>– představuje zvláštní formu přípravného řízení, jehož podstatou je umožnit u méně závažných trestných činů jejich rychlejší a jednodušší vyřízení (skončení), tedy objasnění skutku, ve kterém je spatřován trestný čin, zjištění osoby důvodně podezřelé z jeho spáchání a vyhledání důkazů. Zkrácené přípravné řízení lze podle zákona konat jen o trestných činech, které v prvním stupni přísluší projednávat okresnímu soudu a jejichž horní hranice trestní sazby nepřevyšuje pět let, pokud byl podezřelý přistižen při činu nebo bezprostředně po něm nebo pokud v průběhu prověřování byly zjištěny skutečnosti jinak odůvodňující zahájení trestního stíhání a lze očekávat, že podezřelého bude možné ve lhůtě dvou týdnů postavit před soud.</w:t>
      </w:r>
    </w:p>
    <w:p w14:paraId="60DCCF0F" w14:textId="77777777" w:rsidR="008430BD" w:rsidRPr="00B64E96" w:rsidRDefault="008430BD" w:rsidP="008430BD">
      <w:pPr>
        <w:spacing w:line="240" w:lineRule="auto"/>
        <w:jc w:val="left"/>
      </w:pPr>
      <w:r w:rsidRPr="00B64E96">
        <w:br w:type="page"/>
      </w:r>
    </w:p>
    <w:p w14:paraId="12006997" w14:textId="4B68B05A" w:rsidR="008430BD" w:rsidRPr="00B64E96" w:rsidRDefault="008430BD" w:rsidP="008430BD">
      <w:pPr>
        <w:pStyle w:val="Nadpis2"/>
        <w:ind w:left="578" w:hanging="578"/>
        <w:rPr>
          <w:color w:val="auto"/>
        </w:rPr>
      </w:pPr>
      <w:bookmarkStart w:id="1893" w:name="_Ref482901972"/>
      <w:bookmarkStart w:id="1894" w:name="_Toc487791320"/>
      <w:bookmarkStart w:id="1895" w:name="_Toc106092838"/>
      <w:bookmarkStart w:id="1896" w:name="_Toc169250917"/>
      <w:bookmarkStart w:id="1897" w:name="_Toc174080953"/>
      <w:r w:rsidRPr="00B64E96">
        <w:rPr>
          <w:color w:val="auto"/>
        </w:rPr>
        <w:lastRenderedPageBreak/>
        <w:t>Příloha B – seznam zkr. soudních okresů a soudních obvodů hl. m. Prahy</w:t>
      </w:r>
      <w:bookmarkEnd w:id="1893"/>
      <w:bookmarkEnd w:id="1894"/>
      <w:bookmarkEnd w:id="1895"/>
      <w:bookmarkEnd w:id="1896"/>
      <w:bookmarkEnd w:id="1897"/>
    </w:p>
    <w:p w14:paraId="34DF71FD" w14:textId="77777777" w:rsidR="008430BD" w:rsidRPr="00B64E96" w:rsidRDefault="008430BD" w:rsidP="008430BD"/>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B64E96" w:rsidRPr="00B64E96" w14:paraId="314081C2" w14:textId="77777777" w:rsidTr="00CF32FA">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14:paraId="7B24D039" w14:textId="77777777" w:rsidR="008430BD" w:rsidRPr="00B64E96" w:rsidRDefault="008430BD" w:rsidP="00CF32FA">
            <w:pPr>
              <w:spacing w:line="240" w:lineRule="auto"/>
              <w:jc w:val="center"/>
              <w:rPr>
                <w:b/>
              </w:rPr>
            </w:pPr>
            <w:r w:rsidRPr="00B64E96">
              <w:rPr>
                <w:b/>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14:paraId="4E550854" w14:textId="77777777" w:rsidR="008430BD" w:rsidRPr="00B64E96" w:rsidRDefault="008430BD" w:rsidP="00CF32FA">
            <w:pPr>
              <w:spacing w:line="240" w:lineRule="auto"/>
              <w:jc w:val="center"/>
              <w:rPr>
                <w:b/>
              </w:rPr>
            </w:pPr>
            <w:r w:rsidRPr="00B64E96">
              <w:rPr>
                <w:b/>
              </w:rPr>
              <w:t>Zkratka</w:t>
            </w:r>
          </w:p>
        </w:tc>
        <w:tc>
          <w:tcPr>
            <w:tcW w:w="2320" w:type="dxa"/>
            <w:tcBorders>
              <w:top w:val="double" w:sz="6" w:space="0" w:color="auto"/>
              <w:left w:val="nil"/>
              <w:bottom w:val="double" w:sz="6" w:space="0" w:color="auto"/>
              <w:right w:val="nil"/>
            </w:tcBorders>
            <w:shd w:val="clear" w:color="auto" w:fill="auto"/>
            <w:noWrap/>
            <w:vAlign w:val="center"/>
            <w:hideMark/>
          </w:tcPr>
          <w:p w14:paraId="2F2D4E77" w14:textId="77777777" w:rsidR="008430BD" w:rsidRPr="00B64E96" w:rsidRDefault="008430BD" w:rsidP="00CF32FA">
            <w:pPr>
              <w:spacing w:line="240" w:lineRule="auto"/>
              <w:jc w:val="center"/>
              <w:rPr>
                <w:b/>
              </w:rPr>
            </w:pPr>
            <w:r w:rsidRPr="00B64E96">
              <w:rPr>
                <w:b/>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14:paraId="7827FDCC" w14:textId="77777777" w:rsidR="008430BD" w:rsidRPr="00B64E96" w:rsidRDefault="008430BD" w:rsidP="00CF32FA">
            <w:pPr>
              <w:spacing w:line="240" w:lineRule="auto"/>
              <w:jc w:val="center"/>
              <w:rPr>
                <w:b/>
              </w:rPr>
            </w:pPr>
            <w:r w:rsidRPr="00B64E96">
              <w:rPr>
                <w:b/>
              </w:rPr>
              <w:t>Zkratka</w:t>
            </w:r>
          </w:p>
        </w:tc>
      </w:tr>
      <w:tr w:rsidR="00B64E96" w:rsidRPr="00B64E96" w14:paraId="49F82F6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2BEB2B1" w14:textId="77777777" w:rsidR="008430BD" w:rsidRPr="00B64E96" w:rsidRDefault="008430BD" w:rsidP="00CF32FA">
            <w:pPr>
              <w:spacing w:line="240" w:lineRule="auto"/>
              <w:jc w:val="left"/>
            </w:pPr>
            <w:r w:rsidRPr="00B64E96">
              <w:t>Benešov</w:t>
            </w:r>
          </w:p>
        </w:tc>
        <w:tc>
          <w:tcPr>
            <w:tcW w:w="1060" w:type="dxa"/>
            <w:tcBorders>
              <w:top w:val="nil"/>
              <w:left w:val="nil"/>
              <w:bottom w:val="single" w:sz="4" w:space="0" w:color="auto"/>
              <w:right w:val="single" w:sz="4" w:space="0" w:color="auto"/>
            </w:tcBorders>
            <w:shd w:val="clear" w:color="auto" w:fill="auto"/>
            <w:noWrap/>
            <w:vAlign w:val="center"/>
            <w:hideMark/>
          </w:tcPr>
          <w:p w14:paraId="38D9E128" w14:textId="77777777" w:rsidR="008430BD" w:rsidRPr="00B64E96" w:rsidRDefault="008430BD" w:rsidP="00CF32FA">
            <w:pPr>
              <w:spacing w:line="240" w:lineRule="auto"/>
              <w:jc w:val="center"/>
            </w:pPr>
            <w:r w:rsidRPr="00B64E96">
              <w:t>BN</w:t>
            </w:r>
          </w:p>
        </w:tc>
        <w:tc>
          <w:tcPr>
            <w:tcW w:w="2320" w:type="dxa"/>
            <w:tcBorders>
              <w:top w:val="nil"/>
              <w:left w:val="nil"/>
              <w:bottom w:val="single" w:sz="4" w:space="0" w:color="auto"/>
              <w:right w:val="nil"/>
            </w:tcBorders>
            <w:shd w:val="clear" w:color="auto" w:fill="auto"/>
            <w:noWrap/>
            <w:vAlign w:val="center"/>
            <w:hideMark/>
          </w:tcPr>
          <w:p w14:paraId="199F7F7E" w14:textId="77777777" w:rsidR="008430BD" w:rsidRPr="00B64E96" w:rsidRDefault="008430BD" w:rsidP="00CF32FA">
            <w:pPr>
              <w:spacing w:line="240" w:lineRule="auto"/>
              <w:jc w:val="left"/>
            </w:pPr>
            <w:r w:rsidRPr="00B64E96">
              <w:t>Pardubice</w:t>
            </w:r>
          </w:p>
        </w:tc>
        <w:tc>
          <w:tcPr>
            <w:tcW w:w="1060" w:type="dxa"/>
            <w:tcBorders>
              <w:top w:val="nil"/>
              <w:left w:val="nil"/>
              <w:bottom w:val="single" w:sz="4" w:space="0" w:color="auto"/>
              <w:right w:val="nil"/>
            </w:tcBorders>
            <w:shd w:val="clear" w:color="auto" w:fill="auto"/>
            <w:noWrap/>
            <w:vAlign w:val="center"/>
            <w:hideMark/>
          </w:tcPr>
          <w:p w14:paraId="16EAD4F3" w14:textId="77777777" w:rsidR="008430BD" w:rsidRPr="00B64E96" w:rsidRDefault="008430BD" w:rsidP="00CF32FA">
            <w:pPr>
              <w:spacing w:line="240" w:lineRule="auto"/>
              <w:jc w:val="center"/>
            </w:pPr>
            <w:r w:rsidRPr="00B64E96">
              <w:t>PA</w:t>
            </w:r>
          </w:p>
        </w:tc>
      </w:tr>
      <w:tr w:rsidR="00B64E96" w:rsidRPr="00B64E96" w14:paraId="7BC4416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13EE33F" w14:textId="77777777" w:rsidR="008430BD" w:rsidRPr="00B64E96" w:rsidRDefault="008430BD" w:rsidP="00CF32FA">
            <w:pPr>
              <w:spacing w:line="240" w:lineRule="auto"/>
              <w:jc w:val="left"/>
            </w:pPr>
            <w:r w:rsidRPr="00B64E96">
              <w:t>Beroun</w:t>
            </w:r>
          </w:p>
        </w:tc>
        <w:tc>
          <w:tcPr>
            <w:tcW w:w="1060" w:type="dxa"/>
            <w:tcBorders>
              <w:top w:val="nil"/>
              <w:left w:val="nil"/>
              <w:bottom w:val="single" w:sz="4" w:space="0" w:color="auto"/>
              <w:right w:val="single" w:sz="4" w:space="0" w:color="auto"/>
            </w:tcBorders>
            <w:shd w:val="clear" w:color="auto" w:fill="auto"/>
            <w:noWrap/>
            <w:vAlign w:val="center"/>
            <w:hideMark/>
          </w:tcPr>
          <w:p w14:paraId="74A0D282" w14:textId="77777777" w:rsidR="008430BD" w:rsidRPr="00B64E96" w:rsidRDefault="008430BD" w:rsidP="00CF32FA">
            <w:pPr>
              <w:spacing w:line="240" w:lineRule="auto"/>
              <w:jc w:val="center"/>
            </w:pPr>
            <w:r w:rsidRPr="00B64E96">
              <w:t>BE</w:t>
            </w:r>
          </w:p>
        </w:tc>
        <w:tc>
          <w:tcPr>
            <w:tcW w:w="2320" w:type="dxa"/>
            <w:tcBorders>
              <w:top w:val="nil"/>
              <w:left w:val="nil"/>
              <w:bottom w:val="single" w:sz="4" w:space="0" w:color="auto"/>
              <w:right w:val="nil"/>
            </w:tcBorders>
            <w:shd w:val="clear" w:color="auto" w:fill="auto"/>
            <w:noWrap/>
            <w:vAlign w:val="center"/>
            <w:hideMark/>
          </w:tcPr>
          <w:p w14:paraId="58B8B146" w14:textId="77777777" w:rsidR="008430BD" w:rsidRPr="00B64E96" w:rsidRDefault="008430BD" w:rsidP="00CF32FA">
            <w:pPr>
              <w:spacing w:line="240" w:lineRule="auto"/>
              <w:jc w:val="left"/>
            </w:pPr>
            <w:r w:rsidRPr="00B64E96">
              <w:t>Pelhřimov</w:t>
            </w:r>
          </w:p>
        </w:tc>
        <w:tc>
          <w:tcPr>
            <w:tcW w:w="1060" w:type="dxa"/>
            <w:tcBorders>
              <w:top w:val="nil"/>
              <w:left w:val="nil"/>
              <w:bottom w:val="single" w:sz="4" w:space="0" w:color="auto"/>
              <w:right w:val="nil"/>
            </w:tcBorders>
            <w:shd w:val="clear" w:color="auto" w:fill="auto"/>
            <w:noWrap/>
            <w:vAlign w:val="center"/>
            <w:hideMark/>
          </w:tcPr>
          <w:p w14:paraId="4075A192" w14:textId="77777777" w:rsidR="008430BD" w:rsidRPr="00B64E96" w:rsidRDefault="008430BD" w:rsidP="00CF32FA">
            <w:pPr>
              <w:spacing w:line="240" w:lineRule="auto"/>
              <w:jc w:val="center"/>
            </w:pPr>
            <w:r w:rsidRPr="00B64E96">
              <w:t>PE</w:t>
            </w:r>
          </w:p>
        </w:tc>
      </w:tr>
      <w:tr w:rsidR="00B64E96" w:rsidRPr="00B64E96" w14:paraId="15026DA1"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30D93FD" w14:textId="77777777" w:rsidR="008430BD" w:rsidRPr="00B64E96" w:rsidRDefault="008430BD" w:rsidP="00CF32FA">
            <w:pPr>
              <w:spacing w:line="240" w:lineRule="auto"/>
              <w:jc w:val="left"/>
            </w:pPr>
            <w:r w:rsidRPr="00B64E96">
              <w:t>Blansko</w:t>
            </w:r>
          </w:p>
        </w:tc>
        <w:tc>
          <w:tcPr>
            <w:tcW w:w="1060" w:type="dxa"/>
            <w:tcBorders>
              <w:top w:val="nil"/>
              <w:left w:val="nil"/>
              <w:bottom w:val="single" w:sz="4" w:space="0" w:color="auto"/>
              <w:right w:val="single" w:sz="4" w:space="0" w:color="auto"/>
            </w:tcBorders>
            <w:shd w:val="clear" w:color="auto" w:fill="auto"/>
            <w:noWrap/>
            <w:vAlign w:val="center"/>
            <w:hideMark/>
          </w:tcPr>
          <w:p w14:paraId="2AF311BA" w14:textId="77777777" w:rsidR="008430BD" w:rsidRPr="00B64E96" w:rsidRDefault="008430BD" w:rsidP="00CF32FA">
            <w:pPr>
              <w:spacing w:line="240" w:lineRule="auto"/>
              <w:jc w:val="center"/>
            </w:pPr>
            <w:r w:rsidRPr="00B64E96">
              <w:t>BK</w:t>
            </w:r>
          </w:p>
        </w:tc>
        <w:tc>
          <w:tcPr>
            <w:tcW w:w="2320" w:type="dxa"/>
            <w:tcBorders>
              <w:top w:val="nil"/>
              <w:left w:val="nil"/>
              <w:bottom w:val="single" w:sz="4" w:space="0" w:color="auto"/>
              <w:right w:val="nil"/>
            </w:tcBorders>
            <w:shd w:val="clear" w:color="auto" w:fill="auto"/>
            <w:noWrap/>
            <w:vAlign w:val="center"/>
            <w:hideMark/>
          </w:tcPr>
          <w:p w14:paraId="49FBC49E" w14:textId="77777777" w:rsidR="008430BD" w:rsidRPr="00B64E96" w:rsidRDefault="008430BD" w:rsidP="00CF32FA">
            <w:pPr>
              <w:spacing w:line="240" w:lineRule="auto"/>
              <w:jc w:val="left"/>
            </w:pPr>
            <w:r w:rsidRPr="00B64E96">
              <w:t>Písek</w:t>
            </w:r>
          </w:p>
        </w:tc>
        <w:tc>
          <w:tcPr>
            <w:tcW w:w="1060" w:type="dxa"/>
            <w:tcBorders>
              <w:top w:val="nil"/>
              <w:left w:val="nil"/>
              <w:bottom w:val="single" w:sz="4" w:space="0" w:color="auto"/>
              <w:right w:val="nil"/>
            </w:tcBorders>
            <w:shd w:val="clear" w:color="auto" w:fill="auto"/>
            <w:noWrap/>
            <w:vAlign w:val="center"/>
            <w:hideMark/>
          </w:tcPr>
          <w:p w14:paraId="5AB2B624" w14:textId="77777777" w:rsidR="008430BD" w:rsidRPr="00B64E96" w:rsidRDefault="008430BD" w:rsidP="00CF32FA">
            <w:pPr>
              <w:spacing w:line="240" w:lineRule="auto"/>
              <w:jc w:val="center"/>
            </w:pPr>
            <w:r w:rsidRPr="00B64E96">
              <w:t>PI</w:t>
            </w:r>
          </w:p>
        </w:tc>
      </w:tr>
      <w:tr w:rsidR="00B64E96" w:rsidRPr="00B64E96" w14:paraId="7096D6B2"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9347835" w14:textId="23372B5B" w:rsidR="008430BD" w:rsidRPr="00B64E96" w:rsidRDefault="0053190F" w:rsidP="00CF32FA">
            <w:pPr>
              <w:spacing w:line="240" w:lineRule="auto"/>
              <w:jc w:val="left"/>
            </w:pPr>
            <w:r w:rsidRPr="00B64E96">
              <w:t>Brno</w:t>
            </w:r>
            <w:r w:rsidRPr="00B64E96">
              <w:noBreakHyphen/>
            </w:r>
            <w:r w:rsidR="008430BD" w:rsidRPr="00B64E96">
              <w:t>město</w:t>
            </w:r>
          </w:p>
        </w:tc>
        <w:tc>
          <w:tcPr>
            <w:tcW w:w="1060" w:type="dxa"/>
            <w:tcBorders>
              <w:top w:val="nil"/>
              <w:left w:val="nil"/>
              <w:bottom w:val="single" w:sz="4" w:space="0" w:color="auto"/>
              <w:right w:val="single" w:sz="4" w:space="0" w:color="auto"/>
            </w:tcBorders>
            <w:shd w:val="clear" w:color="auto" w:fill="auto"/>
            <w:noWrap/>
            <w:vAlign w:val="center"/>
            <w:hideMark/>
          </w:tcPr>
          <w:p w14:paraId="0CF43E02" w14:textId="77777777" w:rsidR="008430BD" w:rsidRPr="00B64E96" w:rsidRDefault="008430BD" w:rsidP="00CF32FA">
            <w:pPr>
              <w:spacing w:line="240" w:lineRule="auto"/>
              <w:jc w:val="center"/>
            </w:pPr>
            <w:r w:rsidRPr="00B64E96">
              <w:t>BM</w:t>
            </w:r>
          </w:p>
        </w:tc>
        <w:tc>
          <w:tcPr>
            <w:tcW w:w="2320" w:type="dxa"/>
            <w:tcBorders>
              <w:top w:val="nil"/>
              <w:left w:val="nil"/>
              <w:bottom w:val="single" w:sz="4" w:space="0" w:color="auto"/>
              <w:right w:val="nil"/>
            </w:tcBorders>
            <w:shd w:val="clear" w:color="auto" w:fill="auto"/>
            <w:noWrap/>
            <w:vAlign w:val="center"/>
            <w:hideMark/>
          </w:tcPr>
          <w:p w14:paraId="10FB8169" w14:textId="53B83066" w:rsidR="008430BD" w:rsidRPr="00B64E96" w:rsidRDefault="0053190F" w:rsidP="00CF32FA">
            <w:pPr>
              <w:spacing w:line="240" w:lineRule="auto"/>
              <w:jc w:val="left"/>
            </w:pPr>
            <w:r w:rsidRPr="00B64E96">
              <w:t>Plzeň</w:t>
            </w:r>
            <w:r w:rsidRPr="00B64E96">
              <w:noBreakHyphen/>
            </w:r>
            <w:r w:rsidR="008430BD" w:rsidRPr="00B64E96">
              <w:t>jih</w:t>
            </w:r>
          </w:p>
        </w:tc>
        <w:tc>
          <w:tcPr>
            <w:tcW w:w="1060" w:type="dxa"/>
            <w:tcBorders>
              <w:top w:val="nil"/>
              <w:left w:val="nil"/>
              <w:bottom w:val="single" w:sz="4" w:space="0" w:color="auto"/>
              <w:right w:val="nil"/>
            </w:tcBorders>
            <w:shd w:val="clear" w:color="auto" w:fill="auto"/>
            <w:noWrap/>
            <w:vAlign w:val="center"/>
            <w:hideMark/>
          </w:tcPr>
          <w:p w14:paraId="1BA052D8" w14:textId="77777777" w:rsidR="008430BD" w:rsidRPr="00B64E96" w:rsidRDefault="008430BD" w:rsidP="00CF32FA">
            <w:pPr>
              <w:spacing w:line="240" w:lineRule="auto"/>
              <w:jc w:val="center"/>
            </w:pPr>
            <w:r w:rsidRPr="00B64E96">
              <w:t>PJ</w:t>
            </w:r>
          </w:p>
        </w:tc>
      </w:tr>
      <w:tr w:rsidR="00B64E96" w:rsidRPr="00B64E96" w14:paraId="0711009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5B76DA3" w14:textId="53BCCC79" w:rsidR="008430BD" w:rsidRPr="00B64E96" w:rsidRDefault="0053190F" w:rsidP="00CF32FA">
            <w:pPr>
              <w:spacing w:line="240" w:lineRule="auto"/>
              <w:jc w:val="left"/>
            </w:pPr>
            <w:r w:rsidRPr="00B64E96">
              <w:t>Brno</w:t>
            </w:r>
            <w:r w:rsidRPr="00B64E96">
              <w:noBreakHyphen/>
            </w:r>
            <w:r w:rsidR="008430BD" w:rsidRPr="00B64E96">
              <w:t>venkov</w:t>
            </w:r>
          </w:p>
        </w:tc>
        <w:tc>
          <w:tcPr>
            <w:tcW w:w="1060" w:type="dxa"/>
            <w:tcBorders>
              <w:top w:val="nil"/>
              <w:left w:val="nil"/>
              <w:bottom w:val="single" w:sz="4" w:space="0" w:color="auto"/>
              <w:right w:val="single" w:sz="4" w:space="0" w:color="auto"/>
            </w:tcBorders>
            <w:shd w:val="clear" w:color="auto" w:fill="auto"/>
            <w:noWrap/>
            <w:vAlign w:val="center"/>
            <w:hideMark/>
          </w:tcPr>
          <w:p w14:paraId="48F5F389" w14:textId="77777777" w:rsidR="008430BD" w:rsidRPr="00B64E96" w:rsidRDefault="008430BD" w:rsidP="00CF32FA">
            <w:pPr>
              <w:spacing w:line="240" w:lineRule="auto"/>
              <w:jc w:val="center"/>
            </w:pPr>
            <w:r w:rsidRPr="00B64E96">
              <w:t>BO</w:t>
            </w:r>
          </w:p>
        </w:tc>
        <w:tc>
          <w:tcPr>
            <w:tcW w:w="2320" w:type="dxa"/>
            <w:tcBorders>
              <w:top w:val="nil"/>
              <w:left w:val="nil"/>
              <w:bottom w:val="single" w:sz="4" w:space="0" w:color="auto"/>
              <w:right w:val="nil"/>
            </w:tcBorders>
            <w:shd w:val="clear" w:color="auto" w:fill="auto"/>
            <w:noWrap/>
            <w:vAlign w:val="center"/>
            <w:hideMark/>
          </w:tcPr>
          <w:p w14:paraId="1E8CA923" w14:textId="27FFD2AF" w:rsidR="008430BD" w:rsidRPr="00B64E96" w:rsidRDefault="0053190F" w:rsidP="00CF32FA">
            <w:pPr>
              <w:spacing w:line="240" w:lineRule="auto"/>
              <w:jc w:val="left"/>
            </w:pPr>
            <w:r w:rsidRPr="00B64E96">
              <w:t>Plzeň</w:t>
            </w:r>
            <w:r w:rsidRPr="00B64E96">
              <w:noBreakHyphen/>
            </w:r>
            <w:r w:rsidR="008430BD" w:rsidRPr="00B64E96">
              <w:t>město</w:t>
            </w:r>
          </w:p>
        </w:tc>
        <w:tc>
          <w:tcPr>
            <w:tcW w:w="1060" w:type="dxa"/>
            <w:tcBorders>
              <w:top w:val="nil"/>
              <w:left w:val="nil"/>
              <w:bottom w:val="single" w:sz="4" w:space="0" w:color="auto"/>
              <w:right w:val="nil"/>
            </w:tcBorders>
            <w:shd w:val="clear" w:color="auto" w:fill="auto"/>
            <w:noWrap/>
            <w:vAlign w:val="center"/>
            <w:hideMark/>
          </w:tcPr>
          <w:p w14:paraId="15415971" w14:textId="77777777" w:rsidR="008430BD" w:rsidRPr="00B64E96" w:rsidRDefault="008430BD" w:rsidP="00CF32FA">
            <w:pPr>
              <w:spacing w:line="240" w:lineRule="auto"/>
              <w:jc w:val="center"/>
            </w:pPr>
            <w:r w:rsidRPr="00B64E96">
              <w:t>PM</w:t>
            </w:r>
          </w:p>
        </w:tc>
      </w:tr>
      <w:tr w:rsidR="00B64E96" w:rsidRPr="00B64E96" w14:paraId="1AEFE0A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2509811" w14:textId="77777777" w:rsidR="008430BD" w:rsidRPr="00B64E96" w:rsidRDefault="008430BD" w:rsidP="00CF32FA">
            <w:pPr>
              <w:spacing w:line="240" w:lineRule="auto"/>
              <w:jc w:val="left"/>
            </w:pPr>
            <w:r w:rsidRPr="00B64E96">
              <w:t>Bruntál</w:t>
            </w:r>
          </w:p>
        </w:tc>
        <w:tc>
          <w:tcPr>
            <w:tcW w:w="1060" w:type="dxa"/>
            <w:tcBorders>
              <w:top w:val="nil"/>
              <w:left w:val="nil"/>
              <w:bottom w:val="single" w:sz="4" w:space="0" w:color="auto"/>
              <w:right w:val="single" w:sz="4" w:space="0" w:color="auto"/>
            </w:tcBorders>
            <w:shd w:val="clear" w:color="auto" w:fill="auto"/>
            <w:noWrap/>
            <w:vAlign w:val="center"/>
            <w:hideMark/>
          </w:tcPr>
          <w:p w14:paraId="58E69DA4" w14:textId="77777777" w:rsidR="008430BD" w:rsidRPr="00B64E96" w:rsidRDefault="008430BD" w:rsidP="00CF32FA">
            <w:pPr>
              <w:spacing w:line="240" w:lineRule="auto"/>
              <w:jc w:val="center"/>
            </w:pPr>
            <w:r w:rsidRPr="00B64E96">
              <w:t>BR</w:t>
            </w:r>
          </w:p>
        </w:tc>
        <w:tc>
          <w:tcPr>
            <w:tcW w:w="2320" w:type="dxa"/>
            <w:tcBorders>
              <w:top w:val="nil"/>
              <w:left w:val="nil"/>
              <w:bottom w:val="single" w:sz="4" w:space="0" w:color="auto"/>
              <w:right w:val="nil"/>
            </w:tcBorders>
            <w:shd w:val="clear" w:color="auto" w:fill="auto"/>
            <w:noWrap/>
            <w:vAlign w:val="center"/>
            <w:hideMark/>
          </w:tcPr>
          <w:p w14:paraId="223A71C6" w14:textId="3800E8F3" w:rsidR="008430BD" w:rsidRPr="00B64E96" w:rsidRDefault="0053190F" w:rsidP="00CF32FA">
            <w:pPr>
              <w:spacing w:line="240" w:lineRule="auto"/>
              <w:jc w:val="left"/>
            </w:pPr>
            <w:r w:rsidRPr="00B64E96">
              <w:t>Plzeň</w:t>
            </w:r>
            <w:r w:rsidRPr="00B64E96">
              <w:noBreakHyphen/>
            </w:r>
            <w:r w:rsidR="008430BD" w:rsidRPr="00B64E96">
              <w:t>sever</w:t>
            </w:r>
          </w:p>
        </w:tc>
        <w:tc>
          <w:tcPr>
            <w:tcW w:w="1060" w:type="dxa"/>
            <w:tcBorders>
              <w:top w:val="nil"/>
              <w:left w:val="nil"/>
              <w:bottom w:val="single" w:sz="4" w:space="0" w:color="auto"/>
              <w:right w:val="nil"/>
            </w:tcBorders>
            <w:shd w:val="clear" w:color="auto" w:fill="auto"/>
            <w:noWrap/>
            <w:vAlign w:val="center"/>
            <w:hideMark/>
          </w:tcPr>
          <w:p w14:paraId="372B8090" w14:textId="77777777" w:rsidR="008430BD" w:rsidRPr="00B64E96" w:rsidRDefault="008430BD" w:rsidP="00CF32FA">
            <w:pPr>
              <w:spacing w:line="240" w:lineRule="auto"/>
              <w:jc w:val="center"/>
            </w:pPr>
            <w:r w:rsidRPr="00B64E96">
              <w:t>PS</w:t>
            </w:r>
          </w:p>
        </w:tc>
      </w:tr>
      <w:tr w:rsidR="00B64E96" w:rsidRPr="00B64E96" w14:paraId="4C4171D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F8AB71D" w14:textId="77777777" w:rsidR="008430BD" w:rsidRPr="00B64E96" w:rsidRDefault="008430BD" w:rsidP="00CF32FA">
            <w:pPr>
              <w:spacing w:line="240" w:lineRule="auto"/>
              <w:jc w:val="left"/>
            </w:pPr>
            <w:r w:rsidRPr="00B64E96">
              <w:t>Břeclav</w:t>
            </w:r>
          </w:p>
        </w:tc>
        <w:tc>
          <w:tcPr>
            <w:tcW w:w="1060" w:type="dxa"/>
            <w:tcBorders>
              <w:top w:val="nil"/>
              <w:left w:val="nil"/>
              <w:bottom w:val="single" w:sz="4" w:space="0" w:color="auto"/>
              <w:right w:val="single" w:sz="4" w:space="0" w:color="auto"/>
            </w:tcBorders>
            <w:shd w:val="clear" w:color="auto" w:fill="auto"/>
            <w:noWrap/>
            <w:vAlign w:val="center"/>
            <w:hideMark/>
          </w:tcPr>
          <w:p w14:paraId="079FE02E" w14:textId="77777777" w:rsidR="008430BD" w:rsidRPr="00B64E96" w:rsidRDefault="008430BD" w:rsidP="00CF32FA">
            <w:pPr>
              <w:spacing w:line="240" w:lineRule="auto"/>
              <w:jc w:val="center"/>
            </w:pPr>
            <w:r w:rsidRPr="00B64E96">
              <w:t>BV</w:t>
            </w:r>
          </w:p>
        </w:tc>
        <w:tc>
          <w:tcPr>
            <w:tcW w:w="2320" w:type="dxa"/>
            <w:tcBorders>
              <w:top w:val="nil"/>
              <w:left w:val="nil"/>
              <w:bottom w:val="single" w:sz="4" w:space="0" w:color="auto"/>
              <w:right w:val="nil"/>
            </w:tcBorders>
            <w:shd w:val="clear" w:color="auto" w:fill="auto"/>
            <w:noWrap/>
            <w:vAlign w:val="center"/>
            <w:hideMark/>
          </w:tcPr>
          <w:p w14:paraId="1B67F5F1" w14:textId="77777777" w:rsidR="008430BD" w:rsidRPr="00B64E96" w:rsidRDefault="008430BD" w:rsidP="00CF32FA">
            <w:pPr>
              <w:spacing w:line="240" w:lineRule="auto"/>
              <w:jc w:val="left"/>
            </w:pPr>
            <w:r w:rsidRPr="00B64E96">
              <w:t>Praha 1</w:t>
            </w:r>
          </w:p>
        </w:tc>
        <w:tc>
          <w:tcPr>
            <w:tcW w:w="1060" w:type="dxa"/>
            <w:tcBorders>
              <w:top w:val="nil"/>
              <w:left w:val="nil"/>
              <w:bottom w:val="single" w:sz="4" w:space="0" w:color="auto"/>
              <w:right w:val="nil"/>
            </w:tcBorders>
            <w:shd w:val="clear" w:color="auto" w:fill="auto"/>
            <w:noWrap/>
            <w:vAlign w:val="center"/>
            <w:hideMark/>
          </w:tcPr>
          <w:p w14:paraId="7E52DEFC" w14:textId="77777777" w:rsidR="008430BD" w:rsidRPr="00B64E96" w:rsidRDefault="008430BD" w:rsidP="00CF32FA">
            <w:pPr>
              <w:spacing w:line="240" w:lineRule="auto"/>
              <w:jc w:val="center"/>
            </w:pPr>
            <w:r w:rsidRPr="00B64E96">
              <w:t>P 1</w:t>
            </w:r>
          </w:p>
        </w:tc>
      </w:tr>
      <w:tr w:rsidR="00B64E96" w:rsidRPr="00B64E96" w14:paraId="31D8ED0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5B92E89" w14:textId="77777777" w:rsidR="008430BD" w:rsidRPr="00B64E96" w:rsidRDefault="008430BD" w:rsidP="00CF32FA">
            <w:pPr>
              <w:spacing w:line="240" w:lineRule="auto"/>
              <w:jc w:val="left"/>
            </w:pPr>
            <w:r w:rsidRPr="00B64E96">
              <w:t>Česká Lípa</w:t>
            </w:r>
          </w:p>
        </w:tc>
        <w:tc>
          <w:tcPr>
            <w:tcW w:w="1060" w:type="dxa"/>
            <w:tcBorders>
              <w:top w:val="nil"/>
              <w:left w:val="nil"/>
              <w:bottom w:val="single" w:sz="4" w:space="0" w:color="auto"/>
              <w:right w:val="single" w:sz="4" w:space="0" w:color="auto"/>
            </w:tcBorders>
            <w:shd w:val="clear" w:color="auto" w:fill="auto"/>
            <w:noWrap/>
            <w:vAlign w:val="center"/>
            <w:hideMark/>
          </w:tcPr>
          <w:p w14:paraId="2C3AE0B0" w14:textId="77777777" w:rsidR="008430BD" w:rsidRPr="00B64E96" w:rsidRDefault="008430BD" w:rsidP="00CF32FA">
            <w:pPr>
              <w:spacing w:line="240" w:lineRule="auto"/>
              <w:jc w:val="center"/>
            </w:pPr>
            <w:r w:rsidRPr="00B64E96">
              <w:t>CL</w:t>
            </w:r>
          </w:p>
        </w:tc>
        <w:tc>
          <w:tcPr>
            <w:tcW w:w="2320" w:type="dxa"/>
            <w:tcBorders>
              <w:top w:val="nil"/>
              <w:left w:val="nil"/>
              <w:bottom w:val="single" w:sz="4" w:space="0" w:color="auto"/>
              <w:right w:val="nil"/>
            </w:tcBorders>
            <w:shd w:val="clear" w:color="auto" w:fill="auto"/>
            <w:noWrap/>
            <w:vAlign w:val="center"/>
            <w:hideMark/>
          </w:tcPr>
          <w:p w14:paraId="69CA8C23"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2</w:t>
            </w:r>
          </w:p>
        </w:tc>
        <w:tc>
          <w:tcPr>
            <w:tcW w:w="1060" w:type="dxa"/>
            <w:tcBorders>
              <w:top w:val="nil"/>
              <w:left w:val="nil"/>
              <w:bottom w:val="single" w:sz="4" w:space="0" w:color="auto"/>
              <w:right w:val="nil"/>
            </w:tcBorders>
            <w:shd w:val="clear" w:color="auto" w:fill="auto"/>
            <w:noWrap/>
            <w:vAlign w:val="center"/>
            <w:hideMark/>
          </w:tcPr>
          <w:p w14:paraId="1A6F1081"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2</w:t>
            </w:r>
          </w:p>
        </w:tc>
      </w:tr>
      <w:tr w:rsidR="00B64E96" w:rsidRPr="00B64E96" w14:paraId="725E43B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A09AF95" w14:textId="77777777" w:rsidR="008430BD" w:rsidRPr="00B64E96" w:rsidRDefault="008430BD" w:rsidP="00CF32FA">
            <w:pPr>
              <w:spacing w:line="240" w:lineRule="auto"/>
              <w:jc w:val="left"/>
            </w:pPr>
            <w:r w:rsidRPr="00B64E96">
              <w:t>České Budějovice</w:t>
            </w:r>
          </w:p>
        </w:tc>
        <w:tc>
          <w:tcPr>
            <w:tcW w:w="1060" w:type="dxa"/>
            <w:tcBorders>
              <w:top w:val="nil"/>
              <w:left w:val="nil"/>
              <w:bottom w:val="single" w:sz="4" w:space="0" w:color="auto"/>
              <w:right w:val="single" w:sz="4" w:space="0" w:color="auto"/>
            </w:tcBorders>
            <w:shd w:val="clear" w:color="auto" w:fill="auto"/>
            <w:noWrap/>
            <w:vAlign w:val="center"/>
            <w:hideMark/>
          </w:tcPr>
          <w:p w14:paraId="10A1CE02" w14:textId="77777777" w:rsidR="008430BD" w:rsidRPr="00B64E96" w:rsidRDefault="008430BD" w:rsidP="00CF32FA">
            <w:pPr>
              <w:spacing w:line="240" w:lineRule="auto"/>
              <w:jc w:val="center"/>
            </w:pPr>
            <w:r w:rsidRPr="00B64E96">
              <w:t>CB</w:t>
            </w:r>
          </w:p>
        </w:tc>
        <w:tc>
          <w:tcPr>
            <w:tcW w:w="2320" w:type="dxa"/>
            <w:tcBorders>
              <w:top w:val="nil"/>
              <w:left w:val="nil"/>
              <w:bottom w:val="single" w:sz="4" w:space="0" w:color="auto"/>
              <w:right w:val="nil"/>
            </w:tcBorders>
            <w:shd w:val="clear" w:color="auto" w:fill="auto"/>
            <w:noWrap/>
            <w:vAlign w:val="center"/>
            <w:hideMark/>
          </w:tcPr>
          <w:p w14:paraId="2A68E544"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3</w:t>
            </w:r>
          </w:p>
        </w:tc>
        <w:tc>
          <w:tcPr>
            <w:tcW w:w="1060" w:type="dxa"/>
            <w:tcBorders>
              <w:top w:val="nil"/>
              <w:left w:val="nil"/>
              <w:bottom w:val="single" w:sz="4" w:space="0" w:color="auto"/>
              <w:right w:val="nil"/>
            </w:tcBorders>
            <w:shd w:val="clear" w:color="auto" w:fill="auto"/>
            <w:noWrap/>
            <w:vAlign w:val="center"/>
            <w:hideMark/>
          </w:tcPr>
          <w:p w14:paraId="15302092"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3</w:t>
            </w:r>
          </w:p>
        </w:tc>
      </w:tr>
      <w:tr w:rsidR="00B64E96" w:rsidRPr="00B64E96" w14:paraId="0F3EE16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5590360" w14:textId="77777777" w:rsidR="008430BD" w:rsidRPr="00B64E96" w:rsidRDefault="008430BD" w:rsidP="00CF32FA">
            <w:pPr>
              <w:spacing w:line="240" w:lineRule="auto"/>
              <w:jc w:val="left"/>
            </w:pPr>
            <w:r w:rsidRPr="00B64E96">
              <w:t>Český Krumlov</w:t>
            </w:r>
          </w:p>
        </w:tc>
        <w:tc>
          <w:tcPr>
            <w:tcW w:w="1060" w:type="dxa"/>
            <w:tcBorders>
              <w:top w:val="nil"/>
              <w:left w:val="nil"/>
              <w:bottom w:val="single" w:sz="4" w:space="0" w:color="auto"/>
              <w:right w:val="single" w:sz="4" w:space="0" w:color="auto"/>
            </w:tcBorders>
            <w:shd w:val="clear" w:color="auto" w:fill="auto"/>
            <w:noWrap/>
            <w:vAlign w:val="center"/>
            <w:hideMark/>
          </w:tcPr>
          <w:p w14:paraId="62E33464" w14:textId="77777777" w:rsidR="008430BD" w:rsidRPr="00B64E96" w:rsidRDefault="008430BD" w:rsidP="00CF32FA">
            <w:pPr>
              <w:spacing w:line="240" w:lineRule="auto"/>
              <w:jc w:val="center"/>
            </w:pPr>
            <w:r w:rsidRPr="00B64E96">
              <w:t>CK</w:t>
            </w:r>
          </w:p>
        </w:tc>
        <w:tc>
          <w:tcPr>
            <w:tcW w:w="2320" w:type="dxa"/>
            <w:tcBorders>
              <w:top w:val="nil"/>
              <w:left w:val="nil"/>
              <w:bottom w:val="single" w:sz="4" w:space="0" w:color="auto"/>
              <w:right w:val="nil"/>
            </w:tcBorders>
            <w:shd w:val="clear" w:color="auto" w:fill="auto"/>
            <w:noWrap/>
            <w:vAlign w:val="center"/>
            <w:hideMark/>
          </w:tcPr>
          <w:p w14:paraId="415DDB36"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4</w:t>
            </w:r>
          </w:p>
        </w:tc>
        <w:tc>
          <w:tcPr>
            <w:tcW w:w="1060" w:type="dxa"/>
            <w:tcBorders>
              <w:top w:val="nil"/>
              <w:left w:val="nil"/>
              <w:bottom w:val="single" w:sz="4" w:space="0" w:color="auto"/>
              <w:right w:val="nil"/>
            </w:tcBorders>
            <w:shd w:val="clear" w:color="auto" w:fill="auto"/>
            <w:noWrap/>
            <w:vAlign w:val="center"/>
            <w:hideMark/>
          </w:tcPr>
          <w:p w14:paraId="48AF7C43"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4</w:t>
            </w:r>
          </w:p>
        </w:tc>
      </w:tr>
      <w:tr w:rsidR="00B64E96" w:rsidRPr="00B64E96" w14:paraId="6994B20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A5A9FDB" w14:textId="77777777" w:rsidR="008430BD" w:rsidRPr="00B64E96" w:rsidRDefault="008430BD" w:rsidP="00CF32FA">
            <w:pPr>
              <w:spacing w:line="240" w:lineRule="auto"/>
              <w:jc w:val="left"/>
            </w:pPr>
            <w:r w:rsidRPr="00B64E96">
              <w:t>Děčín</w:t>
            </w:r>
          </w:p>
        </w:tc>
        <w:tc>
          <w:tcPr>
            <w:tcW w:w="1060" w:type="dxa"/>
            <w:tcBorders>
              <w:top w:val="nil"/>
              <w:left w:val="nil"/>
              <w:bottom w:val="single" w:sz="4" w:space="0" w:color="auto"/>
              <w:right w:val="single" w:sz="4" w:space="0" w:color="auto"/>
            </w:tcBorders>
            <w:shd w:val="clear" w:color="auto" w:fill="auto"/>
            <w:noWrap/>
            <w:vAlign w:val="center"/>
            <w:hideMark/>
          </w:tcPr>
          <w:p w14:paraId="01B39A89" w14:textId="77777777" w:rsidR="008430BD" w:rsidRPr="00B64E96" w:rsidRDefault="008430BD" w:rsidP="00CF32FA">
            <w:pPr>
              <w:spacing w:line="240" w:lineRule="auto"/>
              <w:jc w:val="center"/>
            </w:pPr>
            <w:r w:rsidRPr="00B64E96">
              <w:t>DC</w:t>
            </w:r>
          </w:p>
        </w:tc>
        <w:tc>
          <w:tcPr>
            <w:tcW w:w="2320" w:type="dxa"/>
            <w:tcBorders>
              <w:top w:val="nil"/>
              <w:left w:val="nil"/>
              <w:bottom w:val="single" w:sz="4" w:space="0" w:color="auto"/>
              <w:right w:val="nil"/>
            </w:tcBorders>
            <w:shd w:val="clear" w:color="auto" w:fill="auto"/>
            <w:noWrap/>
            <w:vAlign w:val="center"/>
            <w:hideMark/>
          </w:tcPr>
          <w:p w14:paraId="623C248D"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5</w:t>
            </w:r>
          </w:p>
        </w:tc>
        <w:tc>
          <w:tcPr>
            <w:tcW w:w="1060" w:type="dxa"/>
            <w:tcBorders>
              <w:top w:val="nil"/>
              <w:left w:val="nil"/>
              <w:bottom w:val="single" w:sz="4" w:space="0" w:color="auto"/>
              <w:right w:val="nil"/>
            </w:tcBorders>
            <w:shd w:val="clear" w:color="auto" w:fill="auto"/>
            <w:noWrap/>
            <w:vAlign w:val="center"/>
            <w:hideMark/>
          </w:tcPr>
          <w:p w14:paraId="38532A90"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5</w:t>
            </w:r>
          </w:p>
        </w:tc>
      </w:tr>
      <w:tr w:rsidR="00B64E96" w:rsidRPr="00B64E96" w14:paraId="00E115A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87E769C" w14:textId="77777777" w:rsidR="008430BD" w:rsidRPr="00B64E96" w:rsidRDefault="008430BD" w:rsidP="00CF32FA">
            <w:pPr>
              <w:spacing w:line="240" w:lineRule="auto"/>
              <w:jc w:val="left"/>
            </w:pPr>
            <w:r w:rsidRPr="00B64E96">
              <w:t>Domažlice</w:t>
            </w:r>
          </w:p>
        </w:tc>
        <w:tc>
          <w:tcPr>
            <w:tcW w:w="1060" w:type="dxa"/>
            <w:tcBorders>
              <w:top w:val="nil"/>
              <w:left w:val="nil"/>
              <w:bottom w:val="single" w:sz="4" w:space="0" w:color="auto"/>
              <w:right w:val="single" w:sz="4" w:space="0" w:color="auto"/>
            </w:tcBorders>
            <w:shd w:val="clear" w:color="auto" w:fill="auto"/>
            <w:noWrap/>
            <w:vAlign w:val="center"/>
            <w:hideMark/>
          </w:tcPr>
          <w:p w14:paraId="7698FDC2" w14:textId="77777777" w:rsidR="008430BD" w:rsidRPr="00B64E96" w:rsidRDefault="008430BD" w:rsidP="00CF32FA">
            <w:pPr>
              <w:spacing w:line="240" w:lineRule="auto"/>
              <w:jc w:val="center"/>
            </w:pPr>
            <w:r w:rsidRPr="00B64E96">
              <w:t>DO</w:t>
            </w:r>
          </w:p>
        </w:tc>
        <w:tc>
          <w:tcPr>
            <w:tcW w:w="2320" w:type="dxa"/>
            <w:tcBorders>
              <w:top w:val="nil"/>
              <w:left w:val="nil"/>
              <w:bottom w:val="single" w:sz="4" w:space="0" w:color="auto"/>
              <w:right w:val="nil"/>
            </w:tcBorders>
            <w:shd w:val="clear" w:color="auto" w:fill="auto"/>
            <w:noWrap/>
            <w:vAlign w:val="center"/>
            <w:hideMark/>
          </w:tcPr>
          <w:p w14:paraId="664BF96E"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6</w:t>
            </w:r>
          </w:p>
        </w:tc>
        <w:tc>
          <w:tcPr>
            <w:tcW w:w="1060" w:type="dxa"/>
            <w:tcBorders>
              <w:top w:val="nil"/>
              <w:left w:val="nil"/>
              <w:bottom w:val="single" w:sz="4" w:space="0" w:color="auto"/>
              <w:right w:val="nil"/>
            </w:tcBorders>
            <w:shd w:val="clear" w:color="auto" w:fill="auto"/>
            <w:noWrap/>
            <w:vAlign w:val="center"/>
            <w:hideMark/>
          </w:tcPr>
          <w:p w14:paraId="0BACD7D7"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6</w:t>
            </w:r>
          </w:p>
        </w:tc>
      </w:tr>
      <w:tr w:rsidR="00B64E96" w:rsidRPr="00B64E96" w14:paraId="7D2A4A6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60819CE" w14:textId="5E7B907E" w:rsidR="008430BD" w:rsidRPr="00B64E96" w:rsidRDefault="0053190F" w:rsidP="00CF32FA">
            <w:pPr>
              <w:spacing w:line="240" w:lineRule="auto"/>
              <w:jc w:val="left"/>
            </w:pPr>
            <w:r w:rsidRPr="00B64E96">
              <w:t>Frýdek</w:t>
            </w:r>
            <w:r w:rsidRPr="00B64E96">
              <w:noBreakHyphen/>
              <w:t>Místek</w:t>
            </w:r>
          </w:p>
        </w:tc>
        <w:tc>
          <w:tcPr>
            <w:tcW w:w="1060" w:type="dxa"/>
            <w:tcBorders>
              <w:top w:val="nil"/>
              <w:left w:val="nil"/>
              <w:bottom w:val="single" w:sz="4" w:space="0" w:color="auto"/>
              <w:right w:val="single" w:sz="4" w:space="0" w:color="auto"/>
            </w:tcBorders>
            <w:shd w:val="clear" w:color="auto" w:fill="auto"/>
            <w:noWrap/>
            <w:vAlign w:val="center"/>
            <w:hideMark/>
          </w:tcPr>
          <w:p w14:paraId="0FD2DCE4" w14:textId="77777777" w:rsidR="008430BD" w:rsidRPr="00B64E96" w:rsidRDefault="008430BD" w:rsidP="00CF32FA">
            <w:pPr>
              <w:spacing w:line="240" w:lineRule="auto"/>
              <w:jc w:val="center"/>
            </w:pPr>
            <w:r w:rsidRPr="00B64E96">
              <w:t>FM</w:t>
            </w:r>
          </w:p>
        </w:tc>
        <w:tc>
          <w:tcPr>
            <w:tcW w:w="2320" w:type="dxa"/>
            <w:tcBorders>
              <w:top w:val="nil"/>
              <w:left w:val="nil"/>
              <w:bottom w:val="single" w:sz="4" w:space="0" w:color="auto"/>
              <w:right w:val="nil"/>
            </w:tcBorders>
            <w:shd w:val="clear" w:color="auto" w:fill="auto"/>
            <w:noWrap/>
            <w:vAlign w:val="center"/>
            <w:hideMark/>
          </w:tcPr>
          <w:p w14:paraId="2770C8BB"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7</w:t>
            </w:r>
          </w:p>
        </w:tc>
        <w:tc>
          <w:tcPr>
            <w:tcW w:w="1060" w:type="dxa"/>
            <w:tcBorders>
              <w:top w:val="nil"/>
              <w:left w:val="nil"/>
              <w:bottom w:val="single" w:sz="4" w:space="0" w:color="auto"/>
              <w:right w:val="nil"/>
            </w:tcBorders>
            <w:shd w:val="clear" w:color="auto" w:fill="auto"/>
            <w:noWrap/>
            <w:vAlign w:val="center"/>
            <w:hideMark/>
          </w:tcPr>
          <w:p w14:paraId="2CD186BA"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7</w:t>
            </w:r>
          </w:p>
        </w:tc>
      </w:tr>
      <w:tr w:rsidR="00B64E96" w:rsidRPr="00B64E96" w14:paraId="64A1F89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A758ADD" w14:textId="77777777" w:rsidR="008430BD" w:rsidRPr="00B64E96" w:rsidRDefault="008430BD" w:rsidP="00CF32FA">
            <w:pPr>
              <w:spacing w:line="240" w:lineRule="auto"/>
              <w:jc w:val="left"/>
            </w:pPr>
            <w:r w:rsidRPr="00B64E96">
              <w:t>Havlíčkův Brod</w:t>
            </w:r>
          </w:p>
        </w:tc>
        <w:tc>
          <w:tcPr>
            <w:tcW w:w="1060" w:type="dxa"/>
            <w:tcBorders>
              <w:top w:val="nil"/>
              <w:left w:val="nil"/>
              <w:bottom w:val="single" w:sz="4" w:space="0" w:color="auto"/>
              <w:right w:val="single" w:sz="4" w:space="0" w:color="auto"/>
            </w:tcBorders>
            <w:shd w:val="clear" w:color="auto" w:fill="auto"/>
            <w:noWrap/>
            <w:vAlign w:val="center"/>
            <w:hideMark/>
          </w:tcPr>
          <w:p w14:paraId="6A5D2FB4" w14:textId="77777777" w:rsidR="008430BD" w:rsidRPr="00B64E96" w:rsidRDefault="008430BD" w:rsidP="00CF32FA">
            <w:pPr>
              <w:spacing w:line="240" w:lineRule="auto"/>
              <w:jc w:val="center"/>
            </w:pPr>
            <w:r w:rsidRPr="00B64E96">
              <w:t>HB</w:t>
            </w:r>
          </w:p>
        </w:tc>
        <w:tc>
          <w:tcPr>
            <w:tcW w:w="2320" w:type="dxa"/>
            <w:tcBorders>
              <w:top w:val="nil"/>
              <w:left w:val="nil"/>
              <w:bottom w:val="single" w:sz="4" w:space="0" w:color="auto"/>
              <w:right w:val="nil"/>
            </w:tcBorders>
            <w:shd w:val="clear" w:color="auto" w:fill="auto"/>
            <w:noWrap/>
            <w:vAlign w:val="center"/>
            <w:hideMark/>
          </w:tcPr>
          <w:p w14:paraId="13FBEA0E"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8</w:t>
            </w:r>
          </w:p>
        </w:tc>
        <w:tc>
          <w:tcPr>
            <w:tcW w:w="1060" w:type="dxa"/>
            <w:tcBorders>
              <w:top w:val="nil"/>
              <w:left w:val="nil"/>
              <w:bottom w:val="single" w:sz="4" w:space="0" w:color="auto"/>
              <w:right w:val="nil"/>
            </w:tcBorders>
            <w:shd w:val="clear" w:color="auto" w:fill="auto"/>
            <w:noWrap/>
            <w:vAlign w:val="center"/>
            <w:hideMark/>
          </w:tcPr>
          <w:p w14:paraId="424ED083"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8</w:t>
            </w:r>
          </w:p>
        </w:tc>
      </w:tr>
      <w:tr w:rsidR="00B64E96" w:rsidRPr="00B64E96" w14:paraId="3E45B85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4CBCD18" w14:textId="77777777" w:rsidR="008430BD" w:rsidRPr="00B64E96" w:rsidRDefault="008430BD" w:rsidP="00CF32FA">
            <w:pPr>
              <w:spacing w:line="240" w:lineRule="auto"/>
              <w:jc w:val="left"/>
            </w:pPr>
            <w:r w:rsidRPr="00B64E96">
              <w:t>Hodonín</w:t>
            </w:r>
          </w:p>
        </w:tc>
        <w:tc>
          <w:tcPr>
            <w:tcW w:w="1060" w:type="dxa"/>
            <w:tcBorders>
              <w:top w:val="nil"/>
              <w:left w:val="nil"/>
              <w:bottom w:val="single" w:sz="4" w:space="0" w:color="auto"/>
              <w:right w:val="single" w:sz="4" w:space="0" w:color="auto"/>
            </w:tcBorders>
            <w:shd w:val="clear" w:color="auto" w:fill="auto"/>
            <w:noWrap/>
            <w:vAlign w:val="center"/>
            <w:hideMark/>
          </w:tcPr>
          <w:p w14:paraId="0987E9B0" w14:textId="77777777" w:rsidR="008430BD" w:rsidRPr="00B64E96" w:rsidRDefault="008430BD" w:rsidP="00CF32FA">
            <w:pPr>
              <w:spacing w:line="240" w:lineRule="auto"/>
              <w:jc w:val="center"/>
            </w:pPr>
            <w:r w:rsidRPr="00B64E96">
              <w:t>HO</w:t>
            </w:r>
          </w:p>
        </w:tc>
        <w:tc>
          <w:tcPr>
            <w:tcW w:w="2320" w:type="dxa"/>
            <w:tcBorders>
              <w:top w:val="nil"/>
              <w:left w:val="nil"/>
              <w:bottom w:val="single" w:sz="4" w:space="0" w:color="auto"/>
              <w:right w:val="nil"/>
            </w:tcBorders>
            <w:shd w:val="clear" w:color="auto" w:fill="auto"/>
            <w:noWrap/>
            <w:vAlign w:val="center"/>
            <w:hideMark/>
          </w:tcPr>
          <w:p w14:paraId="3E1CC1DB"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9</w:t>
            </w:r>
          </w:p>
        </w:tc>
        <w:tc>
          <w:tcPr>
            <w:tcW w:w="1060" w:type="dxa"/>
            <w:tcBorders>
              <w:top w:val="nil"/>
              <w:left w:val="nil"/>
              <w:bottom w:val="single" w:sz="4" w:space="0" w:color="auto"/>
              <w:right w:val="nil"/>
            </w:tcBorders>
            <w:shd w:val="clear" w:color="auto" w:fill="auto"/>
            <w:noWrap/>
            <w:vAlign w:val="center"/>
            <w:hideMark/>
          </w:tcPr>
          <w:p w14:paraId="7045BBE2"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9</w:t>
            </w:r>
          </w:p>
        </w:tc>
      </w:tr>
      <w:tr w:rsidR="00B64E96" w:rsidRPr="00B64E96" w14:paraId="768BF7C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3BD1F4C" w14:textId="77777777" w:rsidR="008430BD" w:rsidRPr="00B64E96" w:rsidRDefault="008430BD" w:rsidP="00CF32FA">
            <w:pPr>
              <w:spacing w:line="240" w:lineRule="auto"/>
              <w:jc w:val="left"/>
            </w:pPr>
            <w:r w:rsidRPr="00B64E96">
              <w:t>Hradec Králové</w:t>
            </w:r>
          </w:p>
        </w:tc>
        <w:tc>
          <w:tcPr>
            <w:tcW w:w="1060" w:type="dxa"/>
            <w:tcBorders>
              <w:top w:val="nil"/>
              <w:left w:val="nil"/>
              <w:bottom w:val="single" w:sz="4" w:space="0" w:color="auto"/>
              <w:right w:val="single" w:sz="4" w:space="0" w:color="auto"/>
            </w:tcBorders>
            <w:shd w:val="clear" w:color="auto" w:fill="auto"/>
            <w:noWrap/>
            <w:vAlign w:val="center"/>
            <w:hideMark/>
          </w:tcPr>
          <w:p w14:paraId="5966639A" w14:textId="77777777" w:rsidR="008430BD" w:rsidRPr="00B64E96" w:rsidRDefault="008430BD" w:rsidP="00CF32FA">
            <w:pPr>
              <w:spacing w:line="240" w:lineRule="auto"/>
              <w:jc w:val="center"/>
            </w:pPr>
            <w:r w:rsidRPr="00B64E96">
              <w:t>HK</w:t>
            </w:r>
          </w:p>
        </w:tc>
        <w:tc>
          <w:tcPr>
            <w:tcW w:w="2320" w:type="dxa"/>
            <w:tcBorders>
              <w:top w:val="nil"/>
              <w:left w:val="nil"/>
              <w:bottom w:val="single" w:sz="4" w:space="0" w:color="auto"/>
              <w:right w:val="nil"/>
            </w:tcBorders>
            <w:shd w:val="clear" w:color="auto" w:fill="auto"/>
            <w:noWrap/>
            <w:vAlign w:val="center"/>
            <w:hideMark/>
          </w:tcPr>
          <w:p w14:paraId="4807DF3D" w14:textId="77777777" w:rsidR="008430BD" w:rsidRPr="00B64E96" w:rsidRDefault="008430BD" w:rsidP="00CF32FA">
            <w:pPr>
              <w:spacing w:line="240" w:lineRule="auto"/>
              <w:jc w:val="left"/>
            </w:pPr>
            <w:r w:rsidRPr="00B64E96">
              <w:t xml:space="preserve">Praha </w:t>
            </w:r>
            <w:r w:rsidRPr="00B64E96">
              <w:rPr>
                <w:rFonts w:eastAsia="Times New Roman"/>
                <w:szCs w:val="24"/>
                <w:lang w:eastAsia="cs-CZ"/>
              </w:rPr>
              <w:t>10</w:t>
            </w:r>
          </w:p>
        </w:tc>
        <w:tc>
          <w:tcPr>
            <w:tcW w:w="1060" w:type="dxa"/>
            <w:tcBorders>
              <w:top w:val="nil"/>
              <w:left w:val="nil"/>
              <w:bottom w:val="single" w:sz="4" w:space="0" w:color="auto"/>
              <w:right w:val="nil"/>
            </w:tcBorders>
            <w:shd w:val="clear" w:color="auto" w:fill="auto"/>
            <w:noWrap/>
            <w:vAlign w:val="center"/>
            <w:hideMark/>
          </w:tcPr>
          <w:p w14:paraId="710C0E42" w14:textId="77777777" w:rsidR="008430BD" w:rsidRPr="00B64E96" w:rsidRDefault="008430BD" w:rsidP="00CF32FA">
            <w:pPr>
              <w:spacing w:line="240" w:lineRule="auto"/>
              <w:jc w:val="center"/>
            </w:pPr>
            <w:r w:rsidRPr="00B64E96">
              <w:t xml:space="preserve">P </w:t>
            </w:r>
            <w:r w:rsidRPr="00B64E96">
              <w:rPr>
                <w:rFonts w:eastAsia="Times New Roman"/>
                <w:szCs w:val="24"/>
                <w:lang w:eastAsia="cs-CZ"/>
              </w:rPr>
              <w:t>10</w:t>
            </w:r>
          </w:p>
        </w:tc>
      </w:tr>
      <w:tr w:rsidR="00B64E96" w:rsidRPr="00B64E96" w14:paraId="0D5B8E0D"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2AD8C98" w14:textId="77777777" w:rsidR="008430BD" w:rsidRPr="00B64E96" w:rsidRDefault="008430BD" w:rsidP="00CF32FA">
            <w:pPr>
              <w:spacing w:line="240" w:lineRule="auto"/>
              <w:jc w:val="left"/>
            </w:pPr>
            <w:r w:rsidRPr="00B64E96">
              <w:t>Cheb</w:t>
            </w:r>
          </w:p>
        </w:tc>
        <w:tc>
          <w:tcPr>
            <w:tcW w:w="1060" w:type="dxa"/>
            <w:tcBorders>
              <w:top w:val="nil"/>
              <w:left w:val="nil"/>
              <w:bottom w:val="single" w:sz="4" w:space="0" w:color="auto"/>
              <w:right w:val="single" w:sz="4" w:space="0" w:color="auto"/>
            </w:tcBorders>
            <w:shd w:val="clear" w:color="auto" w:fill="auto"/>
            <w:noWrap/>
            <w:vAlign w:val="center"/>
            <w:hideMark/>
          </w:tcPr>
          <w:p w14:paraId="06F79470" w14:textId="77777777" w:rsidR="008430BD" w:rsidRPr="00B64E96" w:rsidRDefault="008430BD" w:rsidP="00CF32FA">
            <w:pPr>
              <w:spacing w:line="240" w:lineRule="auto"/>
              <w:jc w:val="center"/>
            </w:pPr>
            <w:r w:rsidRPr="00B64E96">
              <w:t>CH</w:t>
            </w:r>
          </w:p>
        </w:tc>
        <w:tc>
          <w:tcPr>
            <w:tcW w:w="2320" w:type="dxa"/>
            <w:tcBorders>
              <w:top w:val="nil"/>
              <w:left w:val="nil"/>
              <w:bottom w:val="single" w:sz="4" w:space="0" w:color="auto"/>
              <w:right w:val="nil"/>
            </w:tcBorders>
            <w:shd w:val="clear" w:color="auto" w:fill="auto"/>
            <w:noWrap/>
            <w:vAlign w:val="center"/>
            <w:hideMark/>
          </w:tcPr>
          <w:p w14:paraId="630651D8" w14:textId="6F187FA6" w:rsidR="008430BD" w:rsidRPr="00B64E96" w:rsidRDefault="0053190F" w:rsidP="00CF32FA">
            <w:pPr>
              <w:spacing w:line="240" w:lineRule="auto"/>
              <w:jc w:val="left"/>
            </w:pPr>
            <w:r w:rsidRPr="00B64E96">
              <w:t>Praha</w:t>
            </w:r>
            <w:r w:rsidRPr="00B64E96">
              <w:noBreakHyphen/>
            </w:r>
            <w:r w:rsidR="008430BD" w:rsidRPr="00B64E96">
              <w:t>východ</w:t>
            </w:r>
          </w:p>
        </w:tc>
        <w:tc>
          <w:tcPr>
            <w:tcW w:w="1060" w:type="dxa"/>
            <w:tcBorders>
              <w:top w:val="nil"/>
              <w:left w:val="nil"/>
              <w:bottom w:val="single" w:sz="4" w:space="0" w:color="auto"/>
              <w:right w:val="nil"/>
            </w:tcBorders>
            <w:shd w:val="clear" w:color="auto" w:fill="auto"/>
            <w:noWrap/>
            <w:vAlign w:val="center"/>
            <w:hideMark/>
          </w:tcPr>
          <w:p w14:paraId="047EBE6A" w14:textId="77777777" w:rsidR="008430BD" w:rsidRPr="00B64E96" w:rsidRDefault="008430BD" w:rsidP="00CF32FA">
            <w:pPr>
              <w:spacing w:line="240" w:lineRule="auto"/>
              <w:jc w:val="center"/>
            </w:pPr>
            <w:r w:rsidRPr="00B64E96">
              <w:t>PY</w:t>
            </w:r>
          </w:p>
        </w:tc>
      </w:tr>
      <w:tr w:rsidR="00B64E96" w:rsidRPr="00B64E96" w14:paraId="68B3D0B4"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C653C47" w14:textId="77777777" w:rsidR="008430BD" w:rsidRPr="00B64E96" w:rsidRDefault="008430BD" w:rsidP="00CF32FA">
            <w:pPr>
              <w:spacing w:line="240" w:lineRule="auto"/>
              <w:jc w:val="left"/>
            </w:pPr>
            <w:r w:rsidRPr="00B64E96">
              <w:t>Chomutov</w:t>
            </w:r>
          </w:p>
        </w:tc>
        <w:tc>
          <w:tcPr>
            <w:tcW w:w="1060" w:type="dxa"/>
            <w:tcBorders>
              <w:top w:val="nil"/>
              <w:left w:val="nil"/>
              <w:bottom w:val="single" w:sz="4" w:space="0" w:color="auto"/>
              <w:right w:val="single" w:sz="4" w:space="0" w:color="auto"/>
            </w:tcBorders>
            <w:shd w:val="clear" w:color="auto" w:fill="auto"/>
            <w:noWrap/>
            <w:vAlign w:val="center"/>
            <w:hideMark/>
          </w:tcPr>
          <w:p w14:paraId="22C62212" w14:textId="77777777" w:rsidR="008430BD" w:rsidRPr="00B64E96" w:rsidRDefault="008430BD" w:rsidP="00CF32FA">
            <w:pPr>
              <w:spacing w:line="240" w:lineRule="auto"/>
              <w:jc w:val="center"/>
            </w:pPr>
            <w:r w:rsidRPr="00B64E96">
              <w:t>CV</w:t>
            </w:r>
          </w:p>
        </w:tc>
        <w:tc>
          <w:tcPr>
            <w:tcW w:w="2320" w:type="dxa"/>
            <w:tcBorders>
              <w:top w:val="nil"/>
              <w:left w:val="nil"/>
              <w:bottom w:val="single" w:sz="4" w:space="0" w:color="auto"/>
              <w:right w:val="nil"/>
            </w:tcBorders>
            <w:shd w:val="clear" w:color="auto" w:fill="auto"/>
            <w:noWrap/>
            <w:vAlign w:val="center"/>
            <w:hideMark/>
          </w:tcPr>
          <w:p w14:paraId="2615E1CF" w14:textId="26A31540" w:rsidR="008430BD" w:rsidRPr="00B64E96" w:rsidRDefault="0053190F" w:rsidP="00CF32FA">
            <w:pPr>
              <w:spacing w:line="240" w:lineRule="auto"/>
              <w:jc w:val="left"/>
            </w:pPr>
            <w:r w:rsidRPr="00B64E96">
              <w:t>Praha</w:t>
            </w:r>
            <w:r w:rsidRPr="00B64E96">
              <w:noBreakHyphen/>
            </w:r>
            <w:r w:rsidR="008430BD" w:rsidRPr="00B64E96">
              <w:t>západ</w:t>
            </w:r>
          </w:p>
        </w:tc>
        <w:tc>
          <w:tcPr>
            <w:tcW w:w="1060" w:type="dxa"/>
            <w:tcBorders>
              <w:top w:val="nil"/>
              <w:left w:val="nil"/>
              <w:bottom w:val="single" w:sz="4" w:space="0" w:color="auto"/>
              <w:right w:val="nil"/>
            </w:tcBorders>
            <w:shd w:val="clear" w:color="auto" w:fill="auto"/>
            <w:noWrap/>
            <w:vAlign w:val="center"/>
            <w:hideMark/>
          </w:tcPr>
          <w:p w14:paraId="308490CD" w14:textId="77777777" w:rsidR="008430BD" w:rsidRPr="00B64E96" w:rsidRDefault="008430BD" w:rsidP="00CF32FA">
            <w:pPr>
              <w:spacing w:line="240" w:lineRule="auto"/>
              <w:jc w:val="center"/>
            </w:pPr>
            <w:r w:rsidRPr="00B64E96">
              <w:t>PZ</w:t>
            </w:r>
          </w:p>
        </w:tc>
      </w:tr>
      <w:tr w:rsidR="00B64E96" w:rsidRPr="00B64E96" w14:paraId="1297CE0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55A6720" w14:textId="77777777" w:rsidR="008430BD" w:rsidRPr="00B64E96" w:rsidRDefault="008430BD" w:rsidP="00CF32FA">
            <w:pPr>
              <w:spacing w:line="240" w:lineRule="auto"/>
              <w:jc w:val="left"/>
            </w:pPr>
            <w:r w:rsidRPr="00B64E96">
              <w:t>Chrudim</w:t>
            </w:r>
          </w:p>
        </w:tc>
        <w:tc>
          <w:tcPr>
            <w:tcW w:w="1060" w:type="dxa"/>
            <w:tcBorders>
              <w:top w:val="nil"/>
              <w:left w:val="nil"/>
              <w:bottom w:val="single" w:sz="4" w:space="0" w:color="auto"/>
              <w:right w:val="single" w:sz="4" w:space="0" w:color="auto"/>
            </w:tcBorders>
            <w:shd w:val="clear" w:color="auto" w:fill="auto"/>
            <w:noWrap/>
            <w:vAlign w:val="center"/>
            <w:hideMark/>
          </w:tcPr>
          <w:p w14:paraId="08331962" w14:textId="77777777" w:rsidR="008430BD" w:rsidRPr="00B64E96" w:rsidRDefault="008430BD" w:rsidP="00CF32FA">
            <w:pPr>
              <w:spacing w:line="240" w:lineRule="auto"/>
              <w:jc w:val="center"/>
            </w:pPr>
            <w:r w:rsidRPr="00B64E96">
              <w:t>CR</w:t>
            </w:r>
          </w:p>
        </w:tc>
        <w:tc>
          <w:tcPr>
            <w:tcW w:w="2320" w:type="dxa"/>
            <w:tcBorders>
              <w:top w:val="nil"/>
              <w:left w:val="nil"/>
              <w:bottom w:val="single" w:sz="4" w:space="0" w:color="auto"/>
              <w:right w:val="nil"/>
            </w:tcBorders>
            <w:shd w:val="clear" w:color="auto" w:fill="auto"/>
            <w:noWrap/>
            <w:vAlign w:val="center"/>
            <w:hideMark/>
          </w:tcPr>
          <w:p w14:paraId="2B618784" w14:textId="77777777" w:rsidR="008430BD" w:rsidRPr="00B64E96" w:rsidRDefault="008430BD" w:rsidP="00CF32FA">
            <w:pPr>
              <w:spacing w:line="240" w:lineRule="auto"/>
              <w:jc w:val="left"/>
            </w:pPr>
            <w:r w:rsidRPr="00B64E96">
              <w:t>Prachatice</w:t>
            </w:r>
          </w:p>
        </w:tc>
        <w:tc>
          <w:tcPr>
            <w:tcW w:w="1060" w:type="dxa"/>
            <w:tcBorders>
              <w:top w:val="nil"/>
              <w:left w:val="nil"/>
              <w:bottom w:val="single" w:sz="4" w:space="0" w:color="auto"/>
              <w:right w:val="nil"/>
            </w:tcBorders>
            <w:shd w:val="clear" w:color="auto" w:fill="auto"/>
            <w:noWrap/>
            <w:vAlign w:val="center"/>
            <w:hideMark/>
          </w:tcPr>
          <w:p w14:paraId="57988E4C" w14:textId="77777777" w:rsidR="008430BD" w:rsidRPr="00B64E96" w:rsidRDefault="008430BD" w:rsidP="00CF32FA">
            <w:pPr>
              <w:spacing w:line="240" w:lineRule="auto"/>
              <w:jc w:val="center"/>
            </w:pPr>
            <w:r w:rsidRPr="00B64E96">
              <w:t>PT</w:t>
            </w:r>
          </w:p>
        </w:tc>
      </w:tr>
      <w:tr w:rsidR="00B64E96" w:rsidRPr="00B64E96" w14:paraId="219A5935"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4C8BDC2" w14:textId="77777777" w:rsidR="008430BD" w:rsidRPr="00B64E96" w:rsidRDefault="008430BD" w:rsidP="00CF32FA">
            <w:pPr>
              <w:spacing w:line="240" w:lineRule="auto"/>
              <w:jc w:val="left"/>
            </w:pPr>
            <w:r w:rsidRPr="00B64E96">
              <w:t>Jablonec nad Nisou</w:t>
            </w:r>
          </w:p>
        </w:tc>
        <w:tc>
          <w:tcPr>
            <w:tcW w:w="1060" w:type="dxa"/>
            <w:tcBorders>
              <w:top w:val="nil"/>
              <w:left w:val="nil"/>
              <w:bottom w:val="single" w:sz="4" w:space="0" w:color="auto"/>
              <w:right w:val="single" w:sz="4" w:space="0" w:color="auto"/>
            </w:tcBorders>
            <w:shd w:val="clear" w:color="auto" w:fill="auto"/>
            <w:noWrap/>
            <w:vAlign w:val="center"/>
            <w:hideMark/>
          </w:tcPr>
          <w:p w14:paraId="0424B10B" w14:textId="77777777" w:rsidR="008430BD" w:rsidRPr="00B64E96" w:rsidRDefault="008430BD" w:rsidP="00CF32FA">
            <w:pPr>
              <w:spacing w:line="240" w:lineRule="auto"/>
              <w:jc w:val="center"/>
            </w:pPr>
            <w:r w:rsidRPr="00B64E96">
              <w:t>JN</w:t>
            </w:r>
          </w:p>
        </w:tc>
        <w:tc>
          <w:tcPr>
            <w:tcW w:w="2320" w:type="dxa"/>
            <w:tcBorders>
              <w:top w:val="nil"/>
              <w:left w:val="nil"/>
              <w:bottom w:val="single" w:sz="4" w:space="0" w:color="auto"/>
              <w:right w:val="nil"/>
            </w:tcBorders>
            <w:shd w:val="clear" w:color="auto" w:fill="auto"/>
            <w:noWrap/>
            <w:vAlign w:val="center"/>
            <w:hideMark/>
          </w:tcPr>
          <w:p w14:paraId="0EA8A640" w14:textId="77777777" w:rsidR="008430BD" w:rsidRPr="00B64E96" w:rsidRDefault="008430BD" w:rsidP="00CF32FA">
            <w:pPr>
              <w:spacing w:line="240" w:lineRule="auto"/>
              <w:jc w:val="left"/>
            </w:pPr>
            <w:r w:rsidRPr="00B64E96">
              <w:t>Prostějov</w:t>
            </w:r>
          </w:p>
        </w:tc>
        <w:tc>
          <w:tcPr>
            <w:tcW w:w="1060" w:type="dxa"/>
            <w:tcBorders>
              <w:top w:val="nil"/>
              <w:left w:val="nil"/>
              <w:bottom w:val="single" w:sz="4" w:space="0" w:color="auto"/>
              <w:right w:val="nil"/>
            </w:tcBorders>
            <w:shd w:val="clear" w:color="auto" w:fill="auto"/>
            <w:noWrap/>
            <w:vAlign w:val="center"/>
            <w:hideMark/>
          </w:tcPr>
          <w:p w14:paraId="76FEA204" w14:textId="77777777" w:rsidR="008430BD" w:rsidRPr="00B64E96" w:rsidRDefault="008430BD" w:rsidP="00CF32FA">
            <w:pPr>
              <w:spacing w:line="240" w:lineRule="auto"/>
              <w:jc w:val="center"/>
            </w:pPr>
            <w:r w:rsidRPr="00B64E96">
              <w:t>PV</w:t>
            </w:r>
          </w:p>
        </w:tc>
      </w:tr>
      <w:tr w:rsidR="00B64E96" w:rsidRPr="00B64E96" w14:paraId="62B7D44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95D1381" w14:textId="77777777" w:rsidR="008430BD" w:rsidRPr="00B64E96" w:rsidRDefault="008430BD" w:rsidP="00CF32FA">
            <w:pPr>
              <w:spacing w:line="240" w:lineRule="auto"/>
              <w:jc w:val="left"/>
            </w:pPr>
            <w:r w:rsidRPr="00B64E96">
              <w:t>Jeseník</w:t>
            </w:r>
          </w:p>
        </w:tc>
        <w:tc>
          <w:tcPr>
            <w:tcW w:w="1060" w:type="dxa"/>
            <w:tcBorders>
              <w:top w:val="nil"/>
              <w:left w:val="nil"/>
              <w:bottom w:val="single" w:sz="4" w:space="0" w:color="auto"/>
              <w:right w:val="single" w:sz="4" w:space="0" w:color="auto"/>
            </w:tcBorders>
            <w:shd w:val="clear" w:color="auto" w:fill="auto"/>
            <w:noWrap/>
            <w:vAlign w:val="center"/>
            <w:hideMark/>
          </w:tcPr>
          <w:p w14:paraId="42C2201E" w14:textId="77777777" w:rsidR="008430BD" w:rsidRPr="00B64E96" w:rsidRDefault="008430BD" w:rsidP="00CF32FA">
            <w:pPr>
              <w:spacing w:line="240" w:lineRule="auto"/>
              <w:jc w:val="center"/>
            </w:pPr>
            <w:r w:rsidRPr="00B64E96">
              <w:t>JE</w:t>
            </w:r>
          </w:p>
        </w:tc>
        <w:tc>
          <w:tcPr>
            <w:tcW w:w="2320" w:type="dxa"/>
            <w:tcBorders>
              <w:top w:val="nil"/>
              <w:left w:val="nil"/>
              <w:bottom w:val="single" w:sz="4" w:space="0" w:color="auto"/>
              <w:right w:val="nil"/>
            </w:tcBorders>
            <w:shd w:val="clear" w:color="auto" w:fill="auto"/>
            <w:noWrap/>
            <w:vAlign w:val="center"/>
            <w:hideMark/>
          </w:tcPr>
          <w:p w14:paraId="2C56FA16" w14:textId="77777777" w:rsidR="008430BD" w:rsidRPr="00B64E96" w:rsidRDefault="008430BD" w:rsidP="00CF32FA">
            <w:pPr>
              <w:spacing w:line="240" w:lineRule="auto"/>
              <w:jc w:val="left"/>
            </w:pPr>
            <w:r w:rsidRPr="00B64E96">
              <w:t>Přerov</w:t>
            </w:r>
          </w:p>
        </w:tc>
        <w:tc>
          <w:tcPr>
            <w:tcW w:w="1060" w:type="dxa"/>
            <w:tcBorders>
              <w:top w:val="nil"/>
              <w:left w:val="nil"/>
              <w:bottom w:val="single" w:sz="4" w:space="0" w:color="auto"/>
              <w:right w:val="nil"/>
            </w:tcBorders>
            <w:shd w:val="clear" w:color="auto" w:fill="auto"/>
            <w:noWrap/>
            <w:vAlign w:val="center"/>
            <w:hideMark/>
          </w:tcPr>
          <w:p w14:paraId="1FC4FA02" w14:textId="77777777" w:rsidR="008430BD" w:rsidRPr="00B64E96" w:rsidRDefault="008430BD" w:rsidP="00CF32FA">
            <w:pPr>
              <w:spacing w:line="240" w:lineRule="auto"/>
              <w:jc w:val="center"/>
            </w:pPr>
            <w:r w:rsidRPr="00B64E96">
              <w:t>PR</w:t>
            </w:r>
          </w:p>
        </w:tc>
      </w:tr>
      <w:tr w:rsidR="00B64E96" w:rsidRPr="00B64E96" w14:paraId="3E6F109A"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15862F1" w14:textId="77777777" w:rsidR="008430BD" w:rsidRPr="00B64E96" w:rsidRDefault="008430BD" w:rsidP="00CF32FA">
            <w:pPr>
              <w:spacing w:line="240" w:lineRule="auto"/>
              <w:jc w:val="left"/>
            </w:pPr>
            <w:r w:rsidRPr="00B64E96">
              <w:t>Jičín</w:t>
            </w:r>
          </w:p>
        </w:tc>
        <w:tc>
          <w:tcPr>
            <w:tcW w:w="1060" w:type="dxa"/>
            <w:tcBorders>
              <w:top w:val="nil"/>
              <w:left w:val="nil"/>
              <w:bottom w:val="single" w:sz="4" w:space="0" w:color="auto"/>
              <w:right w:val="single" w:sz="4" w:space="0" w:color="auto"/>
            </w:tcBorders>
            <w:shd w:val="clear" w:color="auto" w:fill="auto"/>
            <w:noWrap/>
            <w:vAlign w:val="center"/>
            <w:hideMark/>
          </w:tcPr>
          <w:p w14:paraId="76D890A3" w14:textId="77777777" w:rsidR="008430BD" w:rsidRPr="00B64E96" w:rsidRDefault="008430BD" w:rsidP="00CF32FA">
            <w:pPr>
              <w:spacing w:line="240" w:lineRule="auto"/>
              <w:jc w:val="center"/>
            </w:pPr>
            <w:r w:rsidRPr="00B64E96">
              <w:t>JC</w:t>
            </w:r>
          </w:p>
        </w:tc>
        <w:tc>
          <w:tcPr>
            <w:tcW w:w="2320" w:type="dxa"/>
            <w:tcBorders>
              <w:top w:val="nil"/>
              <w:left w:val="nil"/>
              <w:bottom w:val="single" w:sz="4" w:space="0" w:color="auto"/>
              <w:right w:val="nil"/>
            </w:tcBorders>
            <w:shd w:val="clear" w:color="auto" w:fill="auto"/>
            <w:noWrap/>
            <w:vAlign w:val="center"/>
            <w:hideMark/>
          </w:tcPr>
          <w:p w14:paraId="6D31BC4A" w14:textId="77777777" w:rsidR="008430BD" w:rsidRPr="00B64E96" w:rsidRDefault="008430BD" w:rsidP="00CF32FA">
            <w:pPr>
              <w:spacing w:line="240" w:lineRule="auto"/>
              <w:jc w:val="left"/>
            </w:pPr>
            <w:r w:rsidRPr="00B64E96">
              <w:t>Příbram</w:t>
            </w:r>
          </w:p>
        </w:tc>
        <w:tc>
          <w:tcPr>
            <w:tcW w:w="1060" w:type="dxa"/>
            <w:tcBorders>
              <w:top w:val="nil"/>
              <w:left w:val="nil"/>
              <w:bottom w:val="single" w:sz="4" w:space="0" w:color="auto"/>
              <w:right w:val="nil"/>
            </w:tcBorders>
            <w:shd w:val="clear" w:color="auto" w:fill="auto"/>
            <w:noWrap/>
            <w:vAlign w:val="center"/>
            <w:hideMark/>
          </w:tcPr>
          <w:p w14:paraId="2811657C" w14:textId="77777777" w:rsidR="008430BD" w:rsidRPr="00B64E96" w:rsidRDefault="008430BD" w:rsidP="00CF32FA">
            <w:pPr>
              <w:spacing w:line="240" w:lineRule="auto"/>
              <w:jc w:val="center"/>
            </w:pPr>
            <w:r w:rsidRPr="00B64E96">
              <w:t>PB</w:t>
            </w:r>
          </w:p>
        </w:tc>
      </w:tr>
      <w:tr w:rsidR="00B64E96" w:rsidRPr="00B64E96" w14:paraId="6373DD3E"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5DCB385" w14:textId="77777777" w:rsidR="008430BD" w:rsidRPr="00B64E96" w:rsidRDefault="008430BD" w:rsidP="00CF32FA">
            <w:pPr>
              <w:spacing w:line="240" w:lineRule="auto"/>
              <w:jc w:val="left"/>
            </w:pPr>
            <w:r w:rsidRPr="00B64E96">
              <w:t>Jihlava</w:t>
            </w:r>
          </w:p>
        </w:tc>
        <w:tc>
          <w:tcPr>
            <w:tcW w:w="1060" w:type="dxa"/>
            <w:tcBorders>
              <w:top w:val="nil"/>
              <w:left w:val="nil"/>
              <w:bottom w:val="single" w:sz="4" w:space="0" w:color="auto"/>
              <w:right w:val="single" w:sz="4" w:space="0" w:color="auto"/>
            </w:tcBorders>
            <w:shd w:val="clear" w:color="auto" w:fill="auto"/>
            <w:noWrap/>
            <w:vAlign w:val="center"/>
            <w:hideMark/>
          </w:tcPr>
          <w:p w14:paraId="3EDFCB69" w14:textId="77777777" w:rsidR="008430BD" w:rsidRPr="00B64E96" w:rsidRDefault="008430BD" w:rsidP="00CF32FA">
            <w:pPr>
              <w:spacing w:line="240" w:lineRule="auto"/>
              <w:jc w:val="center"/>
            </w:pPr>
            <w:r w:rsidRPr="00B64E96">
              <w:t>JI</w:t>
            </w:r>
          </w:p>
        </w:tc>
        <w:tc>
          <w:tcPr>
            <w:tcW w:w="2320" w:type="dxa"/>
            <w:tcBorders>
              <w:top w:val="nil"/>
              <w:left w:val="nil"/>
              <w:bottom w:val="single" w:sz="4" w:space="0" w:color="auto"/>
              <w:right w:val="nil"/>
            </w:tcBorders>
            <w:shd w:val="clear" w:color="auto" w:fill="auto"/>
            <w:noWrap/>
            <w:vAlign w:val="center"/>
            <w:hideMark/>
          </w:tcPr>
          <w:p w14:paraId="2A8B49AC" w14:textId="77777777" w:rsidR="008430BD" w:rsidRPr="00B64E96" w:rsidRDefault="008430BD" w:rsidP="00CF32FA">
            <w:pPr>
              <w:spacing w:line="240" w:lineRule="auto"/>
              <w:jc w:val="left"/>
            </w:pPr>
            <w:r w:rsidRPr="00B64E96">
              <w:t>Rakovník</w:t>
            </w:r>
          </w:p>
        </w:tc>
        <w:tc>
          <w:tcPr>
            <w:tcW w:w="1060" w:type="dxa"/>
            <w:tcBorders>
              <w:top w:val="nil"/>
              <w:left w:val="nil"/>
              <w:bottom w:val="single" w:sz="4" w:space="0" w:color="auto"/>
              <w:right w:val="nil"/>
            </w:tcBorders>
            <w:shd w:val="clear" w:color="auto" w:fill="auto"/>
            <w:noWrap/>
            <w:vAlign w:val="center"/>
            <w:hideMark/>
          </w:tcPr>
          <w:p w14:paraId="3C960CBF" w14:textId="77777777" w:rsidR="008430BD" w:rsidRPr="00B64E96" w:rsidRDefault="008430BD" w:rsidP="00CF32FA">
            <w:pPr>
              <w:spacing w:line="240" w:lineRule="auto"/>
              <w:jc w:val="center"/>
            </w:pPr>
            <w:r w:rsidRPr="00B64E96">
              <w:t>RA</w:t>
            </w:r>
          </w:p>
        </w:tc>
      </w:tr>
      <w:tr w:rsidR="00B64E96" w:rsidRPr="00B64E96" w14:paraId="6A58EAB0"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EFB75E7" w14:textId="77777777" w:rsidR="008430BD" w:rsidRPr="00B64E96" w:rsidRDefault="008430BD" w:rsidP="00CF32FA">
            <w:pPr>
              <w:spacing w:line="240" w:lineRule="auto"/>
              <w:jc w:val="left"/>
            </w:pPr>
            <w:r w:rsidRPr="00B64E96">
              <w:t>Jindřichův Hradec</w:t>
            </w:r>
          </w:p>
        </w:tc>
        <w:tc>
          <w:tcPr>
            <w:tcW w:w="1060" w:type="dxa"/>
            <w:tcBorders>
              <w:top w:val="nil"/>
              <w:left w:val="nil"/>
              <w:bottom w:val="single" w:sz="4" w:space="0" w:color="auto"/>
              <w:right w:val="single" w:sz="4" w:space="0" w:color="auto"/>
            </w:tcBorders>
            <w:shd w:val="clear" w:color="auto" w:fill="auto"/>
            <w:noWrap/>
            <w:vAlign w:val="center"/>
            <w:hideMark/>
          </w:tcPr>
          <w:p w14:paraId="3FE70BB7" w14:textId="77777777" w:rsidR="008430BD" w:rsidRPr="00B64E96" w:rsidRDefault="008430BD" w:rsidP="00CF32FA">
            <w:pPr>
              <w:spacing w:line="240" w:lineRule="auto"/>
              <w:jc w:val="center"/>
            </w:pPr>
            <w:r w:rsidRPr="00B64E96">
              <w:t>JH</w:t>
            </w:r>
          </w:p>
        </w:tc>
        <w:tc>
          <w:tcPr>
            <w:tcW w:w="2320" w:type="dxa"/>
            <w:tcBorders>
              <w:top w:val="nil"/>
              <w:left w:val="nil"/>
              <w:bottom w:val="single" w:sz="4" w:space="0" w:color="auto"/>
              <w:right w:val="nil"/>
            </w:tcBorders>
            <w:shd w:val="clear" w:color="auto" w:fill="auto"/>
            <w:noWrap/>
            <w:vAlign w:val="center"/>
            <w:hideMark/>
          </w:tcPr>
          <w:p w14:paraId="1DB93B6E" w14:textId="77777777" w:rsidR="008430BD" w:rsidRPr="00B64E96" w:rsidRDefault="008430BD" w:rsidP="00CF32FA">
            <w:pPr>
              <w:spacing w:line="240" w:lineRule="auto"/>
              <w:jc w:val="left"/>
            </w:pPr>
            <w:r w:rsidRPr="00B64E96">
              <w:t>Rokycany</w:t>
            </w:r>
          </w:p>
        </w:tc>
        <w:tc>
          <w:tcPr>
            <w:tcW w:w="1060" w:type="dxa"/>
            <w:tcBorders>
              <w:top w:val="nil"/>
              <w:left w:val="nil"/>
              <w:bottom w:val="single" w:sz="4" w:space="0" w:color="auto"/>
              <w:right w:val="nil"/>
            </w:tcBorders>
            <w:shd w:val="clear" w:color="auto" w:fill="auto"/>
            <w:noWrap/>
            <w:vAlign w:val="center"/>
            <w:hideMark/>
          </w:tcPr>
          <w:p w14:paraId="6629BD88" w14:textId="77777777" w:rsidR="008430BD" w:rsidRPr="00B64E96" w:rsidRDefault="008430BD" w:rsidP="00CF32FA">
            <w:pPr>
              <w:spacing w:line="240" w:lineRule="auto"/>
              <w:jc w:val="center"/>
            </w:pPr>
            <w:r w:rsidRPr="00B64E96">
              <w:t>RO</w:t>
            </w:r>
          </w:p>
        </w:tc>
      </w:tr>
      <w:tr w:rsidR="00B64E96" w:rsidRPr="00B64E96" w14:paraId="7BB86B2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70304B6F" w14:textId="77777777" w:rsidR="008430BD" w:rsidRPr="00B64E96" w:rsidRDefault="008430BD" w:rsidP="00CF32FA">
            <w:pPr>
              <w:spacing w:line="240" w:lineRule="auto"/>
              <w:jc w:val="left"/>
            </w:pPr>
            <w:r w:rsidRPr="00B64E96">
              <w:t>Karlovy Vary</w:t>
            </w:r>
          </w:p>
        </w:tc>
        <w:tc>
          <w:tcPr>
            <w:tcW w:w="1060" w:type="dxa"/>
            <w:tcBorders>
              <w:top w:val="nil"/>
              <w:left w:val="nil"/>
              <w:bottom w:val="single" w:sz="4" w:space="0" w:color="auto"/>
              <w:right w:val="single" w:sz="4" w:space="0" w:color="auto"/>
            </w:tcBorders>
            <w:shd w:val="clear" w:color="auto" w:fill="auto"/>
            <w:noWrap/>
            <w:vAlign w:val="center"/>
            <w:hideMark/>
          </w:tcPr>
          <w:p w14:paraId="07CAD7F1" w14:textId="77777777" w:rsidR="008430BD" w:rsidRPr="00B64E96" w:rsidRDefault="008430BD" w:rsidP="00CF32FA">
            <w:pPr>
              <w:spacing w:line="240" w:lineRule="auto"/>
              <w:jc w:val="center"/>
            </w:pPr>
            <w:r w:rsidRPr="00B64E96">
              <w:t>KV</w:t>
            </w:r>
          </w:p>
        </w:tc>
        <w:tc>
          <w:tcPr>
            <w:tcW w:w="2320" w:type="dxa"/>
            <w:tcBorders>
              <w:top w:val="nil"/>
              <w:left w:val="nil"/>
              <w:bottom w:val="single" w:sz="4" w:space="0" w:color="auto"/>
              <w:right w:val="nil"/>
            </w:tcBorders>
            <w:shd w:val="clear" w:color="auto" w:fill="auto"/>
            <w:noWrap/>
            <w:vAlign w:val="center"/>
            <w:hideMark/>
          </w:tcPr>
          <w:p w14:paraId="0BCADA59" w14:textId="77777777" w:rsidR="008430BD" w:rsidRPr="00B64E96" w:rsidRDefault="008430BD" w:rsidP="00CF32FA">
            <w:pPr>
              <w:spacing w:line="240" w:lineRule="auto"/>
              <w:jc w:val="left"/>
            </w:pPr>
            <w:r w:rsidRPr="00B64E96">
              <w:t>Rychnov nad Kněžnou</w:t>
            </w:r>
          </w:p>
        </w:tc>
        <w:tc>
          <w:tcPr>
            <w:tcW w:w="1060" w:type="dxa"/>
            <w:tcBorders>
              <w:top w:val="nil"/>
              <w:left w:val="nil"/>
              <w:bottom w:val="single" w:sz="4" w:space="0" w:color="auto"/>
              <w:right w:val="nil"/>
            </w:tcBorders>
            <w:shd w:val="clear" w:color="auto" w:fill="auto"/>
            <w:noWrap/>
            <w:vAlign w:val="center"/>
            <w:hideMark/>
          </w:tcPr>
          <w:p w14:paraId="002738BD" w14:textId="77777777" w:rsidR="008430BD" w:rsidRPr="00B64E96" w:rsidRDefault="008430BD" w:rsidP="00CF32FA">
            <w:pPr>
              <w:spacing w:line="240" w:lineRule="auto"/>
              <w:jc w:val="center"/>
            </w:pPr>
            <w:r w:rsidRPr="00B64E96">
              <w:t>RK</w:t>
            </w:r>
          </w:p>
        </w:tc>
      </w:tr>
      <w:tr w:rsidR="00B64E96" w:rsidRPr="00B64E96" w14:paraId="47FDB9D2"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CF45FE2" w14:textId="77777777" w:rsidR="008430BD" w:rsidRPr="00B64E96" w:rsidRDefault="008430BD" w:rsidP="00CF32FA">
            <w:pPr>
              <w:spacing w:line="240" w:lineRule="auto"/>
              <w:jc w:val="left"/>
            </w:pPr>
            <w:r w:rsidRPr="00B64E96">
              <w:t>Karviná</w:t>
            </w:r>
          </w:p>
        </w:tc>
        <w:tc>
          <w:tcPr>
            <w:tcW w:w="1060" w:type="dxa"/>
            <w:tcBorders>
              <w:top w:val="nil"/>
              <w:left w:val="nil"/>
              <w:bottom w:val="single" w:sz="4" w:space="0" w:color="auto"/>
              <w:right w:val="single" w:sz="4" w:space="0" w:color="auto"/>
            </w:tcBorders>
            <w:shd w:val="clear" w:color="auto" w:fill="auto"/>
            <w:noWrap/>
            <w:vAlign w:val="center"/>
            <w:hideMark/>
          </w:tcPr>
          <w:p w14:paraId="760F54B7" w14:textId="77777777" w:rsidR="008430BD" w:rsidRPr="00B64E96" w:rsidRDefault="008430BD" w:rsidP="00CF32FA">
            <w:pPr>
              <w:spacing w:line="240" w:lineRule="auto"/>
              <w:jc w:val="center"/>
            </w:pPr>
            <w:r w:rsidRPr="00B64E96">
              <w:t>KA</w:t>
            </w:r>
          </w:p>
        </w:tc>
        <w:tc>
          <w:tcPr>
            <w:tcW w:w="2320" w:type="dxa"/>
            <w:tcBorders>
              <w:top w:val="nil"/>
              <w:left w:val="nil"/>
              <w:bottom w:val="single" w:sz="4" w:space="0" w:color="auto"/>
              <w:right w:val="nil"/>
            </w:tcBorders>
            <w:shd w:val="clear" w:color="auto" w:fill="auto"/>
            <w:noWrap/>
            <w:vAlign w:val="center"/>
            <w:hideMark/>
          </w:tcPr>
          <w:p w14:paraId="4531D4CF" w14:textId="77777777" w:rsidR="008430BD" w:rsidRPr="00B64E96" w:rsidRDefault="008430BD" w:rsidP="00CF32FA">
            <w:pPr>
              <w:spacing w:line="240" w:lineRule="auto"/>
              <w:jc w:val="left"/>
            </w:pPr>
            <w:r w:rsidRPr="00B64E96">
              <w:t>Semily</w:t>
            </w:r>
          </w:p>
        </w:tc>
        <w:tc>
          <w:tcPr>
            <w:tcW w:w="1060" w:type="dxa"/>
            <w:tcBorders>
              <w:top w:val="nil"/>
              <w:left w:val="nil"/>
              <w:bottom w:val="single" w:sz="4" w:space="0" w:color="auto"/>
              <w:right w:val="nil"/>
            </w:tcBorders>
            <w:shd w:val="clear" w:color="auto" w:fill="auto"/>
            <w:noWrap/>
            <w:vAlign w:val="center"/>
            <w:hideMark/>
          </w:tcPr>
          <w:p w14:paraId="23BDEB6F" w14:textId="77777777" w:rsidR="008430BD" w:rsidRPr="00B64E96" w:rsidRDefault="008430BD" w:rsidP="00CF32FA">
            <w:pPr>
              <w:spacing w:line="240" w:lineRule="auto"/>
              <w:jc w:val="center"/>
            </w:pPr>
            <w:r w:rsidRPr="00B64E96">
              <w:t>SM</w:t>
            </w:r>
          </w:p>
        </w:tc>
      </w:tr>
      <w:tr w:rsidR="00B64E96" w:rsidRPr="00B64E96" w14:paraId="371F4578"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BCE857A" w14:textId="77777777" w:rsidR="008430BD" w:rsidRPr="00B64E96" w:rsidRDefault="008430BD" w:rsidP="00CF32FA">
            <w:pPr>
              <w:spacing w:line="240" w:lineRule="auto"/>
              <w:jc w:val="left"/>
            </w:pPr>
            <w:r w:rsidRPr="00B64E96">
              <w:t>Kladno</w:t>
            </w:r>
          </w:p>
        </w:tc>
        <w:tc>
          <w:tcPr>
            <w:tcW w:w="1060" w:type="dxa"/>
            <w:tcBorders>
              <w:top w:val="nil"/>
              <w:left w:val="nil"/>
              <w:bottom w:val="single" w:sz="4" w:space="0" w:color="auto"/>
              <w:right w:val="single" w:sz="4" w:space="0" w:color="auto"/>
            </w:tcBorders>
            <w:shd w:val="clear" w:color="auto" w:fill="auto"/>
            <w:noWrap/>
            <w:vAlign w:val="center"/>
            <w:hideMark/>
          </w:tcPr>
          <w:p w14:paraId="6CE39181" w14:textId="77777777" w:rsidR="008430BD" w:rsidRPr="00B64E96" w:rsidRDefault="008430BD" w:rsidP="00CF32FA">
            <w:pPr>
              <w:spacing w:line="240" w:lineRule="auto"/>
              <w:jc w:val="center"/>
            </w:pPr>
            <w:r w:rsidRPr="00B64E96">
              <w:t>KL</w:t>
            </w:r>
          </w:p>
        </w:tc>
        <w:tc>
          <w:tcPr>
            <w:tcW w:w="2320" w:type="dxa"/>
            <w:tcBorders>
              <w:top w:val="nil"/>
              <w:left w:val="nil"/>
              <w:bottom w:val="single" w:sz="4" w:space="0" w:color="auto"/>
              <w:right w:val="nil"/>
            </w:tcBorders>
            <w:shd w:val="clear" w:color="auto" w:fill="auto"/>
            <w:noWrap/>
            <w:vAlign w:val="center"/>
            <w:hideMark/>
          </w:tcPr>
          <w:p w14:paraId="7151E930" w14:textId="77777777" w:rsidR="008430BD" w:rsidRPr="00B64E96" w:rsidRDefault="008430BD" w:rsidP="00CF32FA">
            <w:pPr>
              <w:spacing w:line="240" w:lineRule="auto"/>
              <w:jc w:val="left"/>
            </w:pPr>
            <w:r w:rsidRPr="00B64E96">
              <w:t>Sokolov</w:t>
            </w:r>
          </w:p>
        </w:tc>
        <w:tc>
          <w:tcPr>
            <w:tcW w:w="1060" w:type="dxa"/>
            <w:tcBorders>
              <w:top w:val="nil"/>
              <w:left w:val="nil"/>
              <w:bottom w:val="single" w:sz="4" w:space="0" w:color="auto"/>
              <w:right w:val="nil"/>
            </w:tcBorders>
            <w:shd w:val="clear" w:color="auto" w:fill="auto"/>
            <w:noWrap/>
            <w:vAlign w:val="center"/>
            <w:hideMark/>
          </w:tcPr>
          <w:p w14:paraId="6E6BC2DB" w14:textId="77777777" w:rsidR="008430BD" w:rsidRPr="00B64E96" w:rsidRDefault="008430BD" w:rsidP="00CF32FA">
            <w:pPr>
              <w:spacing w:line="240" w:lineRule="auto"/>
              <w:jc w:val="center"/>
            </w:pPr>
            <w:r w:rsidRPr="00B64E96">
              <w:t>SO</w:t>
            </w:r>
          </w:p>
        </w:tc>
      </w:tr>
      <w:tr w:rsidR="00B64E96" w:rsidRPr="00B64E96" w14:paraId="27952FC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45B8D473" w14:textId="77777777" w:rsidR="008430BD" w:rsidRPr="00B64E96" w:rsidRDefault="008430BD" w:rsidP="00CF32FA">
            <w:pPr>
              <w:spacing w:line="240" w:lineRule="auto"/>
              <w:jc w:val="left"/>
            </w:pPr>
            <w:r w:rsidRPr="00B64E96">
              <w:t>Klatovy</w:t>
            </w:r>
          </w:p>
        </w:tc>
        <w:tc>
          <w:tcPr>
            <w:tcW w:w="1060" w:type="dxa"/>
            <w:tcBorders>
              <w:top w:val="nil"/>
              <w:left w:val="nil"/>
              <w:bottom w:val="single" w:sz="4" w:space="0" w:color="auto"/>
              <w:right w:val="single" w:sz="4" w:space="0" w:color="auto"/>
            </w:tcBorders>
            <w:shd w:val="clear" w:color="auto" w:fill="auto"/>
            <w:noWrap/>
            <w:vAlign w:val="center"/>
            <w:hideMark/>
          </w:tcPr>
          <w:p w14:paraId="5EBB2108" w14:textId="77777777" w:rsidR="008430BD" w:rsidRPr="00B64E96" w:rsidRDefault="008430BD" w:rsidP="00CF32FA">
            <w:pPr>
              <w:spacing w:line="240" w:lineRule="auto"/>
              <w:jc w:val="center"/>
            </w:pPr>
            <w:r w:rsidRPr="00B64E96">
              <w:t>KT</w:t>
            </w:r>
          </w:p>
        </w:tc>
        <w:tc>
          <w:tcPr>
            <w:tcW w:w="2320" w:type="dxa"/>
            <w:tcBorders>
              <w:top w:val="nil"/>
              <w:left w:val="nil"/>
              <w:bottom w:val="single" w:sz="4" w:space="0" w:color="auto"/>
              <w:right w:val="nil"/>
            </w:tcBorders>
            <w:shd w:val="clear" w:color="auto" w:fill="auto"/>
            <w:noWrap/>
            <w:vAlign w:val="center"/>
            <w:hideMark/>
          </w:tcPr>
          <w:p w14:paraId="4BEF2744" w14:textId="77777777" w:rsidR="008430BD" w:rsidRPr="00B64E96" w:rsidRDefault="008430BD" w:rsidP="00CF32FA">
            <w:pPr>
              <w:spacing w:line="240" w:lineRule="auto"/>
              <w:jc w:val="left"/>
            </w:pPr>
            <w:r w:rsidRPr="00B64E96">
              <w:t>Strakonice</w:t>
            </w:r>
          </w:p>
        </w:tc>
        <w:tc>
          <w:tcPr>
            <w:tcW w:w="1060" w:type="dxa"/>
            <w:tcBorders>
              <w:top w:val="nil"/>
              <w:left w:val="nil"/>
              <w:bottom w:val="single" w:sz="4" w:space="0" w:color="auto"/>
              <w:right w:val="nil"/>
            </w:tcBorders>
            <w:shd w:val="clear" w:color="auto" w:fill="auto"/>
            <w:noWrap/>
            <w:vAlign w:val="center"/>
            <w:hideMark/>
          </w:tcPr>
          <w:p w14:paraId="30C2431B" w14:textId="77777777" w:rsidR="008430BD" w:rsidRPr="00B64E96" w:rsidRDefault="008430BD" w:rsidP="00CF32FA">
            <w:pPr>
              <w:spacing w:line="240" w:lineRule="auto"/>
              <w:jc w:val="center"/>
            </w:pPr>
            <w:r w:rsidRPr="00B64E96">
              <w:t>ST</w:t>
            </w:r>
          </w:p>
        </w:tc>
      </w:tr>
      <w:tr w:rsidR="00B64E96" w:rsidRPr="00B64E96" w14:paraId="552E0EC7"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1561439" w14:textId="77777777" w:rsidR="008430BD" w:rsidRPr="00B64E96" w:rsidRDefault="008430BD" w:rsidP="00CF32FA">
            <w:pPr>
              <w:spacing w:line="240" w:lineRule="auto"/>
              <w:jc w:val="left"/>
            </w:pPr>
            <w:r w:rsidRPr="00B64E96">
              <w:t>Kolín</w:t>
            </w:r>
          </w:p>
        </w:tc>
        <w:tc>
          <w:tcPr>
            <w:tcW w:w="1060" w:type="dxa"/>
            <w:tcBorders>
              <w:top w:val="nil"/>
              <w:left w:val="nil"/>
              <w:bottom w:val="single" w:sz="4" w:space="0" w:color="auto"/>
              <w:right w:val="single" w:sz="4" w:space="0" w:color="auto"/>
            </w:tcBorders>
            <w:shd w:val="clear" w:color="auto" w:fill="auto"/>
            <w:noWrap/>
            <w:vAlign w:val="center"/>
            <w:hideMark/>
          </w:tcPr>
          <w:p w14:paraId="7E529403" w14:textId="77777777" w:rsidR="008430BD" w:rsidRPr="00B64E96" w:rsidRDefault="008430BD" w:rsidP="00CF32FA">
            <w:pPr>
              <w:spacing w:line="240" w:lineRule="auto"/>
              <w:jc w:val="center"/>
            </w:pPr>
            <w:r w:rsidRPr="00B64E96">
              <w:t>KO</w:t>
            </w:r>
          </w:p>
        </w:tc>
        <w:tc>
          <w:tcPr>
            <w:tcW w:w="2320" w:type="dxa"/>
            <w:tcBorders>
              <w:top w:val="nil"/>
              <w:left w:val="nil"/>
              <w:bottom w:val="single" w:sz="4" w:space="0" w:color="auto"/>
              <w:right w:val="nil"/>
            </w:tcBorders>
            <w:shd w:val="clear" w:color="auto" w:fill="auto"/>
            <w:noWrap/>
            <w:vAlign w:val="center"/>
            <w:hideMark/>
          </w:tcPr>
          <w:p w14:paraId="410537F7" w14:textId="77777777" w:rsidR="008430BD" w:rsidRPr="00B64E96" w:rsidRDefault="008430BD" w:rsidP="00CF32FA">
            <w:pPr>
              <w:spacing w:line="240" w:lineRule="auto"/>
              <w:jc w:val="left"/>
            </w:pPr>
            <w:r w:rsidRPr="00B64E96">
              <w:t>Svitavy</w:t>
            </w:r>
          </w:p>
        </w:tc>
        <w:tc>
          <w:tcPr>
            <w:tcW w:w="1060" w:type="dxa"/>
            <w:tcBorders>
              <w:top w:val="nil"/>
              <w:left w:val="nil"/>
              <w:bottom w:val="single" w:sz="4" w:space="0" w:color="auto"/>
              <w:right w:val="nil"/>
            </w:tcBorders>
            <w:shd w:val="clear" w:color="auto" w:fill="auto"/>
            <w:noWrap/>
            <w:vAlign w:val="center"/>
            <w:hideMark/>
          </w:tcPr>
          <w:p w14:paraId="0040E8C2" w14:textId="77777777" w:rsidR="008430BD" w:rsidRPr="00B64E96" w:rsidRDefault="008430BD" w:rsidP="00CF32FA">
            <w:pPr>
              <w:spacing w:line="240" w:lineRule="auto"/>
              <w:jc w:val="center"/>
            </w:pPr>
            <w:r w:rsidRPr="00B64E96">
              <w:t>SY</w:t>
            </w:r>
          </w:p>
        </w:tc>
      </w:tr>
      <w:tr w:rsidR="00B64E96" w:rsidRPr="00B64E96" w14:paraId="10B716CD"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2F9B9E4" w14:textId="77777777" w:rsidR="008430BD" w:rsidRPr="00B64E96" w:rsidRDefault="008430BD" w:rsidP="00CF32FA">
            <w:pPr>
              <w:spacing w:line="240" w:lineRule="auto"/>
              <w:jc w:val="left"/>
            </w:pPr>
            <w:r w:rsidRPr="00B64E96">
              <w:t>Kroměříž</w:t>
            </w:r>
          </w:p>
        </w:tc>
        <w:tc>
          <w:tcPr>
            <w:tcW w:w="1060" w:type="dxa"/>
            <w:tcBorders>
              <w:top w:val="nil"/>
              <w:left w:val="nil"/>
              <w:bottom w:val="single" w:sz="4" w:space="0" w:color="auto"/>
              <w:right w:val="single" w:sz="4" w:space="0" w:color="auto"/>
            </w:tcBorders>
            <w:shd w:val="clear" w:color="auto" w:fill="auto"/>
            <w:noWrap/>
            <w:vAlign w:val="center"/>
            <w:hideMark/>
          </w:tcPr>
          <w:p w14:paraId="215D40A3" w14:textId="77777777" w:rsidR="008430BD" w:rsidRPr="00B64E96" w:rsidRDefault="008430BD" w:rsidP="00CF32FA">
            <w:pPr>
              <w:spacing w:line="240" w:lineRule="auto"/>
              <w:jc w:val="center"/>
            </w:pPr>
            <w:r w:rsidRPr="00B64E96">
              <w:t>KM</w:t>
            </w:r>
          </w:p>
        </w:tc>
        <w:tc>
          <w:tcPr>
            <w:tcW w:w="2320" w:type="dxa"/>
            <w:tcBorders>
              <w:top w:val="nil"/>
              <w:left w:val="nil"/>
              <w:bottom w:val="single" w:sz="4" w:space="0" w:color="auto"/>
              <w:right w:val="nil"/>
            </w:tcBorders>
            <w:shd w:val="clear" w:color="auto" w:fill="auto"/>
            <w:noWrap/>
            <w:vAlign w:val="center"/>
            <w:hideMark/>
          </w:tcPr>
          <w:p w14:paraId="11857AC5" w14:textId="77777777" w:rsidR="008430BD" w:rsidRPr="00B64E96" w:rsidRDefault="008430BD" w:rsidP="00CF32FA">
            <w:pPr>
              <w:spacing w:line="240" w:lineRule="auto"/>
              <w:jc w:val="left"/>
            </w:pPr>
            <w:r w:rsidRPr="00B64E96">
              <w:t>Šumperk</w:t>
            </w:r>
          </w:p>
        </w:tc>
        <w:tc>
          <w:tcPr>
            <w:tcW w:w="1060" w:type="dxa"/>
            <w:tcBorders>
              <w:top w:val="nil"/>
              <w:left w:val="nil"/>
              <w:bottom w:val="single" w:sz="4" w:space="0" w:color="auto"/>
              <w:right w:val="nil"/>
            </w:tcBorders>
            <w:shd w:val="clear" w:color="auto" w:fill="auto"/>
            <w:noWrap/>
            <w:vAlign w:val="center"/>
            <w:hideMark/>
          </w:tcPr>
          <w:p w14:paraId="48C38AF8" w14:textId="77777777" w:rsidR="008430BD" w:rsidRPr="00B64E96" w:rsidRDefault="008430BD" w:rsidP="00CF32FA">
            <w:pPr>
              <w:spacing w:line="240" w:lineRule="auto"/>
              <w:jc w:val="center"/>
            </w:pPr>
            <w:r w:rsidRPr="00B64E96">
              <w:t>SU</w:t>
            </w:r>
          </w:p>
        </w:tc>
      </w:tr>
      <w:tr w:rsidR="00B64E96" w:rsidRPr="00B64E96" w14:paraId="2D86CC2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AF26D9E" w14:textId="77777777" w:rsidR="008430BD" w:rsidRPr="00B64E96" w:rsidRDefault="008430BD" w:rsidP="00CF32FA">
            <w:pPr>
              <w:spacing w:line="240" w:lineRule="auto"/>
              <w:jc w:val="left"/>
            </w:pPr>
            <w:r w:rsidRPr="00B64E96">
              <w:t>Kutná Hora</w:t>
            </w:r>
          </w:p>
        </w:tc>
        <w:tc>
          <w:tcPr>
            <w:tcW w:w="1060" w:type="dxa"/>
            <w:tcBorders>
              <w:top w:val="nil"/>
              <w:left w:val="nil"/>
              <w:bottom w:val="single" w:sz="4" w:space="0" w:color="auto"/>
              <w:right w:val="single" w:sz="4" w:space="0" w:color="auto"/>
            </w:tcBorders>
            <w:shd w:val="clear" w:color="auto" w:fill="auto"/>
            <w:noWrap/>
            <w:vAlign w:val="center"/>
            <w:hideMark/>
          </w:tcPr>
          <w:p w14:paraId="21643A9D" w14:textId="77777777" w:rsidR="008430BD" w:rsidRPr="00B64E96" w:rsidRDefault="008430BD" w:rsidP="00CF32FA">
            <w:pPr>
              <w:spacing w:line="240" w:lineRule="auto"/>
              <w:jc w:val="center"/>
            </w:pPr>
            <w:r w:rsidRPr="00B64E96">
              <w:t>KH</w:t>
            </w:r>
          </w:p>
        </w:tc>
        <w:tc>
          <w:tcPr>
            <w:tcW w:w="2320" w:type="dxa"/>
            <w:tcBorders>
              <w:top w:val="nil"/>
              <w:left w:val="nil"/>
              <w:bottom w:val="single" w:sz="4" w:space="0" w:color="auto"/>
              <w:right w:val="nil"/>
            </w:tcBorders>
            <w:shd w:val="clear" w:color="auto" w:fill="auto"/>
            <w:noWrap/>
            <w:vAlign w:val="center"/>
            <w:hideMark/>
          </w:tcPr>
          <w:p w14:paraId="1D296850" w14:textId="77777777" w:rsidR="008430BD" w:rsidRPr="00B64E96" w:rsidRDefault="008430BD" w:rsidP="00CF32FA">
            <w:pPr>
              <w:spacing w:line="240" w:lineRule="auto"/>
              <w:jc w:val="left"/>
            </w:pPr>
            <w:r w:rsidRPr="00B64E96">
              <w:t>Tábor</w:t>
            </w:r>
          </w:p>
        </w:tc>
        <w:tc>
          <w:tcPr>
            <w:tcW w:w="1060" w:type="dxa"/>
            <w:tcBorders>
              <w:top w:val="nil"/>
              <w:left w:val="nil"/>
              <w:bottom w:val="single" w:sz="4" w:space="0" w:color="auto"/>
              <w:right w:val="nil"/>
            </w:tcBorders>
            <w:shd w:val="clear" w:color="auto" w:fill="auto"/>
            <w:noWrap/>
            <w:vAlign w:val="center"/>
            <w:hideMark/>
          </w:tcPr>
          <w:p w14:paraId="58937F48" w14:textId="77777777" w:rsidR="008430BD" w:rsidRPr="00B64E96" w:rsidRDefault="008430BD" w:rsidP="00CF32FA">
            <w:pPr>
              <w:spacing w:line="240" w:lineRule="auto"/>
              <w:jc w:val="center"/>
            </w:pPr>
            <w:r w:rsidRPr="00B64E96">
              <w:t>TA</w:t>
            </w:r>
          </w:p>
        </w:tc>
      </w:tr>
      <w:tr w:rsidR="00B64E96" w:rsidRPr="00B64E96" w14:paraId="01277BA1"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7534D63" w14:textId="77777777" w:rsidR="008430BD" w:rsidRPr="00B64E96" w:rsidRDefault="008430BD" w:rsidP="00CF32FA">
            <w:pPr>
              <w:spacing w:line="240" w:lineRule="auto"/>
              <w:jc w:val="left"/>
            </w:pPr>
            <w:r w:rsidRPr="00B64E96">
              <w:t>Liberec</w:t>
            </w:r>
          </w:p>
        </w:tc>
        <w:tc>
          <w:tcPr>
            <w:tcW w:w="1060" w:type="dxa"/>
            <w:tcBorders>
              <w:top w:val="nil"/>
              <w:left w:val="nil"/>
              <w:bottom w:val="single" w:sz="4" w:space="0" w:color="auto"/>
              <w:right w:val="single" w:sz="4" w:space="0" w:color="auto"/>
            </w:tcBorders>
            <w:shd w:val="clear" w:color="auto" w:fill="auto"/>
            <w:noWrap/>
            <w:vAlign w:val="center"/>
            <w:hideMark/>
          </w:tcPr>
          <w:p w14:paraId="41CC988B" w14:textId="77777777" w:rsidR="008430BD" w:rsidRPr="00B64E96" w:rsidRDefault="008430BD" w:rsidP="00CF32FA">
            <w:pPr>
              <w:spacing w:line="240" w:lineRule="auto"/>
              <w:jc w:val="center"/>
            </w:pPr>
            <w:r w:rsidRPr="00B64E96">
              <w:t>LB</w:t>
            </w:r>
          </w:p>
        </w:tc>
        <w:tc>
          <w:tcPr>
            <w:tcW w:w="2320" w:type="dxa"/>
            <w:tcBorders>
              <w:top w:val="nil"/>
              <w:left w:val="nil"/>
              <w:bottom w:val="single" w:sz="4" w:space="0" w:color="auto"/>
              <w:right w:val="nil"/>
            </w:tcBorders>
            <w:shd w:val="clear" w:color="auto" w:fill="auto"/>
            <w:noWrap/>
            <w:vAlign w:val="center"/>
            <w:hideMark/>
          </w:tcPr>
          <w:p w14:paraId="6104F492" w14:textId="77777777" w:rsidR="008430BD" w:rsidRPr="00B64E96" w:rsidRDefault="008430BD" w:rsidP="00CF32FA">
            <w:pPr>
              <w:spacing w:line="240" w:lineRule="auto"/>
              <w:jc w:val="left"/>
            </w:pPr>
            <w:r w:rsidRPr="00B64E96">
              <w:t>Tachov</w:t>
            </w:r>
          </w:p>
        </w:tc>
        <w:tc>
          <w:tcPr>
            <w:tcW w:w="1060" w:type="dxa"/>
            <w:tcBorders>
              <w:top w:val="nil"/>
              <w:left w:val="nil"/>
              <w:bottom w:val="single" w:sz="4" w:space="0" w:color="auto"/>
              <w:right w:val="nil"/>
            </w:tcBorders>
            <w:shd w:val="clear" w:color="auto" w:fill="auto"/>
            <w:noWrap/>
            <w:vAlign w:val="center"/>
            <w:hideMark/>
          </w:tcPr>
          <w:p w14:paraId="16276A58" w14:textId="77777777" w:rsidR="008430BD" w:rsidRPr="00B64E96" w:rsidRDefault="008430BD" w:rsidP="00CF32FA">
            <w:pPr>
              <w:spacing w:line="240" w:lineRule="auto"/>
              <w:jc w:val="center"/>
            </w:pPr>
            <w:r w:rsidRPr="00B64E96">
              <w:t>TC</w:t>
            </w:r>
          </w:p>
        </w:tc>
      </w:tr>
      <w:tr w:rsidR="00B64E96" w:rsidRPr="00B64E96" w14:paraId="61233D1F"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2BE71CE" w14:textId="77777777" w:rsidR="008430BD" w:rsidRPr="00B64E96" w:rsidRDefault="008430BD" w:rsidP="00CF32FA">
            <w:pPr>
              <w:spacing w:line="240" w:lineRule="auto"/>
              <w:jc w:val="left"/>
            </w:pPr>
            <w:r w:rsidRPr="00B64E96">
              <w:t>Litoměřice</w:t>
            </w:r>
          </w:p>
        </w:tc>
        <w:tc>
          <w:tcPr>
            <w:tcW w:w="1060" w:type="dxa"/>
            <w:tcBorders>
              <w:top w:val="nil"/>
              <w:left w:val="nil"/>
              <w:bottom w:val="single" w:sz="4" w:space="0" w:color="auto"/>
              <w:right w:val="single" w:sz="4" w:space="0" w:color="auto"/>
            </w:tcBorders>
            <w:shd w:val="clear" w:color="auto" w:fill="auto"/>
            <w:noWrap/>
            <w:vAlign w:val="center"/>
            <w:hideMark/>
          </w:tcPr>
          <w:p w14:paraId="3F20CD05" w14:textId="77777777" w:rsidR="008430BD" w:rsidRPr="00B64E96" w:rsidRDefault="008430BD" w:rsidP="00CF32FA">
            <w:pPr>
              <w:spacing w:line="240" w:lineRule="auto"/>
              <w:jc w:val="center"/>
            </w:pPr>
            <w:r w:rsidRPr="00B64E96">
              <w:t>LT</w:t>
            </w:r>
          </w:p>
        </w:tc>
        <w:tc>
          <w:tcPr>
            <w:tcW w:w="2320" w:type="dxa"/>
            <w:tcBorders>
              <w:top w:val="nil"/>
              <w:left w:val="nil"/>
              <w:bottom w:val="single" w:sz="4" w:space="0" w:color="auto"/>
              <w:right w:val="nil"/>
            </w:tcBorders>
            <w:shd w:val="clear" w:color="auto" w:fill="auto"/>
            <w:noWrap/>
            <w:vAlign w:val="center"/>
            <w:hideMark/>
          </w:tcPr>
          <w:p w14:paraId="68660E4F" w14:textId="77777777" w:rsidR="008430BD" w:rsidRPr="00B64E96" w:rsidRDefault="008430BD" w:rsidP="00CF32FA">
            <w:pPr>
              <w:spacing w:line="240" w:lineRule="auto"/>
              <w:jc w:val="left"/>
            </w:pPr>
            <w:r w:rsidRPr="00B64E96">
              <w:t>Teplice</w:t>
            </w:r>
          </w:p>
        </w:tc>
        <w:tc>
          <w:tcPr>
            <w:tcW w:w="1060" w:type="dxa"/>
            <w:tcBorders>
              <w:top w:val="nil"/>
              <w:left w:val="nil"/>
              <w:bottom w:val="single" w:sz="4" w:space="0" w:color="auto"/>
              <w:right w:val="nil"/>
            </w:tcBorders>
            <w:shd w:val="clear" w:color="auto" w:fill="auto"/>
            <w:noWrap/>
            <w:vAlign w:val="center"/>
            <w:hideMark/>
          </w:tcPr>
          <w:p w14:paraId="2E3FD035" w14:textId="77777777" w:rsidR="008430BD" w:rsidRPr="00B64E96" w:rsidRDefault="008430BD" w:rsidP="00CF32FA">
            <w:pPr>
              <w:spacing w:line="240" w:lineRule="auto"/>
              <w:jc w:val="center"/>
            </w:pPr>
            <w:r w:rsidRPr="00B64E96">
              <w:t>TP</w:t>
            </w:r>
          </w:p>
        </w:tc>
      </w:tr>
      <w:tr w:rsidR="00B64E96" w:rsidRPr="00B64E96" w14:paraId="24845FA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FECAD20" w14:textId="77777777" w:rsidR="008430BD" w:rsidRPr="00B64E96" w:rsidRDefault="008430BD" w:rsidP="00CF32FA">
            <w:pPr>
              <w:spacing w:line="240" w:lineRule="auto"/>
              <w:jc w:val="left"/>
            </w:pPr>
            <w:r w:rsidRPr="00B64E96">
              <w:t>Louny</w:t>
            </w:r>
          </w:p>
        </w:tc>
        <w:tc>
          <w:tcPr>
            <w:tcW w:w="1060" w:type="dxa"/>
            <w:tcBorders>
              <w:top w:val="nil"/>
              <w:left w:val="nil"/>
              <w:bottom w:val="single" w:sz="4" w:space="0" w:color="auto"/>
              <w:right w:val="single" w:sz="4" w:space="0" w:color="auto"/>
            </w:tcBorders>
            <w:shd w:val="clear" w:color="auto" w:fill="auto"/>
            <w:noWrap/>
            <w:vAlign w:val="center"/>
            <w:hideMark/>
          </w:tcPr>
          <w:p w14:paraId="55BA5674" w14:textId="77777777" w:rsidR="008430BD" w:rsidRPr="00B64E96" w:rsidRDefault="008430BD" w:rsidP="00CF32FA">
            <w:pPr>
              <w:spacing w:line="240" w:lineRule="auto"/>
              <w:jc w:val="center"/>
            </w:pPr>
            <w:r w:rsidRPr="00B64E96">
              <w:t>LN</w:t>
            </w:r>
          </w:p>
        </w:tc>
        <w:tc>
          <w:tcPr>
            <w:tcW w:w="2320" w:type="dxa"/>
            <w:tcBorders>
              <w:top w:val="nil"/>
              <w:left w:val="nil"/>
              <w:bottom w:val="single" w:sz="4" w:space="0" w:color="auto"/>
              <w:right w:val="nil"/>
            </w:tcBorders>
            <w:shd w:val="clear" w:color="auto" w:fill="auto"/>
            <w:noWrap/>
            <w:vAlign w:val="center"/>
            <w:hideMark/>
          </w:tcPr>
          <w:p w14:paraId="689371F6" w14:textId="77777777" w:rsidR="008430BD" w:rsidRPr="00B64E96" w:rsidRDefault="008430BD" w:rsidP="00CF32FA">
            <w:pPr>
              <w:spacing w:line="240" w:lineRule="auto"/>
              <w:jc w:val="left"/>
            </w:pPr>
            <w:r w:rsidRPr="00B64E96">
              <w:t>Trutnov</w:t>
            </w:r>
          </w:p>
        </w:tc>
        <w:tc>
          <w:tcPr>
            <w:tcW w:w="1060" w:type="dxa"/>
            <w:tcBorders>
              <w:top w:val="nil"/>
              <w:left w:val="nil"/>
              <w:bottom w:val="single" w:sz="4" w:space="0" w:color="auto"/>
              <w:right w:val="nil"/>
            </w:tcBorders>
            <w:shd w:val="clear" w:color="auto" w:fill="auto"/>
            <w:noWrap/>
            <w:vAlign w:val="center"/>
            <w:hideMark/>
          </w:tcPr>
          <w:p w14:paraId="7B87D1B1" w14:textId="77777777" w:rsidR="008430BD" w:rsidRPr="00B64E96" w:rsidRDefault="008430BD" w:rsidP="00CF32FA">
            <w:pPr>
              <w:spacing w:line="240" w:lineRule="auto"/>
              <w:jc w:val="center"/>
            </w:pPr>
            <w:r w:rsidRPr="00B64E96">
              <w:t>TU</w:t>
            </w:r>
          </w:p>
        </w:tc>
      </w:tr>
      <w:tr w:rsidR="00B64E96" w:rsidRPr="00B64E96" w14:paraId="4EE20BF6"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05562FF6" w14:textId="77777777" w:rsidR="008430BD" w:rsidRPr="00B64E96" w:rsidRDefault="008430BD" w:rsidP="00CF32FA">
            <w:pPr>
              <w:spacing w:line="240" w:lineRule="auto"/>
              <w:jc w:val="left"/>
            </w:pPr>
            <w:r w:rsidRPr="00B64E96">
              <w:t>Mělník</w:t>
            </w:r>
          </w:p>
        </w:tc>
        <w:tc>
          <w:tcPr>
            <w:tcW w:w="1060" w:type="dxa"/>
            <w:tcBorders>
              <w:top w:val="nil"/>
              <w:left w:val="nil"/>
              <w:bottom w:val="single" w:sz="4" w:space="0" w:color="auto"/>
              <w:right w:val="single" w:sz="4" w:space="0" w:color="auto"/>
            </w:tcBorders>
            <w:shd w:val="clear" w:color="auto" w:fill="auto"/>
            <w:noWrap/>
            <w:vAlign w:val="center"/>
            <w:hideMark/>
          </w:tcPr>
          <w:p w14:paraId="567A9CE0" w14:textId="77777777" w:rsidR="008430BD" w:rsidRPr="00B64E96" w:rsidRDefault="008430BD" w:rsidP="00CF32FA">
            <w:pPr>
              <w:spacing w:line="240" w:lineRule="auto"/>
              <w:jc w:val="center"/>
            </w:pPr>
            <w:r w:rsidRPr="00B64E96">
              <w:t>ME</w:t>
            </w:r>
          </w:p>
        </w:tc>
        <w:tc>
          <w:tcPr>
            <w:tcW w:w="2320" w:type="dxa"/>
            <w:tcBorders>
              <w:top w:val="nil"/>
              <w:left w:val="nil"/>
              <w:bottom w:val="single" w:sz="4" w:space="0" w:color="auto"/>
              <w:right w:val="nil"/>
            </w:tcBorders>
            <w:shd w:val="clear" w:color="auto" w:fill="auto"/>
            <w:noWrap/>
            <w:vAlign w:val="center"/>
            <w:hideMark/>
          </w:tcPr>
          <w:p w14:paraId="38E1132B" w14:textId="77777777" w:rsidR="008430BD" w:rsidRPr="00B64E96" w:rsidRDefault="008430BD" w:rsidP="00CF32FA">
            <w:pPr>
              <w:spacing w:line="240" w:lineRule="auto"/>
              <w:jc w:val="left"/>
            </w:pPr>
            <w:r w:rsidRPr="00B64E96">
              <w:t>Třebíč</w:t>
            </w:r>
          </w:p>
        </w:tc>
        <w:tc>
          <w:tcPr>
            <w:tcW w:w="1060" w:type="dxa"/>
            <w:tcBorders>
              <w:top w:val="nil"/>
              <w:left w:val="nil"/>
              <w:bottom w:val="single" w:sz="4" w:space="0" w:color="auto"/>
              <w:right w:val="nil"/>
            </w:tcBorders>
            <w:shd w:val="clear" w:color="auto" w:fill="auto"/>
            <w:noWrap/>
            <w:vAlign w:val="center"/>
            <w:hideMark/>
          </w:tcPr>
          <w:p w14:paraId="2DA931A3" w14:textId="77777777" w:rsidR="008430BD" w:rsidRPr="00B64E96" w:rsidRDefault="008430BD" w:rsidP="00CF32FA">
            <w:pPr>
              <w:spacing w:line="240" w:lineRule="auto"/>
              <w:jc w:val="center"/>
            </w:pPr>
            <w:r w:rsidRPr="00B64E96">
              <w:t>TR</w:t>
            </w:r>
          </w:p>
        </w:tc>
      </w:tr>
      <w:tr w:rsidR="00B64E96" w:rsidRPr="00B64E96" w14:paraId="0FC29413"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0F1BCB9" w14:textId="77777777" w:rsidR="008430BD" w:rsidRPr="00B64E96" w:rsidRDefault="008430BD" w:rsidP="00CF32FA">
            <w:pPr>
              <w:spacing w:line="240" w:lineRule="auto"/>
              <w:jc w:val="left"/>
            </w:pPr>
            <w:r w:rsidRPr="00B64E96">
              <w:t>Mladá Boleslav</w:t>
            </w:r>
          </w:p>
        </w:tc>
        <w:tc>
          <w:tcPr>
            <w:tcW w:w="1060" w:type="dxa"/>
            <w:tcBorders>
              <w:top w:val="nil"/>
              <w:left w:val="nil"/>
              <w:bottom w:val="single" w:sz="4" w:space="0" w:color="auto"/>
              <w:right w:val="single" w:sz="4" w:space="0" w:color="auto"/>
            </w:tcBorders>
            <w:shd w:val="clear" w:color="auto" w:fill="auto"/>
            <w:noWrap/>
            <w:vAlign w:val="center"/>
            <w:hideMark/>
          </w:tcPr>
          <w:p w14:paraId="64E1F5AC" w14:textId="77777777" w:rsidR="008430BD" w:rsidRPr="00B64E96" w:rsidRDefault="008430BD" w:rsidP="00CF32FA">
            <w:pPr>
              <w:spacing w:line="240" w:lineRule="auto"/>
              <w:jc w:val="center"/>
            </w:pPr>
            <w:r w:rsidRPr="00B64E96">
              <w:t>MB</w:t>
            </w:r>
          </w:p>
        </w:tc>
        <w:tc>
          <w:tcPr>
            <w:tcW w:w="2320" w:type="dxa"/>
            <w:tcBorders>
              <w:top w:val="nil"/>
              <w:left w:val="nil"/>
              <w:bottom w:val="single" w:sz="4" w:space="0" w:color="auto"/>
              <w:right w:val="nil"/>
            </w:tcBorders>
            <w:shd w:val="clear" w:color="auto" w:fill="auto"/>
            <w:noWrap/>
            <w:vAlign w:val="center"/>
            <w:hideMark/>
          </w:tcPr>
          <w:p w14:paraId="4B9AB9F9" w14:textId="77777777" w:rsidR="008430BD" w:rsidRPr="00B64E96" w:rsidRDefault="008430BD" w:rsidP="00CF32FA">
            <w:pPr>
              <w:spacing w:line="240" w:lineRule="auto"/>
              <w:jc w:val="left"/>
            </w:pPr>
            <w:r w:rsidRPr="00B64E96">
              <w:t>Uherské Hradiště</w:t>
            </w:r>
          </w:p>
        </w:tc>
        <w:tc>
          <w:tcPr>
            <w:tcW w:w="1060" w:type="dxa"/>
            <w:tcBorders>
              <w:top w:val="nil"/>
              <w:left w:val="nil"/>
              <w:bottom w:val="single" w:sz="4" w:space="0" w:color="auto"/>
              <w:right w:val="nil"/>
            </w:tcBorders>
            <w:shd w:val="clear" w:color="auto" w:fill="auto"/>
            <w:noWrap/>
            <w:vAlign w:val="center"/>
            <w:hideMark/>
          </w:tcPr>
          <w:p w14:paraId="09DD7448" w14:textId="77777777" w:rsidR="008430BD" w:rsidRPr="00B64E96" w:rsidRDefault="008430BD" w:rsidP="00CF32FA">
            <w:pPr>
              <w:spacing w:line="240" w:lineRule="auto"/>
              <w:jc w:val="center"/>
            </w:pPr>
            <w:r w:rsidRPr="00B64E96">
              <w:t>UH</w:t>
            </w:r>
          </w:p>
        </w:tc>
      </w:tr>
      <w:tr w:rsidR="00B64E96" w:rsidRPr="00B64E96" w14:paraId="310D41E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36B74CEF" w14:textId="77777777" w:rsidR="008430BD" w:rsidRPr="00B64E96" w:rsidRDefault="008430BD" w:rsidP="00CF32FA">
            <w:pPr>
              <w:spacing w:line="240" w:lineRule="auto"/>
              <w:jc w:val="left"/>
            </w:pPr>
            <w:r w:rsidRPr="00B64E96">
              <w:t>Most</w:t>
            </w:r>
          </w:p>
        </w:tc>
        <w:tc>
          <w:tcPr>
            <w:tcW w:w="1060" w:type="dxa"/>
            <w:tcBorders>
              <w:top w:val="nil"/>
              <w:left w:val="nil"/>
              <w:bottom w:val="single" w:sz="4" w:space="0" w:color="auto"/>
              <w:right w:val="single" w:sz="4" w:space="0" w:color="auto"/>
            </w:tcBorders>
            <w:shd w:val="clear" w:color="auto" w:fill="auto"/>
            <w:noWrap/>
            <w:vAlign w:val="center"/>
            <w:hideMark/>
          </w:tcPr>
          <w:p w14:paraId="310F30DC" w14:textId="77777777" w:rsidR="008430BD" w:rsidRPr="00B64E96" w:rsidRDefault="008430BD" w:rsidP="00CF32FA">
            <w:pPr>
              <w:spacing w:line="240" w:lineRule="auto"/>
              <w:jc w:val="center"/>
            </w:pPr>
            <w:r w:rsidRPr="00B64E96">
              <w:t>MO</w:t>
            </w:r>
          </w:p>
        </w:tc>
        <w:tc>
          <w:tcPr>
            <w:tcW w:w="2320" w:type="dxa"/>
            <w:tcBorders>
              <w:top w:val="nil"/>
              <w:left w:val="nil"/>
              <w:bottom w:val="single" w:sz="4" w:space="0" w:color="auto"/>
              <w:right w:val="nil"/>
            </w:tcBorders>
            <w:shd w:val="clear" w:color="auto" w:fill="auto"/>
            <w:noWrap/>
            <w:vAlign w:val="center"/>
            <w:hideMark/>
          </w:tcPr>
          <w:p w14:paraId="2ED23F11" w14:textId="77777777" w:rsidR="008430BD" w:rsidRPr="00B64E96" w:rsidRDefault="008430BD" w:rsidP="00CF32FA">
            <w:pPr>
              <w:spacing w:line="240" w:lineRule="auto"/>
              <w:jc w:val="left"/>
            </w:pPr>
            <w:r w:rsidRPr="00B64E96">
              <w:t>Ústí nad Labem</w:t>
            </w:r>
          </w:p>
        </w:tc>
        <w:tc>
          <w:tcPr>
            <w:tcW w:w="1060" w:type="dxa"/>
            <w:tcBorders>
              <w:top w:val="nil"/>
              <w:left w:val="nil"/>
              <w:bottom w:val="single" w:sz="4" w:space="0" w:color="auto"/>
              <w:right w:val="nil"/>
            </w:tcBorders>
            <w:shd w:val="clear" w:color="auto" w:fill="auto"/>
            <w:noWrap/>
            <w:vAlign w:val="center"/>
            <w:hideMark/>
          </w:tcPr>
          <w:p w14:paraId="52CA2C2B" w14:textId="77777777" w:rsidR="008430BD" w:rsidRPr="00B64E96" w:rsidRDefault="008430BD" w:rsidP="00CF32FA">
            <w:pPr>
              <w:spacing w:line="240" w:lineRule="auto"/>
              <w:jc w:val="center"/>
            </w:pPr>
            <w:r w:rsidRPr="00B64E96">
              <w:t>UL</w:t>
            </w:r>
          </w:p>
        </w:tc>
      </w:tr>
      <w:tr w:rsidR="00B64E96" w:rsidRPr="00B64E96" w14:paraId="21C66E2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64A6951B" w14:textId="77777777" w:rsidR="008430BD" w:rsidRPr="00B64E96" w:rsidRDefault="008430BD" w:rsidP="00CF32FA">
            <w:pPr>
              <w:spacing w:line="240" w:lineRule="auto"/>
              <w:jc w:val="left"/>
            </w:pPr>
            <w:r w:rsidRPr="00B64E96">
              <w:t>Náchod</w:t>
            </w:r>
          </w:p>
        </w:tc>
        <w:tc>
          <w:tcPr>
            <w:tcW w:w="1060" w:type="dxa"/>
            <w:tcBorders>
              <w:top w:val="nil"/>
              <w:left w:val="nil"/>
              <w:bottom w:val="single" w:sz="4" w:space="0" w:color="auto"/>
              <w:right w:val="single" w:sz="4" w:space="0" w:color="auto"/>
            </w:tcBorders>
            <w:shd w:val="clear" w:color="auto" w:fill="auto"/>
            <w:noWrap/>
            <w:vAlign w:val="center"/>
            <w:hideMark/>
          </w:tcPr>
          <w:p w14:paraId="65B32A9C" w14:textId="77777777" w:rsidR="008430BD" w:rsidRPr="00B64E96" w:rsidRDefault="008430BD" w:rsidP="00CF32FA">
            <w:pPr>
              <w:spacing w:line="240" w:lineRule="auto"/>
              <w:jc w:val="center"/>
            </w:pPr>
            <w:r w:rsidRPr="00B64E96">
              <w:t>NA</w:t>
            </w:r>
          </w:p>
        </w:tc>
        <w:tc>
          <w:tcPr>
            <w:tcW w:w="2320" w:type="dxa"/>
            <w:tcBorders>
              <w:top w:val="nil"/>
              <w:left w:val="nil"/>
              <w:bottom w:val="single" w:sz="4" w:space="0" w:color="auto"/>
              <w:right w:val="nil"/>
            </w:tcBorders>
            <w:shd w:val="clear" w:color="auto" w:fill="auto"/>
            <w:noWrap/>
            <w:vAlign w:val="center"/>
            <w:hideMark/>
          </w:tcPr>
          <w:p w14:paraId="2576A1E7" w14:textId="77777777" w:rsidR="008430BD" w:rsidRPr="00B64E96" w:rsidRDefault="008430BD" w:rsidP="00CF32FA">
            <w:pPr>
              <w:spacing w:line="240" w:lineRule="auto"/>
              <w:jc w:val="left"/>
            </w:pPr>
            <w:r w:rsidRPr="00B64E96">
              <w:t>Ústí nad Orlicí</w:t>
            </w:r>
          </w:p>
        </w:tc>
        <w:tc>
          <w:tcPr>
            <w:tcW w:w="1060" w:type="dxa"/>
            <w:tcBorders>
              <w:top w:val="nil"/>
              <w:left w:val="nil"/>
              <w:bottom w:val="single" w:sz="4" w:space="0" w:color="auto"/>
              <w:right w:val="nil"/>
            </w:tcBorders>
            <w:shd w:val="clear" w:color="auto" w:fill="auto"/>
            <w:noWrap/>
            <w:vAlign w:val="center"/>
            <w:hideMark/>
          </w:tcPr>
          <w:p w14:paraId="532DDEBA" w14:textId="77777777" w:rsidR="008430BD" w:rsidRPr="00B64E96" w:rsidRDefault="008430BD" w:rsidP="00CF32FA">
            <w:pPr>
              <w:spacing w:line="240" w:lineRule="auto"/>
              <w:jc w:val="center"/>
            </w:pPr>
            <w:r w:rsidRPr="00B64E96">
              <w:t>UO</w:t>
            </w:r>
          </w:p>
        </w:tc>
      </w:tr>
      <w:tr w:rsidR="00B64E96" w:rsidRPr="00B64E96" w14:paraId="0922E1C9"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47D5757" w14:textId="77777777" w:rsidR="008430BD" w:rsidRPr="00B64E96" w:rsidRDefault="008430BD" w:rsidP="00CF32FA">
            <w:pPr>
              <w:spacing w:line="240" w:lineRule="auto"/>
              <w:jc w:val="left"/>
            </w:pPr>
            <w:r w:rsidRPr="00B64E96">
              <w:t>Nový Jičín</w:t>
            </w:r>
          </w:p>
        </w:tc>
        <w:tc>
          <w:tcPr>
            <w:tcW w:w="1060" w:type="dxa"/>
            <w:tcBorders>
              <w:top w:val="nil"/>
              <w:left w:val="nil"/>
              <w:bottom w:val="single" w:sz="4" w:space="0" w:color="auto"/>
              <w:right w:val="single" w:sz="4" w:space="0" w:color="auto"/>
            </w:tcBorders>
            <w:shd w:val="clear" w:color="auto" w:fill="auto"/>
            <w:noWrap/>
            <w:vAlign w:val="center"/>
            <w:hideMark/>
          </w:tcPr>
          <w:p w14:paraId="678C77C6" w14:textId="77777777" w:rsidR="008430BD" w:rsidRPr="00B64E96" w:rsidRDefault="008430BD" w:rsidP="00CF32FA">
            <w:pPr>
              <w:spacing w:line="240" w:lineRule="auto"/>
              <w:jc w:val="center"/>
            </w:pPr>
            <w:r w:rsidRPr="00B64E96">
              <w:t>NJ</w:t>
            </w:r>
          </w:p>
        </w:tc>
        <w:tc>
          <w:tcPr>
            <w:tcW w:w="2320" w:type="dxa"/>
            <w:tcBorders>
              <w:top w:val="nil"/>
              <w:left w:val="nil"/>
              <w:bottom w:val="single" w:sz="4" w:space="0" w:color="auto"/>
              <w:right w:val="nil"/>
            </w:tcBorders>
            <w:shd w:val="clear" w:color="auto" w:fill="auto"/>
            <w:noWrap/>
            <w:vAlign w:val="center"/>
            <w:hideMark/>
          </w:tcPr>
          <w:p w14:paraId="12DBD899" w14:textId="77777777" w:rsidR="008430BD" w:rsidRPr="00B64E96" w:rsidRDefault="008430BD" w:rsidP="00CF32FA">
            <w:pPr>
              <w:spacing w:line="240" w:lineRule="auto"/>
              <w:jc w:val="left"/>
            </w:pPr>
            <w:r w:rsidRPr="00B64E96">
              <w:t>Vsetín</w:t>
            </w:r>
          </w:p>
        </w:tc>
        <w:tc>
          <w:tcPr>
            <w:tcW w:w="1060" w:type="dxa"/>
            <w:tcBorders>
              <w:top w:val="nil"/>
              <w:left w:val="nil"/>
              <w:bottom w:val="single" w:sz="4" w:space="0" w:color="auto"/>
              <w:right w:val="nil"/>
            </w:tcBorders>
            <w:shd w:val="clear" w:color="auto" w:fill="auto"/>
            <w:noWrap/>
            <w:vAlign w:val="center"/>
            <w:hideMark/>
          </w:tcPr>
          <w:p w14:paraId="17112E1E" w14:textId="77777777" w:rsidR="008430BD" w:rsidRPr="00B64E96" w:rsidRDefault="008430BD" w:rsidP="00CF32FA">
            <w:pPr>
              <w:spacing w:line="240" w:lineRule="auto"/>
              <w:jc w:val="center"/>
            </w:pPr>
            <w:r w:rsidRPr="00B64E96">
              <w:t>VS</w:t>
            </w:r>
          </w:p>
        </w:tc>
      </w:tr>
      <w:tr w:rsidR="00B64E96" w:rsidRPr="00B64E96" w14:paraId="636C961C"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1A3C87EE" w14:textId="77777777" w:rsidR="008430BD" w:rsidRPr="00B64E96" w:rsidRDefault="008430BD" w:rsidP="00CF32FA">
            <w:pPr>
              <w:spacing w:line="240" w:lineRule="auto"/>
              <w:jc w:val="left"/>
            </w:pPr>
            <w:r w:rsidRPr="00B64E96">
              <w:t>Nymburk</w:t>
            </w:r>
          </w:p>
        </w:tc>
        <w:tc>
          <w:tcPr>
            <w:tcW w:w="1060" w:type="dxa"/>
            <w:tcBorders>
              <w:top w:val="nil"/>
              <w:left w:val="nil"/>
              <w:bottom w:val="single" w:sz="4" w:space="0" w:color="auto"/>
              <w:right w:val="single" w:sz="4" w:space="0" w:color="auto"/>
            </w:tcBorders>
            <w:shd w:val="clear" w:color="auto" w:fill="auto"/>
            <w:noWrap/>
            <w:vAlign w:val="center"/>
            <w:hideMark/>
          </w:tcPr>
          <w:p w14:paraId="1F3779DF" w14:textId="77777777" w:rsidR="008430BD" w:rsidRPr="00B64E96" w:rsidRDefault="008430BD" w:rsidP="00CF32FA">
            <w:pPr>
              <w:spacing w:line="240" w:lineRule="auto"/>
              <w:jc w:val="center"/>
            </w:pPr>
            <w:r w:rsidRPr="00B64E96">
              <w:t>NB</w:t>
            </w:r>
          </w:p>
        </w:tc>
        <w:tc>
          <w:tcPr>
            <w:tcW w:w="2320" w:type="dxa"/>
            <w:tcBorders>
              <w:top w:val="nil"/>
              <w:left w:val="nil"/>
              <w:bottom w:val="single" w:sz="4" w:space="0" w:color="auto"/>
              <w:right w:val="nil"/>
            </w:tcBorders>
            <w:shd w:val="clear" w:color="auto" w:fill="auto"/>
            <w:noWrap/>
            <w:vAlign w:val="center"/>
            <w:hideMark/>
          </w:tcPr>
          <w:p w14:paraId="2E4B33A2" w14:textId="77777777" w:rsidR="008430BD" w:rsidRPr="00B64E96" w:rsidRDefault="008430BD" w:rsidP="00CF32FA">
            <w:pPr>
              <w:spacing w:line="240" w:lineRule="auto"/>
              <w:jc w:val="left"/>
            </w:pPr>
            <w:r w:rsidRPr="00B64E96">
              <w:t>Vyškov</w:t>
            </w:r>
          </w:p>
        </w:tc>
        <w:tc>
          <w:tcPr>
            <w:tcW w:w="1060" w:type="dxa"/>
            <w:tcBorders>
              <w:top w:val="nil"/>
              <w:left w:val="nil"/>
              <w:bottom w:val="single" w:sz="4" w:space="0" w:color="auto"/>
              <w:right w:val="nil"/>
            </w:tcBorders>
            <w:shd w:val="clear" w:color="auto" w:fill="auto"/>
            <w:noWrap/>
            <w:vAlign w:val="center"/>
            <w:hideMark/>
          </w:tcPr>
          <w:p w14:paraId="16089C9B" w14:textId="77777777" w:rsidR="008430BD" w:rsidRPr="00B64E96" w:rsidRDefault="008430BD" w:rsidP="00CF32FA">
            <w:pPr>
              <w:spacing w:line="240" w:lineRule="auto"/>
              <w:jc w:val="center"/>
            </w:pPr>
            <w:r w:rsidRPr="00B64E96">
              <w:t>VY</w:t>
            </w:r>
          </w:p>
        </w:tc>
      </w:tr>
      <w:tr w:rsidR="00B64E96" w:rsidRPr="00B64E96" w14:paraId="5DE121AB"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57C7AC07" w14:textId="77777777" w:rsidR="008430BD" w:rsidRPr="00B64E96" w:rsidRDefault="008430BD" w:rsidP="00CF32FA">
            <w:pPr>
              <w:spacing w:line="240" w:lineRule="auto"/>
              <w:jc w:val="left"/>
            </w:pPr>
            <w:r w:rsidRPr="00B64E96">
              <w:t>Olomouc</w:t>
            </w:r>
          </w:p>
        </w:tc>
        <w:tc>
          <w:tcPr>
            <w:tcW w:w="1060" w:type="dxa"/>
            <w:tcBorders>
              <w:top w:val="nil"/>
              <w:left w:val="nil"/>
              <w:bottom w:val="single" w:sz="4" w:space="0" w:color="auto"/>
              <w:right w:val="single" w:sz="4" w:space="0" w:color="auto"/>
            </w:tcBorders>
            <w:shd w:val="clear" w:color="auto" w:fill="auto"/>
            <w:noWrap/>
            <w:vAlign w:val="center"/>
            <w:hideMark/>
          </w:tcPr>
          <w:p w14:paraId="221F6C0D" w14:textId="77777777" w:rsidR="008430BD" w:rsidRPr="00B64E96" w:rsidRDefault="008430BD" w:rsidP="00CF32FA">
            <w:pPr>
              <w:spacing w:line="240" w:lineRule="auto"/>
              <w:jc w:val="center"/>
            </w:pPr>
            <w:r w:rsidRPr="00B64E96">
              <w:t>OC</w:t>
            </w:r>
          </w:p>
        </w:tc>
        <w:tc>
          <w:tcPr>
            <w:tcW w:w="2320" w:type="dxa"/>
            <w:tcBorders>
              <w:top w:val="nil"/>
              <w:left w:val="nil"/>
              <w:bottom w:val="single" w:sz="4" w:space="0" w:color="auto"/>
              <w:right w:val="nil"/>
            </w:tcBorders>
            <w:shd w:val="clear" w:color="auto" w:fill="auto"/>
            <w:noWrap/>
            <w:vAlign w:val="center"/>
            <w:hideMark/>
          </w:tcPr>
          <w:p w14:paraId="2A80EA98" w14:textId="77777777" w:rsidR="008430BD" w:rsidRPr="00B64E96" w:rsidRDefault="008430BD" w:rsidP="00CF32FA">
            <w:pPr>
              <w:spacing w:line="240" w:lineRule="auto"/>
              <w:jc w:val="left"/>
            </w:pPr>
            <w:r w:rsidRPr="00B64E96">
              <w:t>Zlín</w:t>
            </w:r>
          </w:p>
        </w:tc>
        <w:tc>
          <w:tcPr>
            <w:tcW w:w="1060" w:type="dxa"/>
            <w:tcBorders>
              <w:top w:val="nil"/>
              <w:left w:val="nil"/>
              <w:bottom w:val="single" w:sz="4" w:space="0" w:color="auto"/>
              <w:right w:val="nil"/>
            </w:tcBorders>
            <w:shd w:val="clear" w:color="auto" w:fill="auto"/>
            <w:noWrap/>
            <w:vAlign w:val="center"/>
            <w:hideMark/>
          </w:tcPr>
          <w:p w14:paraId="2EB481B7" w14:textId="77777777" w:rsidR="008430BD" w:rsidRPr="00B64E96" w:rsidRDefault="008430BD" w:rsidP="00CF32FA">
            <w:pPr>
              <w:spacing w:line="240" w:lineRule="auto"/>
              <w:jc w:val="center"/>
            </w:pPr>
            <w:r w:rsidRPr="00B64E96">
              <w:t>ZL</w:t>
            </w:r>
          </w:p>
        </w:tc>
      </w:tr>
      <w:tr w:rsidR="00B64E96" w:rsidRPr="00B64E96" w14:paraId="37AC1FFA" w14:textId="77777777" w:rsidTr="00CF32FA">
        <w:trPr>
          <w:trHeight w:val="285"/>
          <w:jc w:val="center"/>
        </w:trPr>
        <w:tc>
          <w:tcPr>
            <w:tcW w:w="2320" w:type="dxa"/>
            <w:tcBorders>
              <w:top w:val="nil"/>
              <w:left w:val="nil"/>
              <w:bottom w:val="single" w:sz="4" w:space="0" w:color="auto"/>
              <w:right w:val="nil"/>
            </w:tcBorders>
            <w:shd w:val="clear" w:color="auto" w:fill="auto"/>
            <w:noWrap/>
            <w:vAlign w:val="center"/>
            <w:hideMark/>
          </w:tcPr>
          <w:p w14:paraId="20D5954F" w14:textId="77777777" w:rsidR="008430BD" w:rsidRPr="00B64E96" w:rsidRDefault="008430BD" w:rsidP="00CF32FA">
            <w:pPr>
              <w:spacing w:line="240" w:lineRule="auto"/>
              <w:jc w:val="left"/>
            </w:pPr>
            <w:r w:rsidRPr="00B64E96">
              <w:t>Opava</w:t>
            </w:r>
          </w:p>
        </w:tc>
        <w:tc>
          <w:tcPr>
            <w:tcW w:w="1060" w:type="dxa"/>
            <w:tcBorders>
              <w:top w:val="nil"/>
              <w:left w:val="nil"/>
              <w:bottom w:val="single" w:sz="4" w:space="0" w:color="auto"/>
              <w:right w:val="single" w:sz="4" w:space="0" w:color="auto"/>
            </w:tcBorders>
            <w:shd w:val="clear" w:color="auto" w:fill="auto"/>
            <w:noWrap/>
            <w:vAlign w:val="center"/>
            <w:hideMark/>
          </w:tcPr>
          <w:p w14:paraId="3CCDB8AA" w14:textId="77777777" w:rsidR="008430BD" w:rsidRPr="00B64E96" w:rsidRDefault="008430BD" w:rsidP="00CF32FA">
            <w:pPr>
              <w:spacing w:line="240" w:lineRule="auto"/>
              <w:jc w:val="center"/>
            </w:pPr>
            <w:r w:rsidRPr="00B64E96">
              <w:t>OP</w:t>
            </w:r>
          </w:p>
        </w:tc>
        <w:tc>
          <w:tcPr>
            <w:tcW w:w="2320" w:type="dxa"/>
            <w:tcBorders>
              <w:top w:val="nil"/>
              <w:left w:val="nil"/>
              <w:bottom w:val="single" w:sz="4" w:space="0" w:color="auto"/>
              <w:right w:val="nil"/>
            </w:tcBorders>
            <w:shd w:val="clear" w:color="auto" w:fill="auto"/>
            <w:noWrap/>
            <w:vAlign w:val="center"/>
            <w:hideMark/>
          </w:tcPr>
          <w:p w14:paraId="3B3217BE" w14:textId="77777777" w:rsidR="008430BD" w:rsidRPr="00B64E96" w:rsidRDefault="008430BD" w:rsidP="00CF32FA">
            <w:pPr>
              <w:spacing w:line="240" w:lineRule="auto"/>
              <w:jc w:val="left"/>
            </w:pPr>
            <w:r w:rsidRPr="00B64E96">
              <w:t>Znojmo</w:t>
            </w:r>
          </w:p>
        </w:tc>
        <w:tc>
          <w:tcPr>
            <w:tcW w:w="1060" w:type="dxa"/>
            <w:tcBorders>
              <w:top w:val="nil"/>
              <w:left w:val="nil"/>
              <w:bottom w:val="single" w:sz="4" w:space="0" w:color="auto"/>
              <w:right w:val="nil"/>
            </w:tcBorders>
            <w:shd w:val="clear" w:color="auto" w:fill="auto"/>
            <w:noWrap/>
            <w:vAlign w:val="center"/>
            <w:hideMark/>
          </w:tcPr>
          <w:p w14:paraId="0BC5A087" w14:textId="77777777" w:rsidR="008430BD" w:rsidRPr="00B64E96" w:rsidRDefault="008430BD" w:rsidP="00CF32FA">
            <w:pPr>
              <w:spacing w:line="240" w:lineRule="auto"/>
              <w:jc w:val="center"/>
            </w:pPr>
            <w:r w:rsidRPr="00B64E96">
              <w:t>ZN</w:t>
            </w:r>
          </w:p>
        </w:tc>
      </w:tr>
      <w:tr w:rsidR="00B64E96" w:rsidRPr="00B64E96" w14:paraId="4AC7F755" w14:textId="77777777" w:rsidTr="00CF32FA">
        <w:trPr>
          <w:trHeight w:val="285"/>
          <w:jc w:val="center"/>
        </w:trPr>
        <w:tc>
          <w:tcPr>
            <w:tcW w:w="2320" w:type="dxa"/>
            <w:tcBorders>
              <w:top w:val="nil"/>
              <w:left w:val="nil"/>
              <w:bottom w:val="double" w:sz="6" w:space="0" w:color="auto"/>
              <w:right w:val="nil"/>
            </w:tcBorders>
            <w:shd w:val="clear" w:color="auto" w:fill="auto"/>
            <w:noWrap/>
            <w:vAlign w:val="center"/>
            <w:hideMark/>
          </w:tcPr>
          <w:p w14:paraId="615397DB" w14:textId="77777777" w:rsidR="008430BD" w:rsidRPr="00B64E96" w:rsidRDefault="008430BD" w:rsidP="00CF32FA">
            <w:pPr>
              <w:spacing w:line="240" w:lineRule="auto"/>
              <w:jc w:val="left"/>
            </w:pPr>
            <w:r w:rsidRPr="00B64E96">
              <w:t>Ostrava</w:t>
            </w:r>
          </w:p>
        </w:tc>
        <w:tc>
          <w:tcPr>
            <w:tcW w:w="1060" w:type="dxa"/>
            <w:tcBorders>
              <w:top w:val="nil"/>
              <w:left w:val="nil"/>
              <w:bottom w:val="double" w:sz="6" w:space="0" w:color="auto"/>
              <w:right w:val="single" w:sz="4" w:space="0" w:color="auto"/>
            </w:tcBorders>
            <w:shd w:val="clear" w:color="auto" w:fill="auto"/>
            <w:noWrap/>
            <w:vAlign w:val="center"/>
            <w:hideMark/>
          </w:tcPr>
          <w:p w14:paraId="5EF584D3" w14:textId="77777777" w:rsidR="008430BD" w:rsidRPr="00B64E96" w:rsidRDefault="008430BD" w:rsidP="00CF32FA">
            <w:pPr>
              <w:spacing w:line="240" w:lineRule="auto"/>
              <w:jc w:val="center"/>
            </w:pPr>
            <w:r w:rsidRPr="00B64E96">
              <w:t>OS</w:t>
            </w:r>
          </w:p>
        </w:tc>
        <w:tc>
          <w:tcPr>
            <w:tcW w:w="2320" w:type="dxa"/>
            <w:tcBorders>
              <w:top w:val="nil"/>
              <w:left w:val="nil"/>
              <w:bottom w:val="double" w:sz="6" w:space="0" w:color="auto"/>
              <w:right w:val="nil"/>
            </w:tcBorders>
            <w:shd w:val="clear" w:color="auto" w:fill="auto"/>
            <w:noWrap/>
            <w:vAlign w:val="center"/>
            <w:hideMark/>
          </w:tcPr>
          <w:p w14:paraId="0BF56B72" w14:textId="77777777" w:rsidR="008430BD" w:rsidRPr="00B64E96" w:rsidRDefault="008430BD" w:rsidP="00CF32FA">
            <w:pPr>
              <w:spacing w:line="240" w:lineRule="auto"/>
              <w:jc w:val="left"/>
            </w:pPr>
            <w:r w:rsidRPr="00B64E96">
              <w:t>Žďár nad Sázavou</w:t>
            </w:r>
          </w:p>
        </w:tc>
        <w:tc>
          <w:tcPr>
            <w:tcW w:w="1060" w:type="dxa"/>
            <w:tcBorders>
              <w:top w:val="nil"/>
              <w:left w:val="nil"/>
              <w:bottom w:val="double" w:sz="6" w:space="0" w:color="auto"/>
              <w:right w:val="nil"/>
            </w:tcBorders>
            <w:shd w:val="clear" w:color="auto" w:fill="auto"/>
            <w:noWrap/>
            <w:vAlign w:val="center"/>
            <w:hideMark/>
          </w:tcPr>
          <w:p w14:paraId="6127B141" w14:textId="77777777" w:rsidR="008430BD" w:rsidRPr="00B64E96" w:rsidRDefault="008430BD" w:rsidP="00CF32FA">
            <w:pPr>
              <w:spacing w:line="240" w:lineRule="auto"/>
              <w:jc w:val="center"/>
            </w:pPr>
            <w:r w:rsidRPr="00B64E96">
              <w:t>ZR</w:t>
            </w:r>
          </w:p>
        </w:tc>
      </w:tr>
    </w:tbl>
    <w:p w14:paraId="74686738" w14:textId="77777777" w:rsidR="008430BD" w:rsidRPr="00B64E96" w:rsidRDefault="008430BD" w:rsidP="008430BD">
      <w:pPr>
        <w:pStyle w:val="Nadpis2"/>
        <w:ind w:left="578" w:hanging="578"/>
        <w:rPr>
          <w:color w:val="auto"/>
        </w:rPr>
      </w:pPr>
      <w:bookmarkStart w:id="1898" w:name="_Toc487791321"/>
      <w:bookmarkStart w:id="1899" w:name="_Toc106092839"/>
      <w:bookmarkStart w:id="1900" w:name="_Toc169250918"/>
      <w:bookmarkStart w:id="1901" w:name="_Toc174080954"/>
      <w:r w:rsidRPr="00B64E96">
        <w:rPr>
          <w:color w:val="auto"/>
        </w:rPr>
        <w:lastRenderedPageBreak/>
        <w:t>Příloha C – seznam vybraných rejstříků soudů</w:t>
      </w:r>
      <w:bookmarkEnd w:id="1898"/>
      <w:bookmarkEnd w:id="1899"/>
      <w:bookmarkEnd w:id="1900"/>
      <w:bookmarkEnd w:id="1901"/>
    </w:p>
    <w:p w14:paraId="644CCC66" w14:textId="77777777" w:rsidR="008430BD" w:rsidRPr="00B64E96" w:rsidRDefault="008430BD" w:rsidP="008430BD"/>
    <w:tbl>
      <w:tblPr>
        <w:tblW w:w="9100" w:type="dxa"/>
        <w:tblInd w:w="55" w:type="dxa"/>
        <w:tblCellMar>
          <w:left w:w="70" w:type="dxa"/>
          <w:right w:w="70" w:type="dxa"/>
        </w:tblCellMar>
        <w:tblLook w:val="04A0" w:firstRow="1" w:lastRow="0" w:firstColumn="1" w:lastColumn="0" w:noHBand="0" w:noVBand="1"/>
      </w:tblPr>
      <w:tblGrid>
        <w:gridCol w:w="960"/>
        <w:gridCol w:w="8140"/>
      </w:tblGrid>
      <w:tr w:rsidR="00B64E96" w:rsidRPr="00B64E96" w14:paraId="51F7EAB5" w14:textId="77777777" w:rsidTr="00E077F3">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14:paraId="714A4509" w14:textId="77777777" w:rsidR="008430BD" w:rsidRPr="00B64E96" w:rsidRDefault="008430BD" w:rsidP="00E077F3">
            <w:pPr>
              <w:spacing w:line="240" w:lineRule="auto"/>
              <w:jc w:val="left"/>
              <w:rPr>
                <w:rFonts w:eastAsia="Times New Roman"/>
                <w:b/>
                <w:bCs/>
                <w:szCs w:val="24"/>
                <w:lang w:eastAsia="cs-CZ"/>
              </w:rPr>
            </w:pPr>
            <w:bookmarkStart w:id="1902" w:name="_Toc487791322"/>
            <w:r w:rsidRPr="00B64E96">
              <w:rPr>
                <w:rFonts w:eastAsia="Times New Roman"/>
                <w:b/>
                <w:bCs/>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14:paraId="49475E42" w14:textId="77777777" w:rsidR="008430BD" w:rsidRPr="00B64E96" w:rsidRDefault="008430BD" w:rsidP="00E077F3">
            <w:pPr>
              <w:spacing w:line="240" w:lineRule="auto"/>
              <w:jc w:val="left"/>
              <w:rPr>
                <w:rFonts w:eastAsia="Times New Roman"/>
                <w:b/>
                <w:bCs/>
                <w:szCs w:val="24"/>
                <w:lang w:eastAsia="cs-CZ"/>
              </w:rPr>
            </w:pPr>
            <w:r w:rsidRPr="00B64E96">
              <w:rPr>
                <w:rFonts w:eastAsia="Times New Roman"/>
                <w:b/>
                <w:bCs/>
                <w:szCs w:val="24"/>
                <w:lang w:eastAsia="cs-CZ"/>
              </w:rPr>
              <w:t>Popis</w:t>
            </w:r>
          </w:p>
        </w:tc>
      </w:tr>
      <w:tr w:rsidR="00B64E96" w:rsidRPr="00B64E96" w14:paraId="5AAFC9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EF40EB3"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 (KS)</w:t>
            </w:r>
          </w:p>
        </w:tc>
        <w:tc>
          <w:tcPr>
            <w:tcW w:w="8140" w:type="dxa"/>
            <w:tcBorders>
              <w:top w:val="nil"/>
              <w:left w:val="nil"/>
              <w:bottom w:val="single" w:sz="4" w:space="0" w:color="auto"/>
              <w:right w:val="nil"/>
            </w:tcBorders>
            <w:shd w:val="clear" w:color="auto" w:fill="auto"/>
            <w:vAlign w:val="center"/>
            <w:hideMark/>
          </w:tcPr>
          <w:p w14:paraId="63E4C6E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Ostatní návrhy ve věcech správního soudnictví (od roku 2010)</w:t>
            </w:r>
          </w:p>
        </w:tc>
      </w:tr>
      <w:tr w:rsidR="00B64E96" w:rsidRPr="00B64E96" w14:paraId="392C25D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4CBC947"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 (NSS)</w:t>
            </w:r>
          </w:p>
        </w:tc>
        <w:tc>
          <w:tcPr>
            <w:tcW w:w="8140" w:type="dxa"/>
            <w:tcBorders>
              <w:top w:val="nil"/>
              <w:left w:val="nil"/>
              <w:bottom w:val="single" w:sz="4" w:space="0" w:color="auto"/>
              <w:right w:val="nil"/>
            </w:tcBorders>
            <w:shd w:val="clear" w:color="auto" w:fill="auto"/>
            <w:vAlign w:val="center"/>
            <w:hideMark/>
          </w:tcPr>
          <w:p w14:paraId="38F564E3"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Převzatá agenda z vrchních soudů (dříve)</w:t>
            </w:r>
          </w:p>
        </w:tc>
      </w:tr>
      <w:tr w:rsidR="00B64E96" w:rsidRPr="00B64E96" w14:paraId="7625258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DB5817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Ad</w:t>
            </w:r>
          </w:p>
        </w:tc>
        <w:tc>
          <w:tcPr>
            <w:tcW w:w="8140" w:type="dxa"/>
            <w:tcBorders>
              <w:top w:val="nil"/>
              <w:left w:val="nil"/>
              <w:bottom w:val="single" w:sz="4" w:space="0" w:color="auto"/>
              <w:right w:val="nil"/>
            </w:tcBorders>
            <w:shd w:val="clear" w:color="auto" w:fill="auto"/>
            <w:vAlign w:val="center"/>
            <w:hideMark/>
          </w:tcPr>
          <w:p w14:paraId="6734F844"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Správní žaloby ve věcech sociální a důchodové správy (od roku 2010)</w:t>
            </w:r>
          </w:p>
        </w:tc>
      </w:tr>
      <w:tr w:rsidR="00B64E96" w:rsidRPr="00B64E96" w14:paraId="2866C8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DFB00"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Ads</w:t>
            </w:r>
          </w:p>
        </w:tc>
        <w:tc>
          <w:tcPr>
            <w:tcW w:w="8140" w:type="dxa"/>
            <w:tcBorders>
              <w:top w:val="nil"/>
              <w:left w:val="nil"/>
              <w:bottom w:val="single" w:sz="4" w:space="0" w:color="auto"/>
              <w:right w:val="nil"/>
            </w:tcBorders>
            <w:shd w:val="clear" w:color="auto" w:fill="auto"/>
            <w:vAlign w:val="center"/>
            <w:hideMark/>
          </w:tcPr>
          <w:p w14:paraId="3B32D6C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o kasačních stížnostech ve věcech sociální a důchodové správy</w:t>
            </w:r>
          </w:p>
        </w:tc>
      </w:tr>
      <w:tr w:rsidR="00B64E96" w:rsidRPr="00B64E96" w14:paraId="603B0CB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19E9B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Af</w:t>
            </w:r>
          </w:p>
        </w:tc>
        <w:tc>
          <w:tcPr>
            <w:tcW w:w="8140" w:type="dxa"/>
            <w:tcBorders>
              <w:top w:val="nil"/>
              <w:left w:val="nil"/>
              <w:bottom w:val="single" w:sz="4" w:space="0" w:color="auto"/>
              <w:right w:val="nil"/>
            </w:tcBorders>
            <w:shd w:val="clear" w:color="auto" w:fill="auto"/>
            <w:vAlign w:val="center"/>
            <w:hideMark/>
          </w:tcPr>
          <w:p w14:paraId="1F28185B"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Správní žaloby ve věcech finanční správy (od roku 2010)</w:t>
            </w:r>
          </w:p>
        </w:tc>
      </w:tr>
      <w:tr w:rsidR="00B64E96" w:rsidRPr="00B64E96" w14:paraId="72730768"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5464728B"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Afs</w:t>
            </w:r>
          </w:p>
        </w:tc>
        <w:tc>
          <w:tcPr>
            <w:tcW w:w="8140" w:type="dxa"/>
            <w:tcBorders>
              <w:top w:val="nil"/>
              <w:left w:val="nil"/>
              <w:bottom w:val="single" w:sz="4" w:space="0" w:color="auto"/>
              <w:right w:val="nil"/>
            </w:tcBorders>
            <w:shd w:val="clear" w:color="auto" w:fill="auto"/>
            <w:vAlign w:val="center"/>
            <w:hideMark/>
          </w:tcPr>
          <w:p w14:paraId="2C8B2E11"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o kasačních stížnostech ve věcech finanční správy</w:t>
            </w:r>
          </w:p>
        </w:tc>
      </w:tr>
      <w:tr w:rsidR="00B64E96" w:rsidRPr="00B64E96" w14:paraId="3CA49FC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1F01AB1"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Ans</w:t>
            </w:r>
          </w:p>
        </w:tc>
        <w:tc>
          <w:tcPr>
            <w:tcW w:w="8140" w:type="dxa"/>
            <w:tcBorders>
              <w:top w:val="nil"/>
              <w:left w:val="nil"/>
              <w:bottom w:val="single" w:sz="4" w:space="0" w:color="auto"/>
              <w:right w:val="nil"/>
            </w:tcBorders>
            <w:shd w:val="clear" w:color="auto" w:fill="auto"/>
            <w:vAlign w:val="center"/>
            <w:hideMark/>
          </w:tcPr>
          <w:p w14:paraId="333CC028"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o kasačních stížnostech ve věcech ochrany proti nečinnosti správního orgánu (dříve)</w:t>
            </w:r>
          </w:p>
        </w:tc>
      </w:tr>
      <w:tr w:rsidR="00B64E96" w:rsidRPr="00B64E96" w14:paraId="6D3E7187"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292D962"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Aos</w:t>
            </w:r>
          </w:p>
        </w:tc>
        <w:tc>
          <w:tcPr>
            <w:tcW w:w="8140" w:type="dxa"/>
            <w:tcBorders>
              <w:top w:val="nil"/>
              <w:left w:val="nil"/>
              <w:bottom w:val="single" w:sz="4" w:space="0" w:color="auto"/>
              <w:right w:val="nil"/>
            </w:tcBorders>
            <w:shd w:val="clear" w:color="auto" w:fill="auto"/>
            <w:vAlign w:val="center"/>
            <w:hideMark/>
          </w:tcPr>
          <w:p w14:paraId="26AA45A4"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o kasačních stížnostech ve věcech opatření obecné povahy (dříve)</w:t>
            </w:r>
          </w:p>
        </w:tc>
      </w:tr>
      <w:tr w:rsidR="00B64E96" w:rsidRPr="00B64E96" w14:paraId="4A1A288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F9636C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Aps</w:t>
            </w:r>
          </w:p>
        </w:tc>
        <w:tc>
          <w:tcPr>
            <w:tcW w:w="8140" w:type="dxa"/>
            <w:tcBorders>
              <w:top w:val="nil"/>
              <w:left w:val="nil"/>
              <w:bottom w:val="single" w:sz="4" w:space="0" w:color="auto"/>
              <w:right w:val="nil"/>
            </w:tcBorders>
            <w:shd w:val="clear" w:color="auto" w:fill="auto"/>
            <w:vAlign w:val="center"/>
            <w:hideMark/>
          </w:tcPr>
          <w:p w14:paraId="10C0A8D8"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o kasačních stížnostech ve věcech ochrany před nezákonným zásahem, pokynem nebo donucením správního orgánu (dříve)</w:t>
            </w:r>
          </w:p>
        </w:tc>
      </w:tr>
      <w:tr w:rsidR="00B64E96" w:rsidRPr="00B64E96" w14:paraId="6A8BE4D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892B15D"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Ars</w:t>
            </w:r>
          </w:p>
        </w:tc>
        <w:tc>
          <w:tcPr>
            <w:tcW w:w="8140" w:type="dxa"/>
            <w:tcBorders>
              <w:top w:val="nil"/>
              <w:left w:val="nil"/>
              <w:bottom w:val="single" w:sz="4" w:space="0" w:color="auto"/>
              <w:right w:val="nil"/>
            </w:tcBorders>
            <w:shd w:val="clear" w:color="auto" w:fill="auto"/>
            <w:vAlign w:val="center"/>
            <w:hideMark/>
          </w:tcPr>
          <w:p w14:paraId="5EAB3E8F"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o kasačních stížnostech ve věcech krajského a místního referenda, ve věcech dohledu nad hospodařením politických stran a hnutí a ve věcech dohledu nad financováním volebních kampaní politických stran a hnutí</w:t>
            </w:r>
          </w:p>
        </w:tc>
      </w:tr>
      <w:tr w:rsidR="00B64E96" w:rsidRPr="00B64E96" w14:paraId="30FC8F0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D7E83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As</w:t>
            </w:r>
          </w:p>
        </w:tc>
        <w:tc>
          <w:tcPr>
            <w:tcW w:w="8140" w:type="dxa"/>
            <w:tcBorders>
              <w:top w:val="nil"/>
              <w:left w:val="nil"/>
              <w:bottom w:val="single" w:sz="4" w:space="0" w:color="auto"/>
              <w:right w:val="nil"/>
            </w:tcBorders>
            <w:shd w:val="clear" w:color="auto" w:fill="auto"/>
            <w:vAlign w:val="center"/>
            <w:hideMark/>
          </w:tcPr>
          <w:p w14:paraId="5CF4A8CC"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o kasačních stížnostech v ostatních věcech</w:t>
            </w:r>
          </w:p>
        </w:tc>
      </w:tr>
      <w:tr w:rsidR="00B64E96" w:rsidRPr="00B64E96" w14:paraId="219770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6406B443"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Az</w:t>
            </w:r>
          </w:p>
        </w:tc>
        <w:tc>
          <w:tcPr>
            <w:tcW w:w="8140" w:type="dxa"/>
            <w:tcBorders>
              <w:top w:val="nil"/>
              <w:left w:val="nil"/>
              <w:bottom w:val="single" w:sz="4" w:space="0" w:color="auto"/>
              <w:right w:val="nil"/>
            </w:tcBorders>
            <w:shd w:val="clear" w:color="auto" w:fill="auto"/>
            <w:vAlign w:val="center"/>
            <w:hideMark/>
          </w:tcPr>
          <w:p w14:paraId="703E5032"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Správní žaloby ve věcech mezinárodní ochrany</w:t>
            </w:r>
          </w:p>
        </w:tc>
      </w:tr>
      <w:tr w:rsidR="00B64E96" w:rsidRPr="00B64E96" w14:paraId="72782C9F"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9C5715E"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Azs</w:t>
            </w:r>
          </w:p>
        </w:tc>
        <w:tc>
          <w:tcPr>
            <w:tcW w:w="8140" w:type="dxa"/>
            <w:tcBorders>
              <w:top w:val="nil"/>
              <w:left w:val="nil"/>
              <w:bottom w:val="single" w:sz="4" w:space="0" w:color="auto"/>
              <w:right w:val="nil"/>
            </w:tcBorders>
            <w:shd w:val="clear" w:color="auto" w:fill="auto"/>
            <w:vAlign w:val="center"/>
            <w:hideMark/>
          </w:tcPr>
          <w:p w14:paraId="369AFA11"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o kasačních stížnostech ve věcech mezinárodní ochrany a zákona o pobytu cizinců</w:t>
            </w:r>
          </w:p>
        </w:tc>
      </w:tr>
      <w:tr w:rsidR="00B64E96" w:rsidRPr="00B64E96" w14:paraId="644B94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754D6C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C</w:t>
            </w:r>
          </w:p>
        </w:tc>
        <w:tc>
          <w:tcPr>
            <w:tcW w:w="8140" w:type="dxa"/>
            <w:tcBorders>
              <w:top w:val="nil"/>
              <w:left w:val="nil"/>
              <w:bottom w:val="single" w:sz="4" w:space="0" w:color="auto"/>
              <w:right w:val="nil"/>
            </w:tcBorders>
            <w:shd w:val="clear" w:color="auto" w:fill="auto"/>
            <w:vAlign w:val="center"/>
            <w:hideMark/>
          </w:tcPr>
          <w:p w14:paraId="5CC09CC8"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Občanskoprávní věci</w:t>
            </w:r>
          </w:p>
        </w:tc>
      </w:tr>
      <w:tr w:rsidR="00B64E96" w:rsidRPr="00B64E96" w14:paraId="4A1757E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29099A8"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Ca</w:t>
            </w:r>
          </w:p>
        </w:tc>
        <w:tc>
          <w:tcPr>
            <w:tcW w:w="8140" w:type="dxa"/>
            <w:tcBorders>
              <w:top w:val="nil"/>
              <w:left w:val="nil"/>
              <w:bottom w:val="single" w:sz="4" w:space="0" w:color="auto"/>
              <w:right w:val="nil"/>
            </w:tcBorders>
            <w:shd w:val="clear" w:color="auto" w:fill="auto"/>
            <w:vAlign w:val="center"/>
            <w:hideMark/>
          </w:tcPr>
          <w:p w14:paraId="4063A756"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Ostatní návrhy ve věcech správního soudnictví (před rokem 2010)</w:t>
            </w:r>
          </w:p>
        </w:tc>
      </w:tr>
      <w:tr w:rsidR="00B64E96" w:rsidRPr="00B64E96" w14:paraId="0EDE004A"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C93DB3B"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Cad</w:t>
            </w:r>
          </w:p>
        </w:tc>
        <w:tc>
          <w:tcPr>
            <w:tcW w:w="8140" w:type="dxa"/>
            <w:tcBorders>
              <w:top w:val="nil"/>
              <w:left w:val="nil"/>
              <w:bottom w:val="single" w:sz="4" w:space="0" w:color="auto"/>
              <w:right w:val="nil"/>
            </w:tcBorders>
            <w:shd w:val="clear" w:color="auto" w:fill="auto"/>
            <w:vAlign w:val="center"/>
            <w:hideMark/>
          </w:tcPr>
          <w:p w14:paraId="4F4E6DF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Správní žaloby ve věcech sociální a důchodové správy (před rokem 2010)</w:t>
            </w:r>
          </w:p>
        </w:tc>
      </w:tr>
      <w:tr w:rsidR="00B64E96" w:rsidRPr="00B64E96" w14:paraId="6560713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5BDE302"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Cdo</w:t>
            </w:r>
          </w:p>
        </w:tc>
        <w:tc>
          <w:tcPr>
            <w:tcW w:w="8140" w:type="dxa"/>
            <w:tcBorders>
              <w:top w:val="nil"/>
              <w:left w:val="nil"/>
              <w:bottom w:val="single" w:sz="4" w:space="0" w:color="auto"/>
              <w:right w:val="nil"/>
            </w:tcBorders>
            <w:shd w:val="clear" w:color="auto" w:fill="auto"/>
            <w:vAlign w:val="center"/>
            <w:hideMark/>
          </w:tcPr>
          <w:p w14:paraId="10BAB28C"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Dovolání proti rozhodnutím odvolacích soudů ve věcech občanskoprávních a obchodních</w:t>
            </w:r>
          </w:p>
        </w:tc>
      </w:tr>
      <w:tr w:rsidR="00B64E96" w:rsidRPr="00B64E96" w14:paraId="33EC2899"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FE401F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Cm</w:t>
            </w:r>
          </w:p>
        </w:tc>
        <w:tc>
          <w:tcPr>
            <w:tcW w:w="8140" w:type="dxa"/>
            <w:tcBorders>
              <w:top w:val="nil"/>
              <w:left w:val="nil"/>
              <w:bottom w:val="single" w:sz="4" w:space="0" w:color="auto"/>
              <w:right w:val="nil"/>
            </w:tcBorders>
            <w:shd w:val="clear" w:color="auto" w:fill="auto"/>
            <w:vAlign w:val="center"/>
            <w:hideMark/>
          </w:tcPr>
          <w:p w14:paraId="292CBA1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Obchodní věci</w:t>
            </w:r>
          </w:p>
        </w:tc>
      </w:tr>
      <w:tr w:rsidR="00B64E96" w:rsidRPr="00B64E96" w14:paraId="6598BBE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5DE556B"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Cmo</w:t>
            </w:r>
          </w:p>
        </w:tc>
        <w:tc>
          <w:tcPr>
            <w:tcW w:w="8140" w:type="dxa"/>
            <w:tcBorders>
              <w:top w:val="nil"/>
              <w:left w:val="nil"/>
              <w:bottom w:val="single" w:sz="4" w:space="0" w:color="auto"/>
              <w:right w:val="nil"/>
            </w:tcBorders>
            <w:shd w:val="clear" w:color="auto" w:fill="auto"/>
            <w:vAlign w:val="center"/>
            <w:hideMark/>
          </w:tcPr>
          <w:p w14:paraId="3D7FA990"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Odvolací civilní agenda v obchodních věcech</w:t>
            </w:r>
          </w:p>
        </w:tc>
      </w:tr>
      <w:tr w:rsidR="00B64E96" w:rsidRPr="00B64E96" w14:paraId="15DBB48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F6E38EF"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Co</w:t>
            </w:r>
          </w:p>
        </w:tc>
        <w:tc>
          <w:tcPr>
            <w:tcW w:w="8140" w:type="dxa"/>
            <w:tcBorders>
              <w:top w:val="nil"/>
              <w:left w:val="nil"/>
              <w:bottom w:val="single" w:sz="4" w:space="0" w:color="auto"/>
              <w:right w:val="nil"/>
            </w:tcBorders>
            <w:shd w:val="clear" w:color="auto" w:fill="auto"/>
            <w:vAlign w:val="center"/>
            <w:hideMark/>
          </w:tcPr>
          <w:p w14:paraId="328AE764"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Odvolací civilní agenda</w:t>
            </w:r>
          </w:p>
        </w:tc>
      </w:tr>
      <w:tr w:rsidR="00B64E96" w:rsidRPr="00B64E96" w14:paraId="7F71A72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8A89627"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EC (KS)</w:t>
            </w:r>
          </w:p>
        </w:tc>
        <w:tc>
          <w:tcPr>
            <w:tcW w:w="8140" w:type="dxa"/>
            <w:tcBorders>
              <w:top w:val="nil"/>
              <w:left w:val="nil"/>
              <w:bottom w:val="single" w:sz="4" w:space="0" w:color="auto"/>
              <w:right w:val="nil"/>
            </w:tcBorders>
            <w:shd w:val="clear" w:color="auto" w:fill="auto"/>
            <w:vAlign w:val="center"/>
            <w:hideMark/>
          </w:tcPr>
          <w:p w14:paraId="66950F1D"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Převedené věci z rejstříku EPR – občanskoprávní věci</w:t>
            </w:r>
          </w:p>
        </w:tc>
      </w:tr>
      <w:tr w:rsidR="00B64E96" w:rsidRPr="00B64E96" w14:paraId="39E5BB1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6272271"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EC (OS)</w:t>
            </w:r>
          </w:p>
        </w:tc>
        <w:tc>
          <w:tcPr>
            <w:tcW w:w="8140" w:type="dxa"/>
            <w:tcBorders>
              <w:top w:val="nil"/>
              <w:left w:val="nil"/>
              <w:bottom w:val="single" w:sz="4" w:space="0" w:color="auto"/>
              <w:right w:val="nil"/>
            </w:tcBorders>
            <w:shd w:val="clear" w:color="auto" w:fill="auto"/>
            <w:vAlign w:val="center"/>
            <w:hideMark/>
          </w:tcPr>
          <w:p w14:paraId="666132C6"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Návrhy na vydání elektronického platebního rozkazu (před rejstříkem EPR)</w:t>
            </w:r>
          </w:p>
        </w:tc>
      </w:tr>
      <w:tr w:rsidR="00B64E96" w:rsidRPr="00B64E96" w14:paraId="765DE110"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D46F6B6"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ECm</w:t>
            </w:r>
          </w:p>
        </w:tc>
        <w:tc>
          <w:tcPr>
            <w:tcW w:w="8140" w:type="dxa"/>
            <w:tcBorders>
              <w:top w:val="nil"/>
              <w:left w:val="nil"/>
              <w:bottom w:val="single" w:sz="4" w:space="0" w:color="auto"/>
              <w:right w:val="nil"/>
            </w:tcBorders>
            <w:shd w:val="clear" w:color="auto" w:fill="auto"/>
            <w:vAlign w:val="center"/>
            <w:hideMark/>
          </w:tcPr>
          <w:p w14:paraId="6673750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Převedené věci z rejstříku EPR – obchodní věci</w:t>
            </w:r>
          </w:p>
        </w:tc>
      </w:tr>
      <w:tr w:rsidR="00B64E96" w:rsidRPr="00B64E96" w14:paraId="58AD598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A901A40"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EPR</w:t>
            </w:r>
          </w:p>
        </w:tc>
        <w:tc>
          <w:tcPr>
            <w:tcW w:w="8140" w:type="dxa"/>
            <w:tcBorders>
              <w:top w:val="nil"/>
              <w:left w:val="nil"/>
              <w:bottom w:val="single" w:sz="4" w:space="0" w:color="auto"/>
              <w:right w:val="nil"/>
            </w:tcBorders>
            <w:shd w:val="clear" w:color="auto" w:fill="auto"/>
            <w:vAlign w:val="center"/>
            <w:hideMark/>
          </w:tcPr>
          <w:p w14:paraId="554BD168"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Návrhy na vydání elektronického platebního rozkazu</w:t>
            </w:r>
          </w:p>
        </w:tc>
      </w:tr>
      <w:tr w:rsidR="00B64E96" w:rsidRPr="00B64E96" w14:paraId="45C06A6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D5136BD"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EVC</w:t>
            </w:r>
          </w:p>
        </w:tc>
        <w:tc>
          <w:tcPr>
            <w:tcW w:w="8140" w:type="dxa"/>
            <w:tcBorders>
              <w:top w:val="nil"/>
              <w:left w:val="nil"/>
              <w:bottom w:val="single" w:sz="4" w:space="0" w:color="auto"/>
              <w:right w:val="nil"/>
            </w:tcBorders>
            <w:shd w:val="clear" w:color="auto" w:fill="auto"/>
            <w:vAlign w:val="center"/>
            <w:hideMark/>
          </w:tcPr>
          <w:p w14:paraId="7FADB331"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Návrhy na vydání evropského platebního rozkazu</w:t>
            </w:r>
          </w:p>
        </w:tc>
      </w:tr>
      <w:tr w:rsidR="00B64E96" w:rsidRPr="00B64E96" w14:paraId="3A90E755"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BE6775"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EVCm</w:t>
            </w:r>
          </w:p>
        </w:tc>
        <w:tc>
          <w:tcPr>
            <w:tcW w:w="8140" w:type="dxa"/>
            <w:tcBorders>
              <w:top w:val="nil"/>
              <w:left w:val="nil"/>
              <w:bottom w:val="single" w:sz="4" w:space="0" w:color="auto"/>
              <w:right w:val="nil"/>
            </w:tcBorders>
            <w:shd w:val="clear" w:color="auto" w:fill="auto"/>
            <w:vAlign w:val="center"/>
            <w:hideMark/>
          </w:tcPr>
          <w:p w14:paraId="0093A0E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Návrhy na vydání evropského platebního rozkazu v obchodních věcech</w:t>
            </w:r>
          </w:p>
        </w:tc>
      </w:tr>
      <w:tr w:rsidR="00B64E96" w:rsidRPr="00B64E96" w14:paraId="02DEB95C" w14:textId="77777777" w:rsidTr="00E077F3">
        <w:trPr>
          <w:trHeight w:val="340"/>
        </w:trPr>
        <w:tc>
          <w:tcPr>
            <w:tcW w:w="960" w:type="dxa"/>
            <w:tcBorders>
              <w:top w:val="nil"/>
              <w:left w:val="nil"/>
              <w:bottom w:val="single" w:sz="4" w:space="0" w:color="auto"/>
              <w:right w:val="nil"/>
            </w:tcBorders>
            <w:shd w:val="clear" w:color="auto" w:fill="auto"/>
            <w:vAlign w:val="center"/>
          </w:tcPr>
          <w:p w14:paraId="64078CCD"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ICdo</w:t>
            </w:r>
          </w:p>
        </w:tc>
        <w:tc>
          <w:tcPr>
            <w:tcW w:w="8140" w:type="dxa"/>
            <w:tcBorders>
              <w:top w:val="nil"/>
              <w:left w:val="nil"/>
              <w:bottom w:val="single" w:sz="4" w:space="0" w:color="auto"/>
              <w:right w:val="nil"/>
            </w:tcBorders>
            <w:shd w:val="clear" w:color="auto" w:fill="auto"/>
            <w:vAlign w:val="center"/>
          </w:tcPr>
          <w:p w14:paraId="10B174E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Věci předložené Nejvyššímu soudu k rozhodnutí pro incidenční spory vyvolané v průběhu insolvenčního řízení</w:t>
            </w:r>
          </w:p>
        </w:tc>
      </w:tr>
      <w:tr w:rsidR="00B64E96" w:rsidRPr="00B64E96" w14:paraId="5DDBAD7C"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579A011"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ICm</w:t>
            </w:r>
          </w:p>
        </w:tc>
        <w:tc>
          <w:tcPr>
            <w:tcW w:w="8140" w:type="dxa"/>
            <w:tcBorders>
              <w:top w:val="nil"/>
              <w:left w:val="nil"/>
              <w:bottom w:val="single" w:sz="4" w:space="0" w:color="auto"/>
              <w:right w:val="nil"/>
            </w:tcBorders>
            <w:shd w:val="clear" w:color="auto" w:fill="auto"/>
            <w:vAlign w:val="center"/>
            <w:hideMark/>
          </w:tcPr>
          <w:p w14:paraId="15FE7503"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Incidenční spory</w:t>
            </w:r>
          </w:p>
        </w:tc>
      </w:tr>
      <w:tr w:rsidR="00B64E96" w:rsidRPr="00B64E96" w14:paraId="3370897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F9B4D21"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INS</w:t>
            </w:r>
          </w:p>
        </w:tc>
        <w:tc>
          <w:tcPr>
            <w:tcW w:w="8140" w:type="dxa"/>
            <w:tcBorders>
              <w:top w:val="nil"/>
              <w:left w:val="nil"/>
              <w:bottom w:val="single" w:sz="4" w:space="0" w:color="auto"/>
              <w:right w:val="nil"/>
            </w:tcBorders>
            <w:shd w:val="clear" w:color="auto" w:fill="auto"/>
            <w:vAlign w:val="center"/>
            <w:hideMark/>
          </w:tcPr>
          <w:p w14:paraId="13EAD816"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Insolvenční řízení</w:t>
            </w:r>
          </w:p>
        </w:tc>
      </w:tr>
      <w:tr w:rsidR="00B64E96" w:rsidRPr="00B64E96" w14:paraId="642881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F55E93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Kss</w:t>
            </w:r>
          </w:p>
        </w:tc>
        <w:tc>
          <w:tcPr>
            <w:tcW w:w="8140" w:type="dxa"/>
            <w:tcBorders>
              <w:top w:val="nil"/>
              <w:left w:val="nil"/>
              <w:bottom w:val="single" w:sz="4" w:space="0" w:color="auto"/>
              <w:right w:val="nil"/>
            </w:tcBorders>
            <w:shd w:val="clear" w:color="auto" w:fill="auto"/>
            <w:vAlign w:val="center"/>
            <w:hideMark/>
          </w:tcPr>
          <w:p w14:paraId="1DE137DB"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Řízení ve věcech soudců</w:t>
            </w:r>
          </w:p>
        </w:tc>
      </w:tr>
      <w:tr w:rsidR="00B64E96" w:rsidRPr="00B64E96" w14:paraId="2AF8A83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103E81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L</w:t>
            </w:r>
          </w:p>
        </w:tc>
        <w:tc>
          <w:tcPr>
            <w:tcW w:w="8140" w:type="dxa"/>
            <w:tcBorders>
              <w:top w:val="nil"/>
              <w:left w:val="nil"/>
              <w:bottom w:val="single" w:sz="4" w:space="0" w:color="auto"/>
              <w:right w:val="nil"/>
            </w:tcBorders>
            <w:shd w:val="clear" w:color="auto" w:fill="auto"/>
            <w:vAlign w:val="center"/>
            <w:hideMark/>
          </w:tcPr>
          <w:p w14:paraId="0DEBD28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Detenční řízení</w:t>
            </w:r>
          </w:p>
        </w:tc>
      </w:tr>
      <w:tr w:rsidR="00B64E96" w:rsidRPr="00B64E96" w14:paraId="3F7CDAB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205B02AB"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NSČR</w:t>
            </w:r>
          </w:p>
        </w:tc>
        <w:tc>
          <w:tcPr>
            <w:tcW w:w="8140" w:type="dxa"/>
            <w:tcBorders>
              <w:top w:val="nil"/>
              <w:left w:val="nil"/>
              <w:bottom w:val="single" w:sz="4" w:space="0" w:color="auto"/>
              <w:right w:val="nil"/>
            </w:tcBorders>
            <w:shd w:val="clear" w:color="auto" w:fill="auto"/>
            <w:vAlign w:val="center"/>
            <w:hideMark/>
          </w:tcPr>
          <w:p w14:paraId="5E82156D"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Věci předložené Nejvyššímu soudu k rozhodnutí v insolvenčním řízení</w:t>
            </w:r>
          </w:p>
        </w:tc>
      </w:tr>
      <w:tr w:rsidR="00B64E96" w:rsidRPr="00B64E96" w14:paraId="5F65169D"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33E0689E"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lastRenderedPageBreak/>
              <w:t>Odo</w:t>
            </w:r>
          </w:p>
        </w:tc>
        <w:tc>
          <w:tcPr>
            <w:tcW w:w="8140" w:type="dxa"/>
            <w:tcBorders>
              <w:top w:val="nil"/>
              <w:left w:val="nil"/>
              <w:bottom w:val="single" w:sz="4" w:space="0" w:color="auto"/>
              <w:right w:val="nil"/>
            </w:tcBorders>
            <w:shd w:val="clear" w:color="auto" w:fill="auto"/>
            <w:vAlign w:val="center"/>
            <w:hideMark/>
          </w:tcPr>
          <w:p w14:paraId="431A34B7"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Dovolání proti rozhodnutím odvolacích soudů ve věcech obchodních (dříve)</w:t>
            </w:r>
          </w:p>
        </w:tc>
      </w:tr>
      <w:tr w:rsidR="00B64E96" w:rsidRPr="00B64E96" w14:paraId="1266B9E1"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44215F7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P a Nc</w:t>
            </w:r>
          </w:p>
        </w:tc>
        <w:tc>
          <w:tcPr>
            <w:tcW w:w="8140" w:type="dxa"/>
            <w:tcBorders>
              <w:top w:val="nil"/>
              <w:left w:val="nil"/>
              <w:bottom w:val="single" w:sz="4" w:space="0" w:color="auto"/>
              <w:right w:val="nil"/>
            </w:tcBorders>
            <w:shd w:val="clear" w:color="auto" w:fill="auto"/>
            <w:vAlign w:val="center"/>
            <w:hideMark/>
          </w:tcPr>
          <w:p w14:paraId="4F588803"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Opatrovnické řízení</w:t>
            </w:r>
          </w:p>
        </w:tc>
      </w:tr>
      <w:tr w:rsidR="00B64E96" w:rsidRPr="00B64E96" w14:paraId="115F61A2"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9F5979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w:t>
            </w:r>
          </w:p>
        </w:tc>
        <w:tc>
          <w:tcPr>
            <w:tcW w:w="8140" w:type="dxa"/>
            <w:tcBorders>
              <w:top w:val="nil"/>
              <w:left w:val="nil"/>
              <w:bottom w:val="single" w:sz="4" w:space="0" w:color="auto"/>
              <w:right w:val="nil"/>
            </w:tcBorders>
            <w:shd w:val="clear" w:color="auto" w:fill="auto"/>
            <w:vAlign w:val="center"/>
            <w:hideMark/>
          </w:tcPr>
          <w:p w14:paraId="2DC59E87"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Trestní věci</w:t>
            </w:r>
          </w:p>
        </w:tc>
      </w:tr>
      <w:tr w:rsidR="00B64E96" w:rsidRPr="00B64E96" w14:paraId="4DDB9DAE"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3314D5C"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Tdo</w:t>
            </w:r>
          </w:p>
        </w:tc>
        <w:tc>
          <w:tcPr>
            <w:tcW w:w="8140" w:type="dxa"/>
            <w:tcBorders>
              <w:top w:val="nil"/>
              <w:left w:val="nil"/>
              <w:bottom w:val="single" w:sz="4" w:space="0" w:color="auto"/>
              <w:right w:val="nil"/>
            </w:tcBorders>
            <w:shd w:val="clear" w:color="auto" w:fill="auto"/>
            <w:vAlign w:val="center"/>
            <w:hideMark/>
          </w:tcPr>
          <w:p w14:paraId="65717D2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Dovolání proti rozhodnutím soudů druhého stupně ve věcech trestních</w:t>
            </w:r>
          </w:p>
        </w:tc>
      </w:tr>
      <w:tr w:rsidR="00B64E96" w:rsidRPr="00B64E96" w14:paraId="5B16B456"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7D3D0BDA"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Tm</w:t>
            </w:r>
          </w:p>
        </w:tc>
        <w:tc>
          <w:tcPr>
            <w:tcW w:w="8140" w:type="dxa"/>
            <w:tcBorders>
              <w:top w:val="nil"/>
              <w:left w:val="nil"/>
              <w:bottom w:val="single" w:sz="4" w:space="0" w:color="auto"/>
              <w:right w:val="nil"/>
            </w:tcBorders>
            <w:shd w:val="clear" w:color="auto" w:fill="auto"/>
            <w:vAlign w:val="center"/>
            <w:hideMark/>
          </w:tcPr>
          <w:p w14:paraId="29FC9CC3"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Trestní věci mládeže</w:t>
            </w:r>
          </w:p>
        </w:tc>
      </w:tr>
      <w:tr w:rsidR="00B64E96" w:rsidRPr="00B64E96" w14:paraId="6CDDA904"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11113CBC"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Tmo</w:t>
            </w:r>
          </w:p>
        </w:tc>
        <w:tc>
          <w:tcPr>
            <w:tcW w:w="8140" w:type="dxa"/>
            <w:tcBorders>
              <w:top w:val="nil"/>
              <w:left w:val="nil"/>
              <w:bottom w:val="single" w:sz="4" w:space="0" w:color="auto"/>
              <w:right w:val="nil"/>
            </w:tcBorders>
            <w:shd w:val="clear" w:color="auto" w:fill="auto"/>
            <w:vAlign w:val="center"/>
            <w:hideMark/>
          </w:tcPr>
          <w:p w14:paraId="5D53A494"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Trestní agenda odvolací – mladiství</w:t>
            </w:r>
          </w:p>
        </w:tc>
      </w:tr>
      <w:tr w:rsidR="00B64E96" w:rsidRPr="00B64E96" w14:paraId="6B3251CB" w14:textId="77777777" w:rsidTr="00E077F3">
        <w:trPr>
          <w:trHeight w:val="340"/>
        </w:trPr>
        <w:tc>
          <w:tcPr>
            <w:tcW w:w="960" w:type="dxa"/>
            <w:tcBorders>
              <w:top w:val="nil"/>
              <w:left w:val="nil"/>
              <w:bottom w:val="single" w:sz="4" w:space="0" w:color="auto"/>
              <w:right w:val="nil"/>
            </w:tcBorders>
            <w:shd w:val="clear" w:color="auto" w:fill="auto"/>
            <w:vAlign w:val="center"/>
            <w:hideMark/>
          </w:tcPr>
          <w:p w14:paraId="0EA9E3D6"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To</w:t>
            </w:r>
          </w:p>
        </w:tc>
        <w:tc>
          <w:tcPr>
            <w:tcW w:w="8140" w:type="dxa"/>
            <w:tcBorders>
              <w:top w:val="nil"/>
              <w:left w:val="nil"/>
              <w:bottom w:val="single" w:sz="4" w:space="0" w:color="auto"/>
              <w:right w:val="nil"/>
            </w:tcBorders>
            <w:shd w:val="clear" w:color="auto" w:fill="auto"/>
            <w:vAlign w:val="center"/>
            <w:hideMark/>
          </w:tcPr>
          <w:p w14:paraId="26963314"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Trestní agenda odvolací</w:t>
            </w:r>
          </w:p>
        </w:tc>
      </w:tr>
      <w:tr w:rsidR="00B64E96" w:rsidRPr="00B64E96" w14:paraId="4D923D45" w14:textId="77777777" w:rsidTr="00E077F3">
        <w:trPr>
          <w:trHeight w:val="340"/>
        </w:trPr>
        <w:tc>
          <w:tcPr>
            <w:tcW w:w="960" w:type="dxa"/>
            <w:tcBorders>
              <w:top w:val="nil"/>
              <w:left w:val="nil"/>
              <w:bottom w:val="double" w:sz="6" w:space="0" w:color="auto"/>
              <w:right w:val="nil"/>
            </w:tcBorders>
            <w:shd w:val="clear" w:color="auto" w:fill="auto"/>
            <w:vAlign w:val="center"/>
            <w:hideMark/>
          </w:tcPr>
          <w:p w14:paraId="0478B630"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Tz</w:t>
            </w:r>
          </w:p>
        </w:tc>
        <w:tc>
          <w:tcPr>
            <w:tcW w:w="8140" w:type="dxa"/>
            <w:tcBorders>
              <w:top w:val="nil"/>
              <w:left w:val="nil"/>
              <w:bottom w:val="double" w:sz="6" w:space="0" w:color="auto"/>
              <w:right w:val="nil"/>
            </w:tcBorders>
            <w:shd w:val="clear" w:color="auto" w:fill="auto"/>
            <w:vAlign w:val="center"/>
            <w:hideMark/>
          </w:tcPr>
          <w:p w14:paraId="25F1F009" w14:textId="77777777" w:rsidR="008430BD" w:rsidRPr="00B64E96" w:rsidRDefault="008430BD" w:rsidP="00E077F3">
            <w:pPr>
              <w:spacing w:before="14" w:after="14" w:line="240" w:lineRule="auto"/>
              <w:jc w:val="left"/>
              <w:rPr>
                <w:rFonts w:eastAsia="Times New Roman"/>
                <w:szCs w:val="24"/>
                <w:lang w:eastAsia="cs-CZ"/>
              </w:rPr>
            </w:pPr>
            <w:r w:rsidRPr="00B64E96">
              <w:rPr>
                <w:rFonts w:eastAsia="Times New Roman"/>
                <w:szCs w:val="24"/>
                <w:lang w:eastAsia="cs-CZ"/>
              </w:rPr>
              <w:t>Stížnosti pro porušení zákona</w:t>
            </w:r>
          </w:p>
        </w:tc>
      </w:tr>
      <w:bookmarkEnd w:id="1902"/>
    </w:tbl>
    <w:p w14:paraId="45ED2713" w14:textId="77777777" w:rsidR="008430BD" w:rsidRPr="00B64E96" w:rsidRDefault="008430BD" w:rsidP="008430BD">
      <w:pPr>
        <w:spacing w:line="240" w:lineRule="auto"/>
        <w:rPr>
          <w:rFonts w:eastAsia="Times New Roman"/>
          <w:iCs/>
          <w:szCs w:val="24"/>
        </w:rPr>
      </w:pPr>
      <w:r w:rsidRPr="00B64E96">
        <w:br w:type="page"/>
      </w:r>
    </w:p>
    <w:p w14:paraId="3600D4C0" w14:textId="77777777" w:rsidR="008430BD" w:rsidRPr="00B64E96" w:rsidRDefault="008430BD" w:rsidP="008430BD">
      <w:pPr>
        <w:pStyle w:val="Nadpis2"/>
        <w:ind w:left="578" w:hanging="578"/>
        <w:rPr>
          <w:color w:val="auto"/>
        </w:rPr>
      </w:pPr>
      <w:bookmarkStart w:id="1903" w:name="_Toc106092840"/>
      <w:bookmarkStart w:id="1904" w:name="_Toc169250919"/>
      <w:bookmarkStart w:id="1905" w:name="_Toc174080955"/>
      <w:r w:rsidRPr="00B64E96">
        <w:rPr>
          <w:color w:val="auto"/>
        </w:rPr>
        <w:lastRenderedPageBreak/>
        <w:t>Příloha D – přehledové listy s daty soudů</w:t>
      </w:r>
      <w:bookmarkEnd w:id="1903"/>
      <w:bookmarkEnd w:id="1904"/>
      <w:bookmarkEnd w:id="1905"/>
    </w:p>
    <w:p w14:paraId="58EEA337" w14:textId="08254324" w:rsidR="008430BD" w:rsidRPr="00B64E96" w:rsidRDefault="008430BD" w:rsidP="008430BD">
      <w:pPr>
        <w:spacing w:line="240" w:lineRule="auto"/>
        <w:jc w:val="left"/>
      </w:pPr>
    </w:p>
    <w:p w14:paraId="551F3EE1" w14:textId="08BC60D7" w:rsidR="002F3563" w:rsidRDefault="002F3563" w:rsidP="008430BD">
      <w:pPr>
        <w:spacing w:line="240" w:lineRule="auto"/>
        <w:jc w:val="left"/>
      </w:pPr>
      <w:r>
        <w:object w:dxaOrig="1539" w:dyaOrig="997" w14:anchorId="2EF1A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91" o:title=""/>
          </v:shape>
          <o:OLEObject Type="Embed" ProgID="Excel.SheetMacroEnabled.12" ShapeID="_x0000_i1025" DrawAspect="Icon" ObjectID="_1784693491" r:id="rId192"/>
        </w:object>
      </w:r>
    </w:p>
    <w:p w14:paraId="314267FB" w14:textId="6BD6B270" w:rsidR="008430BD" w:rsidRPr="00B64E96" w:rsidRDefault="008430BD" w:rsidP="008430BD">
      <w:pPr>
        <w:spacing w:line="240" w:lineRule="auto"/>
        <w:jc w:val="left"/>
        <w:rPr>
          <w:rFonts w:eastAsia="Times New Roman"/>
          <w:b/>
          <w:bCs/>
          <w:iCs/>
          <w:szCs w:val="24"/>
        </w:rPr>
      </w:pPr>
      <w:r w:rsidRPr="00B64E96">
        <w:br w:type="page"/>
      </w:r>
    </w:p>
    <w:p w14:paraId="738A45A9" w14:textId="77777777" w:rsidR="008430BD" w:rsidRPr="00B64E96" w:rsidRDefault="008430BD" w:rsidP="008430BD">
      <w:pPr>
        <w:autoSpaceDE w:val="0"/>
        <w:autoSpaceDN w:val="0"/>
        <w:adjustRightInd w:val="0"/>
        <w:spacing w:line="240" w:lineRule="auto"/>
        <w:jc w:val="left"/>
        <w:rPr>
          <w:rFonts w:cs="OfficinaSansItcTOT-Bold"/>
          <w:b/>
          <w:bCs/>
          <w:sz w:val="18"/>
          <w:szCs w:val="19"/>
          <w:lang w:eastAsia="cs-CZ"/>
        </w:rPr>
        <w:sectPr w:rsidR="008430BD" w:rsidRPr="00B64E96" w:rsidSect="005D7674">
          <w:type w:val="continuous"/>
          <w:pgSz w:w="11906" w:h="16838" w:code="9"/>
          <w:pgMar w:top="1418" w:right="1416" w:bottom="1418" w:left="1418" w:header="709" w:footer="709" w:gutter="0"/>
          <w:cols w:space="708"/>
          <w:titlePg/>
          <w:docGrid w:linePitch="360"/>
        </w:sectPr>
      </w:pPr>
    </w:p>
    <w:p w14:paraId="1A9F48A7" w14:textId="5A0FA2C5" w:rsidR="008430BD" w:rsidRPr="00B64E96" w:rsidRDefault="008430BD" w:rsidP="00C04F6A">
      <w:pPr>
        <w:autoSpaceDE w:val="0"/>
        <w:autoSpaceDN w:val="0"/>
        <w:adjustRightInd w:val="0"/>
        <w:spacing w:line="240" w:lineRule="auto"/>
        <w:jc w:val="center"/>
        <w:rPr>
          <w:rFonts w:cs="OfficinaSansItcTOT-Bold"/>
          <w:b/>
          <w:bCs/>
          <w:sz w:val="18"/>
          <w:szCs w:val="19"/>
          <w:lang w:eastAsia="cs-CZ"/>
        </w:rPr>
      </w:pPr>
    </w:p>
    <w:p w14:paraId="6BB2E3A4"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48D3F487"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0658B2E4"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13D3921F"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6997911"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8C657CB"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2C22DFB0"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50EC2DB7"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0FA2A9F6"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6E5F0C18" w14:textId="13C08D01" w:rsidR="008430BD" w:rsidRPr="00B64E96" w:rsidRDefault="00117694" w:rsidP="00117694">
      <w:pPr>
        <w:autoSpaceDE w:val="0"/>
        <w:autoSpaceDN w:val="0"/>
        <w:adjustRightInd w:val="0"/>
        <w:spacing w:line="240" w:lineRule="auto"/>
        <w:jc w:val="center"/>
        <w:rPr>
          <w:rFonts w:cs="OfficinaSansItcTOT-Bold"/>
          <w:b/>
          <w:bCs/>
          <w:sz w:val="18"/>
          <w:szCs w:val="19"/>
          <w:lang w:eastAsia="cs-CZ"/>
        </w:rPr>
      </w:pPr>
      <w:r w:rsidRPr="00B64E96">
        <w:rPr>
          <w:noProof/>
          <w:lang w:eastAsia="cs-CZ"/>
        </w:rPr>
        <w:drawing>
          <wp:inline distT="0" distB="0" distL="0" distR="0" wp14:anchorId="5CEE195B" wp14:editId="6BA8A532">
            <wp:extent cx="3949281" cy="714375"/>
            <wp:effectExtent l="0" t="0" r="0" b="0"/>
            <wp:docPr id="1" name="Obrázek 1" descr="image001.jpg">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9" descr="image001.jpg">
                      <a:hlinkClick r:id="rId193"/>
                    </pic:cNvPr>
                    <pic:cNvPicPr>
                      <a:picLocks noChangeAspect="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955112" cy="715430"/>
                    </a:xfrm>
                    <a:prstGeom prst="rect">
                      <a:avLst/>
                    </a:prstGeom>
                    <a:noFill/>
                    <a:ln>
                      <a:noFill/>
                    </a:ln>
                  </pic:spPr>
                </pic:pic>
              </a:graphicData>
            </a:graphic>
          </wp:inline>
        </w:drawing>
      </w:r>
    </w:p>
    <w:p w14:paraId="4F5FEABB"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2DBCE512"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42ACB4E9"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76A53285"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A901D64"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45C44F95"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172DE132"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5624FB60"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63CC8543"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821510E"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712F4745"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DCE2351"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282DC101"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7E521063"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2D4B9BAE"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48A02379"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427DBAD0"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6C749FF1"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5128CD59"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255A9F48"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209D5FBB"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506E42DA"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1078EB2"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09FA12EA"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59B46316"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784A3927"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527F782A"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7F31CBC7"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463A068"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6D0D8D38"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BEF9C93"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7256775C"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7A2DFAF5"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510170A1"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3F4AB26C"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2FAB9C39"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6594F904" w14:textId="77777777" w:rsidR="008430BD" w:rsidRPr="00B64E96" w:rsidRDefault="008430BD" w:rsidP="008430BD">
      <w:pPr>
        <w:autoSpaceDE w:val="0"/>
        <w:autoSpaceDN w:val="0"/>
        <w:adjustRightInd w:val="0"/>
        <w:spacing w:line="240" w:lineRule="auto"/>
        <w:jc w:val="center"/>
        <w:rPr>
          <w:rFonts w:cs="OfficinaSansItcTOT-Bold"/>
          <w:b/>
          <w:bCs/>
          <w:sz w:val="18"/>
          <w:szCs w:val="19"/>
          <w:lang w:eastAsia="cs-CZ"/>
        </w:rPr>
      </w:pPr>
    </w:p>
    <w:p w14:paraId="5EE6FB47" w14:textId="77777777" w:rsidR="008430BD" w:rsidRPr="00B64E96" w:rsidRDefault="008430BD" w:rsidP="008430BD">
      <w:pPr>
        <w:autoSpaceDE w:val="0"/>
        <w:autoSpaceDN w:val="0"/>
        <w:adjustRightInd w:val="0"/>
        <w:spacing w:line="240" w:lineRule="auto"/>
        <w:jc w:val="center"/>
        <w:rPr>
          <w:rFonts w:cs="OfficinaSansItcTOT-Bold"/>
          <w:bCs/>
          <w:sz w:val="18"/>
          <w:szCs w:val="19"/>
          <w:lang w:eastAsia="cs-CZ"/>
        </w:rPr>
      </w:pPr>
      <w:r w:rsidRPr="00B64E96">
        <w:rPr>
          <w:rFonts w:cs="OfficinaSansItcTOT-Bold"/>
          <w:bCs/>
          <w:sz w:val="18"/>
          <w:szCs w:val="19"/>
          <w:lang w:eastAsia="cs-CZ"/>
        </w:rPr>
        <w:t>Ministerstvo spravedlnosti</w:t>
      </w:r>
    </w:p>
    <w:p w14:paraId="5E42C5CE" w14:textId="77777777" w:rsidR="008430BD" w:rsidRPr="00B64E96" w:rsidRDefault="008430BD" w:rsidP="008430BD">
      <w:pPr>
        <w:autoSpaceDE w:val="0"/>
        <w:autoSpaceDN w:val="0"/>
        <w:adjustRightInd w:val="0"/>
        <w:spacing w:line="240" w:lineRule="auto"/>
        <w:jc w:val="center"/>
        <w:rPr>
          <w:rFonts w:cs="OfficinaSansItcTOT-Book"/>
          <w:sz w:val="18"/>
          <w:szCs w:val="19"/>
          <w:lang w:eastAsia="cs-CZ"/>
        </w:rPr>
      </w:pPr>
      <w:r w:rsidRPr="00B64E96">
        <w:rPr>
          <w:rFonts w:cs="OfficinaSansItcTOT-Book"/>
          <w:sz w:val="18"/>
          <w:szCs w:val="19"/>
          <w:lang w:eastAsia="cs-CZ"/>
        </w:rPr>
        <w:t>Vyšehradská 16</w:t>
      </w:r>
    </w:p>
    <w:p w14:paraId="42AB6912" w14:textId="77777777" w:rsidR="008430BD" w:rsidRPr="00B64E96" w:rsidRDefault="008430BD" w:rsidP="008430BD">
      <w:pPr>
        <w:autoSpaceDE w:val="0"/>
        <w:autoSpaceDN w:val="0"/>
        <w:adjustRightInd w:val="0"/>
        <w:spacing w:line="240" w:lineRule="auto"/>
        <w:jc w:val="center"/>
        <w:rPr>
          <w:rFonts w:cs="OfficinaSansItcTOT-Book"/>
          <w:sz w:val="18"/>
          <w:szCs w:val="19"/>
          <w:lang w:eastAsia="cs-CZ"/>
        </w:rPr>
      </w:pPr>
      <w:r w:rsidRPr="00B64E96">
        <w:rPr>
          <w:rFonts w:cs="OfficinaSansItcTOT-Book"/>
          <w:sz w:val="18"/>
          <w:szCs w:val="19"/>
          <w:lang w:eastAsia="cs-CZ"/>
        </w:rPr>
        <w:t>128 10  Praha 2</w:t>
      </w:r>
    </w:p>
    <w:p w14:paraId="35E6F9D3" w14:textId="39CF108F" w:rsidR="00B07E76" w:rsidRPr="00B64E96" w:rsidRDefault="008430BD" w:rsidP="008430BD">
      <w:pPr>
        <w:autoSpaceDE w:val="0"/>
        <w:autoSpaceDN w:val="0"/>
        <w:adjustRightInd w:val="0"/>
        <w:spacing w:line="240" w:lineRule="auto"/>
        <w:jc w:val="center"/>
        <w:rPr>
          <w:rFonts w:cs="OfficinaSansItcTOT-Book"/>
          <w:sz w:val="18"/>
          <w:szCs w:val="19"/>
          <w:lang w:eastAsia="cs-CZ"/>
        </w:rPr>
      </w:pPr>
      <w:r w:rsidRPr="00B64E96">
        <w:rPr>
          <w:rFonts w:cs="OfficinaSansItcTOT-Book"/>
          <w:sz w:val="18"/>
          <w:szCs w:val="19"/>
          <w:lang w:eastAsia="cs-CZ"/>
        </w:rPr>
        <w:t xml:space="preserve">e-mail: </w:t>
      </w:r>
      <w:hyperlink r:id="rId195" w:history="1">
        <w:r w:rsidR="008220BA" w:rsidRPr="00DF07F3">
          <w:rPr>
            <w:rStyle w:val="Hypertextovodkaz"/>
            <w:sz w:val="18"/>
          </w:rPr>
          <w:t>posta@msp.justice.cz</w:t>
        </w:r>
      </w:hyperlink>
    </w:p>
    <w:p w14:paraId="2F381B22" w14:textId="40C2E416" w:rsidR="00B07E76" w:rsidRPr="00B64E96" w:rsidRDefault="00551497" w:rsidP="005D25EA">
      <w:pPr>
        <w:autoSpaceDE w:val="0"/>
        <w:autoSpaceDN w:val="0"/>
        <w:adjustRightInd w:val="0"/>
        <w:spacing w:line="240" w:lineRule="auto"/>
        <w:jc w:val="center"/>
        <w:rPr>
          <w:rFonts w:cs="OfficinaSansItcTOT-Book"/>
          <w:sz w:val="18"/>
          <w:szCs w:val="19"/>
          <w:lang w:eastAsia="cs-CZ"/>
        </w:rPr>
      </w:pPr>
      <w:hyperlink r:id="rId196" w:history="1">
        <w:r w:rsidR="008220BA" w:rsidRPr="00DF07F3">
          <w:rPr>
            <w:rStyle w:val="Hypertextovodkaz"/>
            <w:sz w:val="18"/>
          </w:rPr>
          <w:t>www.justice.cz</w:t>
        </w:r>
      </w:hyperlink>
    </w:p>
    <w:p w14:paraId="600297D5" w14:textId="77777777" w:rsidR="00D77934" w:rsidRPr="00B64E96" w:rsidRDefault="00D77934" w:rsidP="005D25EA">
      <w:pPr>
        <w:autoSpaceDE w:val="0"/>
        <w:autoSpaceDN w:val="0"/>
        <w:adjustRightInd w:val="0"/>
        <w:spacing w:line="240" w:lineRule="auto"/>
        <w:rPr>
          <w:rFonts w:cs="OfficinaSansItcTOT-Book"/>
          <w:sz w:val="18"/>
          <w:szCs w:val="19"/>
          <w:lang w:eastAsia="cs-CZ"/>
        </w:rPr>
      </w:pPr>
    </w:p>
    <w:sectPr w:rsidR="00D77934" w:rsidRPr="00B64E96" w:rsidSect="00E077F3">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986F8" w14:textId="77777777" w:rsidR="00DF07F3" w:rsidRDefault="00DF07F3" w:rsidP="008430BD">
      <w:pPr>
        <w:spacing w:line="240" w:lineRule="auto"/>
      </w:pPr>
      <w:r>
        <w:separator/>
      </w:r>
    </w:p>
  </w:endnote>
  <w:endnote w:type="continuationSeparator" w:id="0">
    <w:p w14:paraId="4B253D34" w14:textId="77777777" w:rsidR="00DF07F3" w:rsidRDefault="00DF07F3" w:rsidP="008430BD">
      <w:pPr>
        <w:spacing w:line="240" w:lineRule="auto"/>
      </w:pPr>
      <w:r>
        <w:continuationSeparator/>
      </w:r>
    </w:p>
  </w:endnote>
  <w:endnote w:type="continuationNotice" w:id="1">
    <w:p w14:paraId="056E37C7" w14:textId="77777777" w:rsidR="00DF07F3" w:rsidRDefault="00DF07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DIN Next LT Pro Condensed">
    <w:altName w:val="Arial Narrow"/>
    <w:charset w:val="EE"/>
    <w:family w:val="swiss"/>
    <w:pitch w:val="variable"/>
    <w:sig w:usb0="00000001" w:usb1="5000205B" w:usb2="00000000" w:usb3="00000000" w:csb0="0000009B"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D931" w14:textId="36FCF101" w:rsidR="005B435F" w:rsidRDefault="005B435F" w:rsidP="00E077F3">
    <w:pPr>
      <w:pStyle w:val="Zpat"/>
      <w:jc w:val="center"/>
    </w:pPr>
    <w:r>
      <w:fldChar w:fldCharType="begin"/>
    </w:r>
    <w:r>
      <w:instrText>PAGE   \* MERGEFORMAT</w:instrText>
    </w:r>
    <w:r>
      <w:fldChar w:fldCharType="separate"/>
    </w:r>
    <w:r w:rsidR="00544AF7">
      <w:rPr>
        <w:noProof/>
      </w:rPr>
      <w:t>60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9664" w14:textId="77777777" w:rsidR="00DF07F3" w:rsidRDefault="00DF07F3" w:rsidP="008430BD">
      <w:pPr>
        <w:spacing w:line="240" w:lineRule="auto"/>
      </w:pPr>
      <w:r>
        <w:separator/>
      </w:r>
    </w:p>
  </w:footnote>
  <w:footnote w:type="continuationSeparator" w:id="0">
    <w:p w14:paraId="68B10FC5" w14:textId="77777777" w:rsidR="00DF07F3" w:rsidRDefault="00DF07F3" w:rsidP="008430BD">
      <w:pPr>
        <w:spacing w:line="240" w:lineRule="auto"/>
      </w:pPr>
      <w:r>
        <w:continuationSeparator/>
      </w:r>
    </w:p>
  </w:footnote>
  <w:footnote w:type="continuationNotice" w:id="1">
    <w:p w14:paraId="633668F9" w14:textId="77777777" w:rsidR="00DF07F3" w:rsidRDefault="00DF07F3">
      <w:pPr>
        <w:spacing w:line="240" w:lineRule="auto"/>
      </w:pPr>
    </w:p>
  </w:footnote>
  <w:footnote w:id="2">
    <w:p w14:paraId="635DF0F1" w14:textId="77777777" w:rsidR="005B435F" w:rsidRPr="00D505DC" w:rsidRDefault="005B435F" w:rsidP="008430BD">
      <w:pPr>
        <w:pStyle w:val="Textpoznpodarou"/>
      </w:pPr>
      <w:r w:rsidRPr="00D505DC">
        <w:rPr>
          <w:rStyle w:val="Znakapoznpodarou"/>
        </w:rPr>
        <w:footnoteRef/>
      </w:r>
      <w:r w:rsidRPr="00D505DC">
        <w:t xml:space="preserve"> Justiční statistická ročenka na rozdíl od této zprávy obsahuje pouze kompilaci automaticky generovaných sestav bez dalšího komentáře či grafického znázornění dat.</w:t>
      </w:r>
    </w:p>
  </w:footnote>
  <w:footnote w:id="3">
    <w:p w14:paraId="25F14164" w14:textId="0CA77501" w:rsidR="005B435F" w:rsidRPr="00D505DC" w:rsidRDefault="005B435F" w:rsidP="008430BD">
      <w:pPr>
        <w:pStyle w:val="Textpoznpodarou"/>
      </w:pPr>
      <w:r w:rsidRPr="00D505DC">
        <w:rPr>
          <w:rStyle w:val="Znakapoznpodarou"/>
        </w:rPr>
        <w:footnoteRef/>
      </w:r>
      <w:r w:rsidRPr="00D505DC">
        <w:t xml:space="preserve"> </w:t>
      </w:r>
      <w:hyperlink r:id="rId1" w:history="1">
        <w:r w:rsidR="00D505DC" w:rsidRPr="00984FF3">
          <w:rPr>
            <w:rStyle w:val="Hypertextovodkaz"/>
          </w:rPr>
          <w:t>https://www.justice.cz/web/msp/statisticke-udaje-z-oblasti-justice</w:t>
        </w:r>
      </w:hyperlink>
      <w:r w:rsidRPr="00D505DC">
        <w:t>.</w:t>
      </w:r>
    </w:p>
  </w:footnote>
  <w:footnote w:id="4">
    <w:p w14:paraId="7E3750E2" w14:textId="7A7B682A" w:rsidR="00E64E55" w:rsidRPr="00D505DC" w:rsidRDefault="00E64E55">
      <w:pPr>
        <w:pStyle w:val="Textpoznpodarou"/>
      </w:pPr>
      <w:r w:rsidRPr="00D505DC">
        <w:rPr>
          <w:rStyle w:val="Znakapoznpodarou"/>
        </w:rPr>
        <w:footnoteRef/>
      </w:r>
      <w:r w:rsidRPr="00D505DC">
        <w:t xml:space="preserve"> Jedná se o případy, kdy byla věc sice vyřízena, ale z určitého důvodu se v řízení pokračuje (většinou v důsledku odvolacího řízení, kdy bylo rozhodnutí soudu I. stupně zrušeno a vráceno mu k novému projednání, či po podání odpor</w:t>
      </w:r>
      <w:r w:rsidR="00C012A2">
        <w:t>.</w:t>
      </w:r>
    </w:p>
  </w:footnote>
  <w:footnote w:id="5">
    <w:p w14:paraId="74469478" w14:textId="2887AB79" w:rsidR="005B435F" w:rsidRPr="00D505DC" w:rsidRDefault="005B435F">
      <w:pPr>
        <w:pStyle w:val="Textpoznpodarou"/>
      </w:pPr>
      <w:r w:rsidRPr="00DF07F3">
        <w:rPr>
          <w:rStyle w:val="Znakapoznpodarou"/>
        </w:rPr>
        <w:footnoteRef/>
      </w:r>
      <w:r w:rsidRPr="00DF07F3">
        <w:t xml:space="preserve"> Ministerstvo spravedlnosti předložilo do legislativního procesu návrh novely zákona č. 6/2002 Sb. o soudech a soudcích, který počítá s tím, že přísedící by měli být nově zapojeni pouze do rozhodování krajských soudů o nejzávažnějších zločinech, zejména těch násilného charakteru. Pokud bude návrh v této podobě přijat, po účinnosti novely nebudou přísedící u okresních soudů působit.</w:t>
      </w:r>
    </w:p>
  </w:footnote>
  <w:footnote w:id="6">
    <w:p w14:paraId="15E82639" w14:textId="77777777" w:rsidR="005B435F" w:rsidRPr="00D505DC" w:rsidRDefault="005B435F" w:rsidP="0022231D">
      <w:pPr>
        <w:pStyle w:val="Textpoznpodarou"/>
      </w:pPr>
      <w:r w:rsidRPr="00D505DC">
        <w:rPr>
          <w:rStyle w:val="Znakapoznpodarou"/>
        </w:rPr>
        <w:footnoteRef/>
      </w:r>
      <w:r w:rsidRPr="00D505DC">
        <w:t xml:space="preserve"> Komise pro efektivitu justice Rady Evropy.</w:t>
      </w:r>
    </w:p>
  </w:footnote>
  <w:footnote w:id="7">
    <w:p w14:paraId="40F11629" w14:textId="77777777" w:rsidR="005B435F" w:rsidRPr="00D505DC" w:rsidRDefault="005B435F" w:rsidP="005C7908">
      <w:pPr>
        <w:pStyle w:val="Textpoznpodarou"/>
      </w:pPr>
      <w:r w:rsidRPr="00D505DC">
        <w:rPr>
          <w:rStyle w:val="Znakapoznpodarou"/>
        </w:rPr>
        <w:footnoteRef/>
      </w:r>
      <w:r w:rsidRPr="00D505DC">
        <w:t xml:space="preserve"> Toto srovnání lze velmi dobře provést, i když ve statistikách nespadá počet převedených věcí pod počet věcí vyřízených. Princip je zde stejný jako u nápadu a u vyřízených věcí, tedy nejedná se o skupinu totožných věcí.</w:t>
      </w:r>
    </w:p>
  </w:footnote>
  <w:footnote w:id="8">
    <w:p w14:paraId="0FDA4AA3" w14:textId="77777777" w:rsidR="005B435F" w:rsidRPr="00D505DC" w:rsidRDefault="005B435F" w:rsidP="00095B0F">
      <w:pPr>
        <w:pStyle w:val="Textpoznpodarou"/>
      </w:pPr>
      <w:r w:rsidRPr="00D505DC">
        <w:rPr>
          <w:rStyle w:val="Znakapoznpodarou"/>
        </w:rPr>
        <w:footnoteRef/>
      </w:r>
      <w:r w:rsidRPr="00D505DC">
        <w:t xml:space="preserve"> Ukládá-li soud peněžitý trest, stanoví pro případ, že by ve stanovené lhůtě nebyl vykonán, náhradní trest odnětí svobody (ust. § 69 odst. 1 trestního zákoníku ve znění do 30. 9. 2020).</w:t>
      </w:r>
    </w:p>
  </w:footnote>
  <w:footnote w:id="9">
    <w:p w14:paraId="08421FF5" w14:textId="77777777" w:rsidR="005B435F" w:rsidRPr="00D505DC" w:rsidRDefault="005B435F" w:rsidP="009E69EF">
      <w:pPr>
        <w:pStyle w:val="Textpoznpodarou"/>
      </w:pPr>
      <w:r w:rsidRPr="00D505DC">
        <w:rPr>
          <w:rStyle w:val="Znakapoznpodarou"/>
        </w:rPr>
        <w:footnoteRef/>
      </w:r>
      <w:r w:rsidRPr="00D505DC">
        <w:t xml:space="preserve"> Tento termín je pouhou zkratkou pro situaci, kdy je určováno výživné dítěte, která má platit matka dítěte.</w:t>
      </w:r>
    </w:p>
  </w:footnote>
  <w:footnote w:id="10">
    <w:p w14:paraId="6BD0B9B1" w14:textId="77777777" w:rsidR="005B435F" w:rsidRPr="00D505DC" w:rsidRDefault="005B435F" w:rsidP="009E69EF">
      <w:pPr>
        <w:pStyle w:val="Textpoznpodarou"/>
      </w:pPr>
      <w:r w:rsidRPr="00D505DC">
        <w:rPr>
          <w:rStyle w:val="Znakapoznpodarou"/>
        </w:rPr>
        <w:footnoteRef/>
      </w:r>
      <w:r w:rsidRPr="00D505DC">
        <w:t xml:space="preserve"> Viz předchozí, u mužů.</w:t>
      </w:r>
    </w:p>
  </w:footnote>
  <w:footnote w:id="11">
    <w:p w14:paraId="28036377" w14:textId="567E0D5A" w:rsidR="005B435F" w:rsidRPr="00D505DC" w:rsidRDefault="005B435F">
      <w:pPr>
        <w:pStyle w:val="Textpoznpodarou"/>
      </w:pPr>
      <w:r w:rsidRPr="00D505DC">
        <w:rPr>
          <w:rStyle w:val="Znakapoznpodarou"/>
        </w:rPr>
        <w:footnoteRef/>
      </w:r>
      <w:r w:rsidRPr="00D505DC">
        <w:t xml:space="preserve"> </w:t>
      </w:r>
      <w:r w:rsidRPr="00DF07F3">
        <w:t>V posledních třech letech ale u matek mírně rostl a v roce 2023 tak byl nejvyšší od roku 2016.</w:t>
      </w:r>
    </w:p>
  </w:footnote>
  <w:footnote w:id="12">
    <w:p w14:paraId="16B32E5E" w14:textId="77777777" w:rsidR="005B435F" w:rsidRPr="00D505DC" w:rsidRDefault="005B435F" w:rsidP="001F4EAB">
      <w:pPr>
        <w:pStyle w:val="Textpoznpodarou"/>
      </w:pPr>
      <w:r w:rsidRPr="00D505DC">
        <w:rPr>
          <w:rStyle w:val="Znakapoznpodarou"/>
        </w:rPr>
        <w:footnoteRef/>
      </w:r>
      <w:r w:rsidRPr="00D505DC">
        <w:t xml:space="preserve"> Délky řízení (včetně odvolacího) jsou standardně zjišťovány ze statistických listů. Statistický list pro insolvenční řízení disponuje potřebnými údaji až od roku 2020, a tudíž dosud nevznikla dostatečná časová řada pro relevantní analýzu.</w:t>
      </w:r>
    </w:p>
  </w:footnote>
  <w:footnote w:id="13">
    <w:p w14:paraId="73068BE9" w14:textId="77777777" w:rsidR="005B435F" w:rsidRPr="00D505DC" w:rsidRDefault="005B435F" w:rsidP="001F4EAB">
      <w:pPr>
        <w:pStyle w:val="Textpoznpodarou"/>
      </w:pPr>
      <w:r w:rsidRPr="00D505DC">
        <w:rPr>
          <w:rStyle w:val="Znakapoznpodarou"/>
        </w:rPr>
        <w:footnoteRef/>
      </w:r>
      <w:r w:rsidRPr="00D505DC">
        <w:t xml:space="preserve"> Ministerstvo spravedlnosti zatím nemá k dispozici dostatečně podrobná data o počtu soudců.</w:t>
      </w:r>
    </w:p>
  </w:footnote>
  <w:footnote w:id="14">
    <w:p w14:paraId="48AB3E03" w14:textId="77777777" w:rsidR="005B435F" w:rsidRPr="00D505DC" w:rsidRDefault="005B435F" w:rsidP="003D4605">
      <w:pPr>
        <w:pStyle w:val="Textpoznpodarou"/>
      </w:pPr>
      <w:r w:rsidRPr="00D505DC">
        <w:rPr>
          <w:rStyle w:val="Znakapoznpodarou"/>
        </w:rPr>
        <w:footnoteRef/>
      </w:r>
      <w:r w:rsidRPr="00D505DC">
        <w:t xml:space="preserve"> § 14 zákona č. 6/2002 Sb., o soudech, soudcích, přísedících a státní správě soudů a o změně některých dalších zákonů (zákon o soudech a soudcích), ve znění pozdějších předpisů.</w:t>
      </w:r>
    </w:p>
  </w:footnote>
  <w:footnote w:id="15">
    <w:p w14:paraId="6C76DF97" w14:textId="42583706" w:rsidR="005B435F" w:rsidRPr="00D505DC" w:rsidRDefault="005B435F" w:rsidP="003D4605">
      <w:pPr>
        <w:pStyle w:val="Textpoznpodarou"/>
      </w:pPr>
      <w:r w:rsidRPr="00D505DC">
        <w:rPr>
          <w:rStyle w:val="Znakapoznpodarou"/>
        </w:rPr>
        <w:footnoteRef/>
      </w:r>
      <w:r w:rsidRPr="00D505DC">
        <w:t xml:space="preserve"> Ročenky Nejvyššího soudu jsou k dispozici na jeho webových stránkách</w:t>
      </w:r>
      <w:r w:rsidR="008220BA">
        <w:t>.</w:t>
      </w:r>
    </w:p>
  </w:footnote>
  <w:footnote w:id="16">
    <w:p w14:paraId="40B5D937" w14:textId="77777777" w:rsidR="005B435F" w:rsidRPr="00D505DC" w:rsidRDefault="005B435F" w:rsidP="00F42D53">
      <w:pPr>
        <w:pStyle w:val="Textpoznpodarou"/>
      </w:pPr>
      <w:r w:rsidRPr="00D505DC">
        <w:rPr>
          <w:rStyle w:val="Znakapoznpodarou"/>
        </w:rPr>
        <w:footnoteRef/>
      </w:r>
      <w:r w:rsidRPr="00D505DC">
        <w:rPr>
          <w:lang w:val="en-GB"/>
        </w:rPr>
        <w:t xml:space="preserve"> „</w:t>
      </w:r>
      <w:r w:rsidRPr="00D505DC">
        <w:rPr>
          <w:i/>
          <w:iCs/>
          <w:lang w:val="en-GB"/>
        </w:rPr>
        <w:t>Overall, would you say that you tend to trust or tend not to trust the justice system in (OUR COUNTRY)?</w:t>
      </w:r>
      <w:r w:rsidRPr="00D505DC">
        <w:rPr>
          <w:lang w:val="en-GB"/>
        </w:rPr>
        <w:t xml:space="preserve"> „</w:t>
      </w:r>
    </w:p>
    <w:p w14:paraId="1B5AEACD" w14:textId="77777777" w:rsidR="005B435F" w:rsidRPr="00D505DC" w:rsidRDefault="005B435F" w:rsidP="00F42D53">
      <w:pPr>
        <w:pStyle w:val="Textpoznpodarou"/>
      </w:pPr>
      <w:r w:rsidRPr="00D505DC">
        <w:t>Celkově byste řekli, že spíše důvěřujete nebo spíše nedůvěřujete soudnímu systému (v naší zemi)?</w:t>
      </w:r>
    </w:p>
  </w:footnote>
  <w:footnote w:id="17">
    <w:p w14:paraId="09EE6975" w14:textId="37C91AF7" w:rsidR="005B435F" w:rsidRPr="00D505DC" w:rsidRDefault="005B435F" w:rsidP="00F42D53">
      <w:pPr>
        <w:pStyle w:val="Textpoznpodarou"/>
      </w:pPr>
      <w:r w:rsidRPr="00D505DC">
        <w:rPr>
          <w:rStyle w:val="Znakapoznpodarou"/>
          <w:lang w:val="en-GB"/>
        </w:rPr>
        <w:footnoteRef/>
      </w:r>
      <w:r w:rsidRPr="00D505DC">
        <w:t xml:space="preserve"> dle definice Eurobarometru zaměstnanec je pracovník, který na základě pracovní smlouvy vykonává z pověření zaměstnavatele za odměnu práci převážně duševní povahy; manuální pracovník je pracovník, který na základě pracovní smlouvy vykonává z pověření zaměstnavatele za odměnu práce převážně manuální povahy.</w:t>
      </w:r>
    </w:p>
  </w:footnote>
  <w:footnote w:id="18">
    <w:p w14:paraId="1A505CB6" w14:textId="4E6F289E" w:rsidR="005B435F" w:rsidRPr="00D505DC" w:rsidRDefault="005B435F" w:rsidP="00F42D53">
      <w:pPr>
        <w:pStyle w:val="Textpoznpodarou"/>
      </w:pPr>
      <w:r w:rsidRPr="00D505DC">
        <w:rPr>
          <w:rStyle w:val="Znakapoznpodarou"/>
          <w:sz w:val="18"/>
          <w:szCs w:val="18"/>
          <w:lang w:val="en-GB"/>
        </w:rPr>
        <w:footnoteRef/>
      </w:r>
      <w:r w:rsidRPr="00D505DC">
        <w:rPr>
          <w:sz w:val="18"/>
          <w:szCs w:val="18"/>
        </w:rPr>
        <w:t xml:space="preserve"> “Střední a jihovýchodní Evropa“, podle UNODC zahrnuje: Central Europe = </w:t>
      </w:r>
      <w:r w:rsidRPr="00D505DC">
        <w:rPr>
          <w:b/>
          <w:bCs/>
          <w:sz w:val="18"/>
          <w:szCs w:val="18"/>
        </w:rPr>
        <w:t>Czechia</w:t>
      </w:r>
      <w:r w:rsidRPr="00D505DC">
        <w:rPr>
          <w:sz w:val="18"/>
          <w:szCs w:val="18"/>
        </w:rPr>
        <w:t>, Estonia, Hungary, Latvia, Lithuania, Poland and Slovakia, South-Eastern Europe = Albania, Bosnia and Herzegovina, Bulgaria, Croatia, Montenegro, North Macedonia, Romania, Serbia and Slovenia.</w:t>
      </w:r>
    </w:p>
  </w:footnote>
  <w:footnote w:id="19">
    <w:p w14:paraId="1801763B" w14:textId="37221741" w:rsidR="005B435F" w:rsidRPr="00D505DC" w:rsidRDefault="005B435F" w:rsidP="00F42D53">
      <w:pPr>
        <w:pStyle w:val="Textpoznpodarou"/>
      </w:pPr>
      <w:r w:rsidRPr="00D505DC">
        <w:rPr>
          <w:rStyle w:val="Znakapoznpodarou"/>
        </w:rPr>
        <w:footnoteRef/>
      </w:r>
      <w:r w:rsidRPr="00D505DC">
        <w:t xml:space="preserve"> UNODC Global Report on Trafficking in Persons 2022, Fig. 38, str. 60</w:t>
      </w:r>
    </w:p>
  </w:footnote>
  <w:footnote w:id="20">
    <w:p w14:paraId="0B216D2F" w14:textId="31E2FBD2" w:rsidR="005B435F" w:rsidRPr="00D505DC" w:rsidRDefault="005B435F" w:rsidP="00F42D53">
      <w:pPr>
        <w:pStyle w:val="Textpoznpodarou"/>
      </w:pPr>
      <w:r w:rsidRPr="00D505DC">
        <w:rPr>
          <w:rStyle w:val="Znakapoznpodarou"/>
        </w:rPr>
        <w:footnoteRef/>
      </w:r>
      <w:r w:rsidRPr="00D505DC">
        <w:t xml:space="preserve"> UNODC Global Report on Trafficking in Persons 2022, str. 26</w:t>
      </w:r>
    </w:p>
  </w:footnote>
  <w:footnote w:id="21">
    <w:p w14:paraId="1C665CF3" w14:textId="77777777" w:rsidR="005B435F" w:rsidRPr="00D505DC" w:rsidRDefault="005B435F" w:rsidP="00F42D53">
      <w:pPr>
        <w:pStyle w:val="Textpoznpodarou"/>
      </w:pPr>
      <w:r w:rsidRPr="00D505DC">
        <w:rPr>
          <w:rStyle w:val="Znakapoznpodarou"/>
        </w:rPr>
        <w:footnoteRef/>
      </w:r>
      <w:r w:rsidRPr="00D505DC">
        <w:t xml:space="preserve"> UNODC Global Report on Trafficking in Person 2022, str. 27</w:t>
      </w:r>
    </w:p>
  </w:footnote>
  <w:footnote w:id="22">
    <w:p w14:paraId="1E088496" w14:textId="77777777" w:rsidR="005B435F" w:rsidRPr="00D505DC" w:rsidRDefault="005B435F" w:rsidP="00F42D53">
      <w:pPr>
        <w:pStyle w:val="Textpoznpodarou"/>
      </w:pPr>
      <w:r w:rsidRPr="00D505DC">
        <w:rPr>
          <w:rStyle w:val="Znakapoznpodarou"/>
        </w:rPr>
        <w:footnoteRef/>
      </w:r>
      <w:r w:rsidRPr="00D505DC">
        <w:t xml:space="preserve"> UNODC Global Report on Trafficking in Person 2022, Fig. 7, str. 25</w:t>
      </w:r>
    </w:p>
  </w:footnote>
  <w:footnote w:id="23">
    <w:p w14:paraId="47D32BB5" w14:textId="721FA05E" w:rsidR="005B435F" w:rsidRPr="00D505DC" w:rsidRDefault="005B435F" w:rsidP="00F42D53">
      <w:pPr>
        <w:pStyle w:val="Textpoznpodarou"/>
      </w:pPr>
      <w:r w:rsidRPr="00D505DC">
        <w:rPr>
          <w:rStyle w:val="Znakapoznpodarou"/>
        </w:rPr>
        <w:footnoteRef/>
      </w:r>
      <w:r w:rsidRPr="00D505DC">
        <w:t xml:space="preserve"> </w:t>
      </w:r>
      <w:hyperlink r:id="rId2" w:history="1">
        <w:r w:rsidRPr="008220BA">
          <w:rPr>
            <w:rStyle w:val="Hypertextovodkaz"/>
          </w:rPr>
          <w:t>https://ec.europa.eu/eurostat/databrowser/view/crim_thb_sex/default/table?lang=en&amp;category=crim.crim_thb</w:t>
        </w:r>
      </w:hyperlink>
      <w:r w:rsidRPr="00D505DC">
        <w:t xml:space="preserve">,  </w:t>
      </w:r>
    </w:p>
  </w:footnote>
  <w:footnote w:id="24">
    <w:p w14:paraId="0B40A7F5" w14:textId="7630465F" w:rsidR="005B435F" w:rsidRPr="00D505DC" w:rsidRDefault="005B435F" w:rsidP="00F42D53">
      <w:pPr>
        <w:pStyle w:val="Textpoznpodarou"/>
      </w:pPr>
      <w:r w:rsidRPr="00D505DC">
        <w:rPr>
          <w:rStyle w:val="Znakapoznpodarou"/>
        </w:rPr>
        <w:footnoteRef/>
      </w:r>
      <w:r w:rsidRPr="00D505DC">
        <w:t xml:space="preserve"> Například součet dat dle pohlaví (zvlášť mužů a zvlášť žen) v roce 2008 = 1163 osob vs. uveřejněná hodnota celkem odsouzených osob v jiném přehledu stejného datasetu = 1501 osob; zakončení sloupcového grafu roku 2008 tak odpovídá na vertikální ose hodnotě 1163 a ne dodatečně vyznačené hodnotě 1501 osob; podobně i u ostatních let / sloupců, u kterých se neshoduje součet dle pohlaví s celkem odsouzenými osobami</w:t>
      </w:r>
    </w:p>
  </w:footnote>
  <w:footnote w:id="25">
    <w:p w14:paraId="4A781661" w14:textId="407F2CBE" w:rsidR="005B435F" w:rsidRPr="00D505DC" w:rsidRDefault="005B435F" w:rsidP="00F42D53">
      <w:pPr>
        <w:pStyle w:val="Textpoznpodarou"/>
      </w:pPr>
      <w:r w:rsidRPr="00D505DC">
        <w:rPr>
          <w:rStyle w:val="Znakapoznpodarou"/>
        </w:rPr>
        <w:footnoteRef/>
      </w:r>
      <w:r w:rsidRPr="00D505DC">
        <w:t xml:space="preserve"> </w:t>
      </w:r>
      <w:hyperlink r:id="rId3" w:history="1">
        <w:r w:rsidR="008220BA" w:rsidRPr="00984FF3">
          <w:rPr>
            <w:rStyle w:val="Hypertextovodkaz"/>
          </w:rPr>
          <w:t>https://ec.europa.eu/eurostat/cache/metadata/en/crim_thb_esms.htm</w:t>
        </w:r>
      </w:hyperlink>
    </w:p>
  </w:footnote>
  <w:footnote w:id="26">
    <w:p w14:paraId="7BFF5FCD" w14:textId="77777777" w:rsidR="005B435F" w:rsidRPr="00D505DC" w:rsidRDefault="005B435F" w:rsidP="00F42D53">
      <w:pPr>
        <w:pStyle w:val="Textpoznpodarou"/>
      </w:pPr>
      <w:r w:rsidRPr="00D505DC">
        <w:rPr>
          <w:rStyle w:val="Znakapoznpodarou"/>
        </w:rPr>
        <w:footnoteRef/>
      </w:r>
      <w:r w:rsidRPr="00D505DC">
        <w:t xml:space="preserve"> </w:t>
      </w:r>
      <w:r w:rsidRPr="00D505DC">
        <w:rPr>
          <w:sz w:val="18"/>
          <w:szCs w:val="18"/>
          <w:u w:val="single"/>
          <w:lang w:val="en-GB"/>
        </w:rPr>
        <w:t>Western and Southern Europe</w:t>
      </w:r>
      <w:r w:rsidRPr="00D505DC">
        <w:rPr>
          <w:sz w:val="18"/>
          <w:szCs w:val="18"/>
          <w:lang w:val="en-GB"/>
        </w:rPr>
        <w:t xml:space="preserve"> = Andorra, Austria, Belgium, Cyprus, Denmark, Finland, France, Germany, Greece, Iceland, Ireland, Italy, Liechtenstein, Luxembourg, Malta, the Netherlands, Norway, Portugal, Spain, Sweden, Switzerland, Türkiye and the United Kingdom of Great Britain and Northern Ireland.</w:t>
      </w:r>
    </w:p>
    <w:p w14:paraId="0F0B3024" w14:textId="77777777" w:rsidR="005B435F" w:rsidRPr="00D505DC" w:rsidRDefault="005B435F" w:rsidP="00F42D53">
      <w:pPr>
        <w:pStyle w:val="Textpoznpodarou"/>
      </w:pPr>
      <w:r w:rsidRPr="00D505DC">
        <w:rPr>
          <w:sz w:val="18"/>
          <w:szCs w:val="18"/>
          <w:u w:val="single"/>
          <w:lang w:val="en-GB"/>
        </w:rPr>
        <w:t>Central and South-Eastern Europe</w:t>
      </w:r>
    </w:p>
    <w:p w14:paraId="3B428183" w14:textId="77777777" w:rsidR="005B435F" w:rsidRPr="00D505DC" w:rsidRDefault="005B435F" w:rsidP="00F42D53">
      <w:pPr>
        <w:pStyle w:val="Textpoznpodarou"/>
        <w:ind w:left="142"/>
        <w:rPr>
          <w:sz w:val="18"/>
          <w:szCs w:val="18"/>
          <w:lang w:val="en-GB"/>
        </w:rPr>
      </w:pPr>
      <w:r w:rsidRPr="00D505DC">
        <w:rPr>
          <w:sz w:val="18"/>
          <w:szCs w:val="18"/>
          <w:u w:val="dotted"/>
          <w:lang w:val="en-GB"/>
        </w:rPr>
        <w:t xml:space="preserve">Central </w:t>
      </w:r>
      <w:r w:rsidRPr="00D505DC">
        <w:rPr>
          <w:sz w:val="18"/>
          <w:szCs w:val="18"/>
          <w:lang w:val="en-GB"/>
        </w:rPr>
        <w:t xml:space="preserve">Europe = </w:t>
      </w:r>
      <w:r w:rsidRPr="00D505DC">
        <w:rPr>
          <w:b/>
          <w:bCs/>
          <w:sz w:val="18"/>
          <w:szCs w:val="18"/>
          <w:lang w:val="en-GB"/>
        </w:rPr>
        <w:t>Czechia</w:t>
      </w:r>
      <w:r w:rsidRPr="00D505DC">
        <w:rPr>
          <w:sz w:val="18"/>
          <w:szCs w:val="18"/>
          <w:lang w:val="en-GB"/>
        </w:rPr>
        <w:t xml:space="preserve">, Estonia, Hungary, Latvia, Lithuania, Poland and Slovakia, </w:t>
      </w:r>
    </w:p>
    <w:p w14:paraId="016F4D6B" w14:textId="77777777" w:rsidR="005B435F" w:rsidRPr="00D505DC" w:rsidRDefault="005B435F" w:rsidP="00F42D53">
      <w:pPr>
        <w:pStyle w:val="Textpoznpodarou"/>
        <w:ind w:left="142"/>
        <w:rPr>
          <w:sz w:val="18"/>
          <w:szCs w:val="18"/>
          <w:lang w:val="en-GB"/>
        </w:rPr>
      </w:pPr>
      <w:r w:rsidRPr="00D505DC">
        <w:rPr>
          <w:sz w:val="18"/>
          <w:szCs w:val="18"/>
          <w:u w:val="dotted"/>
          <w:lang w:val="en-GB"/>
        </w:rPr>
        <w:t>South-Eastern Europe =</w:t>
      </w:r>
      <w:r w:rsidRPr="00D505DC">
        <w:rPr>
          <w:sz w:val="18"/>
          <w:szCs w:val="18"/>
          <w:lang w:val="en-GB"/>
        </w:rPr>
        <w:t xml:space="preserve"> Albania, Bosnia and Herzegovina, Bulgaria, Croatia, Montenegro, North Macedonia, Romania, Serbia, Slovenia</w:t>
      </w:r>
    </w:p>
    <w:p w14:paraId="25F9B8A5" w14:textId="77777777" w:rsidR="005B435F" w:rsidRPr="00D505DC" w:rsidRDefault="005B435F" w:rsidP="00F42D53">
      <w:pPr>
        <w:pStyle w:val="Textpoznpodarou"/>
        <w:rPr>
          <w:sz w:val="18"/>
          <w:szCs w:val="18"/>
          <w:lang w:val="en-GB"/>
        </w:rPr>
      </w:pPr>
      <w:r w:rsidRPr="00D505DC">
        <w:rPr>
          <w:sz w:val="18"/>
          <w:szCs w:val="18"/>
          <w:u w:val="single"/>
          <w:lang w:val="en-GB"/>
        </w:rPr>
        <w:t>Eastern Europe and Central Asia</w:t>
      </w:r>
      <w:r w:rsidRPr="00D505DC">
        <w:rPr>
          <w:sz w:val="18"/>
          <w:szCs w:val="18"/>
          <w:lang w:val="en-GB"/>
        </w:rPr>
        <w:t xml:space="preserve"> = Eastern Europe consists of Armenia, Azerbaijan, Belarus, Georgia, the Republic of</w:t>
      </w:r>
    </w:p>
    <w:p w14:paraId="782D6350" w14:textId="77777777" w:rsidR="005B435F" w:rsidRPr="00D505DC" w:rsidRDefault="005B435F" w:rsidP="00F42D53">
      <w:pPr>
        <w:pStyle w:val="Textpoznpodarou"/>
        <w:rPr>
          <w:sz w:val="18"/>
          <w:szCs w:val="18"/>
          <w:lang w:val="en-GB"/>
        </w:rPr>
      </w:pPr>
      <w:r w:rsidRPr="00D505DC">
        <w:rPr>
          <w:sz w:val="18"/>
          <w:szCs w:val="18"/>
          <w:lang w:val="en-GB"/>
        </w:rPr>
        <w:t>Moldova, the Russian Federation and Ukraine. Central Asia includes Kazakhstan, Kyrgyzstan, Tajikistan and Uzbekistan.</w:t>
      </w:r>
    </w:p>
    <w:p w14:paraId="0047E373" w14:textId="77777777" w:rsidR="005B435F" w:rsidRPr="00D505DC" w:rsidRDefault="005B435F" w:rsidP="00F42D53">
      <w:pPr>
        <w:pStyle w:val="Textpoznpodarou"/>
        <w:rPr>
          <w:sz w:val="18"/>
          <w:szCs w:val="18"/>
          <w:lang w:val="en-GB"/>
        </w:rPr>
      </w:pPr>
      <w:r w:rsidRPr="00D505DC">
        <w:rPr>
          <w:sz w:val="18"/>
          <w:szCs w:val="18"/>
          <w:u w:val="single"/>
          <w:lang w:val="en-GB"/>
        </w:rPr>
        <w:t>West Africa</w:t>
      </w:r>
      <w:r w:rsidRPr="00D505DC">
        <w:rPr>
          <w:sz w:val="18"/>
          <w:szCs w:val="18"/>
          <w:lang w:val="en-GB"/>
        </w:rPr>
        <w:t xml:space="preserve"> = Benin, Cabo Verde, Central African Republic, Chad, Gambia, Liberia, Niger, Nigeria and Togo</w:t>
      </w:r>
    </w:p>
    <w:p w14:paraId="60ED5385" w14:textId="77777777" w:rsidR="005B435F" w:rsidRPr="00D505DC" w:rsidRDefault="005B435F" w:rsidP="00F42D53">
      <w:pPr>
        <w:pStyle w:val="Textpoznpodarou"/>
        <w:rPr>
          <w:lang w:val="en-GB"/>
        </w:rPr>
      </w:pPr>
      <w:r w:rsidRPr="00D505DC">
        <w:rPr>
          <w:u w:val="single"/>
          <w:lang w:val="en-GB"/>
        </w:rPr>
        <w:t>Middle East</w:t>
      </w:r>
      <w:r w:rsidRPr="00D505DC">
        <w:rPr>
          <w:lang w:val="en-GB"/>
        </w:rPr>
        <w:t xml:space="preserve"> = Iraq, Israel, Jordan, Lebanon and the Syrian Arab Republic, Yemen</w:t>
      </w:r>
    </w:p>
  </w:footnote>
  <w:footnote w:id="27">
    <w:p w14:paraId="6F9A322D" w14:textId="77777777" w:rsidR="005B435F" w:rsidRPr="00D505DC" w:rsidRDefault="005B435F" w:rsidP="008430BD">
      <w:pPr>
        <w:pStyle w:val="Textpoznpodarou"/>
      </w:pPr>
      <w:r w:rsidRPr="00D505DC">
        <w:rPr>
          <w:rStyle w:val="Znakapoznpodarou"/>
        </w:rPr>
        <w:footnoteRef/>
      </w:r>
      <w:r w:rsidRPr="00D505DC">
        <w:t xml:space="preserve"> Komise pro efektivitu justice Rady Evropy.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426CA2"/>
    <w:multiLevelType w:val="hybridMultilevel"/>
    <w:tmpl w:val="F57400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367895"/>
    <w:multiLevelType w:val="hybridMultilevel"/>
    <w:tmpl w:val="736ED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61641F"/>
    <w:multiLevelType w:val="hybridMultilevel"/>
    <w:tmpl w:val="882A55B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F7385B"/>
    <w:multiLevelType w:val="hybridMultilevel"/>
    <w:tmpl w:val="6CF0B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9" w15:restartNumberingAfterBreak="0">
    <w:nsid w:val="25BC5F5D"/>
    <w:multiLevelType w:val="multilevel"/>
    <w:tmpl w:val="9D646F44"/>
    <w:lvl w:ilvl="0">
      <w:start w:val="1"/>
      <w:numFmt w:val="decimal"/>
      <w:lvlText w:val="%1"/>
      <w:lvlJc w:val="left"/>
      <w:pPr>
        <w:ind w:left="432" w:hanging="432"/>
      </w:pPr>
    </w:lvl>
    <w:lvl w:ilvl="1">
      <w:start w:val="1"/>
      <w:numFmt w:val="decimal"/>
      <w:lvlText w:val="%1.%2"/>
      <w:lvlJc w:val="left"/>
      <w:pPr>
        <w:ind w:left="576" w:hanging="576"/>
      </w:pPr>
      <w:rPr>
        <w:sz w:val="28"/>
      </w:rPr>
    </w:lvl>
    <w:lvl w:ilvl="2">
      <w:start w:val="1"/>
      <w:numFmt w:val="decimal"/>
      <w:lvlText w:val="%1.%2.%3"/>
      <w:lvlJc w:val="left"/>
      <w:pPr>
        <w:ind w:left="720" w:hanging="720"/>
      </w:pPr>
      <w:rPr>
        <w:sz w:val="24"/>
      </w:rPr>
    </w:lvl>
    <w:lvl w:ilvl="3">
      <w:start w:val="1"/>
      <w:numFmt w:val="decimal"/>
      <w:lvlText w:val="%1.%2.%3.%4"/>
      <w:lvlJc w:val="left"/>
      <w:pPr>
        <w:ind w:left="864" w:hanging="864"/>
      </w:pPr>
      <w:rPr>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5E3348B"/>
    <w:multiLevelType w:val="hybridMultilevel"/>
    <w:tmpl w:val="D15C6D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2659A1"/>
    <w:multiLevelType w:val="hybridMultilevel"/>
    <w:tmpl w:val="5A782F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E8909E1"/>
    <w:multiLevelType w:val="hybridMultilevel"/>
    <w:tmpl w:val="34227294"/>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1DF6332"/>
    <w:multiLevelType w:val="hybridMultilevel"/>
    <w:tmpl w:val="5CC66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ED59D1"/>
    <w:multiLevelType w:val="hybridMultilevel"/>
    <w:tmpl w:val="F08CAB98"/>
    <w:lvl w:ilvl="0" w:tplc="04050001">
      <w:start w:val="1"/>
      <w:numFmt w:val="bullet"/>
      <w:lvlText w:val=""/>
      <w:lvlJc w:val="left"/>
      <w:pPr>
        <w:ind w:left="774" w:hanging="360"/>
      </w:pPr>
      <w:rPr>
        <w:rFonts w:ascii="Symbol" w:hAnsi="Symbol" w:cs="Symbol" w:hint="default"/>
      </w:rPr>
    </w:lvl>
    <w:lvl w:ilvl="1" w:tplc="04050003">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cs="Wingdings" w:hint="default"/>
      </w:rPr>
    </w:lvl>
    <w:lvl w:ilvl="3" w:tplc="04050001" w:tentative="1">
      <w:start w:val="1"/>
      <w:numFmt w:val="bullet"/>
      <w:lvlText w:val=""/>
      <w:lvlJc w:val="left"/>
      <w:pPr>
        <w:ind w:left="2934" w:hanging="360"/>
      </w:pPr>
      <w:rPr>
        <w:rFonts w:ascii="Symbol" w:hAnsi="Symbol" w:cs="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cs="Wingdings" w:hint="default"/>
      </w:rPr>
    </w:lvl>
    <w:lvl w:ilvl="6" w:tplc="04050001" w:tentative="1">
      <w:start w:val="1"/>
      <w:numFmt w:val="bullet"/>
      <w:lvlText w:val=""/>
      <w:lvlJc w:val="left"/>
      <w:pPr>
        <w:ind w:left="5094" w:hanging="360"/>
      </w:pPr>
      <w:rPr>
        <w:rFonts w:ascii="Symbol" w:hAnsi="Symbol" w:cs="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cs="Wingdings" w:hint="default"/>
      </w:rPr>
    </w:lvl>
  </w:abstractNum>
  <w:abstractNum w:abstractNumId="15" w15:restartNumberingAfterBreak="0">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DD0433"/>
    <w:multiLevelType w:val="hybridMultilevel"/>
    <w:tmpl w:val="835E23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7886D61"/>
    <w:multiLevelType w:val="hybridMultilevel"/>
    <w:tmpl w:val="032031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E1309C"/>
    <w:multiLevelType w:val="hybridMultilevel"/>
    <w:tmpl w:val="37B474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D6A635A"/>
    <w:multiLevelType w:val="hybridMultilevel"/>
    <w:tmpl w:val="4A90FD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E9368B"/>
    <w:multiLevelType w:val="hybridMultilevel"/>
    <w:tmpl w:val="6FA8DA8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93097319">
    <w:abstractNumId w:val="9"/>
  </w:num>
  <w:num w:numId="2" w16cid:durableId="1680353135">
    <w:abstractNumId w:val="18"/>
  </w:num>
  <w:num w:numId="3" w16cid:durableId="2133673018">
    <w:abstractNumId w:val="2"/>
  </w:num>
  <w:num w:numId="4" w16cid:durableId="981808358">
    <w:abstractNumId w:val="23"/>
  </w:num>
  <w:num w:numId="5" w16cid:durableId="1880898259">
    <w:abstractNumId w:val="6"/>
  </w:num>
  <w:num w:numId="6" w16cid:durableId="1815758728">
    <w:abstractNumId w:val="7"/>
  </w:num>
  <w:num w:numId="7" w16cid:durableId="1609317883">
    <w:abstractNumId w:val="15"/>
  </w:num>
  <w:num w:numId="8" w16cid:durableId="1251737925">
    <w:abstractNumId w:val="1"/>
  </w:num>
  <w:num w:numId="9" w16cid:durableId="951013616">
    <w:abstractNumId w:val="19"/>
  </w:num>
  <w:num w:numId="10" w16cid:durableId="1699237604">
    <w:abstractNumId w:val="8"/>
  </w:num>
  <w:num w:numId="11" w16cid:durableId="117530388">
    <w:abstractNumId w:val="0"/>
  </w:num>
  <w:num w:numId="12" w16cid:durableId="583874781">
    <w:abstractNumId w:val="10"/>
  </w:num>
  <w:num w:numId="13" w16cid:durableId="1856573581">
    <w:abstractNumId w:val="17"/>
  </w:num>
  <w:num w:numId="14" w16cid:durableId="850753201">
    <w:abstractNumId w:val="4"/>
  </w:num>
  <w:num w:numId="15" w16cid:durableId="1934243085">
    <w:abstractNumId w:val="24"/>
  </w:num>
  <w:num w:numId="16" w16cid:durableId="1479375769">
    <w:abstractNumId w:val="22"/>
  </w:num>
  <w:num w:numId="17" w16cid:durableId="1627849880">
    <w:abstractNumId w:val="14"/>
  </w:num>
  <w:num w:numId="18" w16cid:durableId="668361674">
    <w:abstractNumId w:val="25"/>
  </w:num>
  <w:num w:numId="19" w16cid:durableId="248393124">
    <w:abstractNumId w:val="21"/>
  </w:num>
  <w:num w:numId="20" w16cid:durableId="1588806559">
    <w:abstractNumId w:val="11"/>
  </w:num>
  <w:num w:numId="21" w16cid:durableId="1793668844">
    <w:abstractNumId w:val="3"/>
  </w:num>
  <w:num w:numId="22" w16cid:durableId="478157236">
    <w:abstractNumId w:val="20"/>
  </w:num>
  <w:num w:numId="23" w16cid:durableId="604188345">
    <w:abstractNumId w:val="5"/>
  </w:num>
  <w:num w:numId="24" w16cid:durableId="487526489">
    <w:abstractNumId w:val="16"/>
  </w:num>
  <w:num w:numId="25" w16cid:durableId="211891600">
    <w:abstractNumId w:val="13"/>
  </w:num>
  <w:num w:numId="26" w16cid:durableId="1845591344">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0BD"/>
    <w:rsid w:val="00001787"/>
    <w:rsid w:val="00001A5F"/>
    <w:rsid w:val="00002139"/>
    <w:rsid w:val="00003FDE"/>
    <w:rsid w:val="000046FE"/>
    <w:rsid w:val="00004B5D"/>
    <w:rsid w:val="00004E88"/>
    <w:rsid w:val="00005434"/>
    <w:rsid w:val="00006824"/>
    <w:rsid w:val="00006A2F"/>
    <w:rsid w:val="00006A92"/>
    <w:rsid w:val="00007029"/>
    <w:rsid w:val="000072D9"/>
    <w:rsid w:val="000116B0"/>
    <w:rsid w:val="00011FE2"/>
    <w:rsid w:val="0001221D"/>
    <w:rsid w:val="000129D8"/>
    <w:rsid w:val="00012C61"/>
    <w:rsid w:val="000130E3"/>
    <w:rsid w:val="000139E3"/>
    <w:rsid w:val="00013CB4"/>
    <w:rsid w:val="00014A1F"/>
    <w:rsid w:val="00014F1F"/>
    <w:rsid w:val="00016107"/>
    <w:rsid w:val="000172C4"/>
    <w:rsid w:val="00017E45"/>
    <w:rsid w:val="00017F47"/>
    <w:rsid w:val="0002013C"/>
    <w:rsid w:val="0002058C"/>
    <w:rsid w:val="00020CA3"/>
    <w:rsid w:val="000218DE"/>
    <w:rsid w:val="00021B4D"/>
    <w:rsid w:val="00021FDD"/>
    <w:rsid w:val="0002292D"/>
    <w:rsid w:val="00023512"/>
    <w:rsid w:val="00023D33"/>
    <w:rsid w:val="0002411F"/>
    <w:rsid w:val="0002512C"/>
    <w:rsid w:val="00025E28"/>
    <w:rsid w:val="000267E2"/>
    <w:rsid w:val="00027839"/>
    <w:rsid w:val="00027945"/>
    <w:rsid w:val="0003012E"/>
    <w:rsid w:val="00030140"/>
    <w:rsid w:val="0003032A"/>
    <w:rsid w:val="000306D3"/>
    <w:rsid w:val="00030DC4"/>
    <w:rsid w:val="0003134F"/>
    <w:rsid w:val="00031B7B"/>
    <w:rsid w:val="00032FD9"/>
    <w:rsid w:val="00033563"/>
    <w:rsid w:val="00033DD2"/>
    <w:rsid w:val="00034468"/>
    <w:rsid w:val="00034E32"/>
    <w:rsid w:val="00034F1B"/>
    <w:rsid w:val="00034F8F"/>
    <w:rsid w:val="00036EFB"/>
    <w:rsid w:val="000373A5"/>
    <w:rsid w:val="000378D2"/>
    <w:rsid w:val="000405B0"/>
    <w:rsid w:val="000413C4"/>
    <w:rsid w:val="000418AF"/>
    <w:rsid w:val="00043040"/>
    <w:rsid w:val="0004407D"/>
    <w:rsid w:val="000441B5"/>
    <w:rsid w:val="00044982"/>
    <w:rsid w:val="000462DA"/>
    <w:rsid w:val="00046BCA"/>
    <w:rsid w:val="00047C91"/>
    <w:rsid w:val="00047CBD"/>
    <w:rsid w:val="00050FD5"/>
    <w:rsid w:val="000511EF"/>
    <w:rsid w:val="0005126D"/>
    <w:rsid w:val="00051736"/>
    <w:rsid w:val="00052B16"/>
    <w:rsid w:val="00052D50"/>
    <w:rsid w:val="00053AF0"/>
    <w:rsid w:val="00054887"/>
    <w:rsid w:val="00055D3C"/>
    <w:rsid w:val="00056825"/>
    <w:rsid w:val="00056C30"/>
    <w:rsid w:val="000601BB"/>
    <w:rsid w:val="00060216"/>
    <w:rsid w:val="00060472"/>
    <w:rsid w:val="00060F97"/>
    <w:rsid w:val="000619A5"/>
    <w:rsid w:val="000621C3"/>
    <w:rsid w:val="000624CC"/>
    <w:rsid w:val="000624D9"/>
    <w:rsid w:val="00063C57"/>
    <w:rsid w:val="00063EED"/>
    <w:rsid w:val="000646E1"/>
    <w:rsid w:val="0006519A"/>
    <w:rsid w:val="0006596A"/>
    <w:rsid w:val="00065AFE"/>
    <w:rsid w:val="00066315"/>
    <w:rsid w:val="00066CFA"/>
    <w:rsid w:val="000700B6"/>
    <w:rsid w:val="0007076C"/>
    <w:rsid w:val="0007114D"/>
    <w:rsid w:val="00071631"/>
    <w:rsid w:val="00071A56"/>
    <w:rsid w:val="000725B7"/>
    <w:rsid w:val="00072D67"/>
    <w:rsid w:val="000749BB"/>
    <w:rsid w:val="000757DD"/>
    <w:rsid w:val="0007585E"/>
    <w:rsid w:val="00075B6D"/>
    <w:rsid w:val="00076009"/>
    <w:rsid w:val="00076358"/>
    <w:rsid w:val="00076410"/>
    <w:rsid w:val="00076FC8"/>
    <w:rsid w:val="000777CE"/>
    <w:rsid w:val="00077909"/>
    <w:rsid w:val="000814CB"/>
    <w:rsid w:val="00081D57"/>
    <w:rsid w:val="00082738"/>
    <w:rsid w:val="00082D00"/>
    <w:rsid w:val="00083096"/>
    <w:rsid w:val="00084651"/>
    <w:rsid w:val="000849D0"/>
    <w:rsid w:val="000850E2"/>
    <w:rsid w:val="0008533B"/>
    <w:rsid w:val="000855E7"/>
    <w:rsid w:val="0008597A"/>
    <w:rsid w:val="00086753"/>
    <w:rsid w:val="00090036"/>
    <w:rsid w:val="00090544"/>
    <w:rsid w:val="00090729"/>
    <w:rsid w:val="00090CF1"/>
    <w:rsid w:val="00092117"/>
    <w:rsid w:val="00093150"/>
    <w:rsid w:val="000933DC"/>
    <w:rsid w:val="00094700"/>
    <w:rsid w:val="00094ADF"/>
    <w:rsid w:val="00095B0F"/>
    <w:rsid w:val="00096378"/>
    <w:rsid w:val="00097896"/>
    <w:rsid w:val="000A04FF"/>
    <w:rsid w:val="000A3088"/>
    <w:rsid w:val="000A30B5"/>
    <w:rsid w:val="000A48FC"/>
    <w:rsid w:val="000A6DFA"/>
    <w:rsid w:val="000A7271"/>
    <w:rsid w:val="000A7ACF"/>
    <w:rsid w:val="000B0AF8"/>
    <w:rsid w:val="000B1F82"/>
    <w:rsid w:val="000B22E1"/>
    <w:rsid w:val="000B274A"/>
    <w:rsid w:val="000B331D"/>
    <w:rsid w:val="000B381E"/>
    <w:rsid w:val="000B420E"/>
    <w:rsid w:val="000B514E"/>
    <w:rsid w:val="000B6A03"/>
    <w:rsid w:val="000C109B"/>
    <w:rsid w:val="000C1A67"/>
    <w:rsid w:val="000C23B6"/>
    <w:rsid w:val="000C2981"/>
    <w:rsid w:val="000C3B1E"/>
    <w:rsid w:val="000C3E4E"/>
    <w:rsid w:val="000C430A"/>
    <w:rsid w:val="000C43B6"/>
    <w:rsid w:val="000C472F"/>
    <w:rsid w:val="000C5488"/>
    <w:rsid w:val="000C5C30"/>
    <w:rsid w:val="000C6701"/>
    <w:rsid w:val="000C71CB"/>
    <w:rsid w:val="000C734E"/>
    <w:rsid w:val="000C76E6"/>
    <w:rsid w:val="000D2076"/>
    <w:rsid w:val="000D315A"/>
    <w:rsid w:val="000D386B"/>
    <w:rsid w:val="000D40D2"/>
    <w:rsid w:val="000D4220"/>
    <w:rsid w:val="000D42A8"/>
    <w:rsid w:val="000D4B2A"/>
    <w:rsid w:val="000D4CD2"/>
    <w:rsid w:val="000D4F42"/>
    <w:rsid w:val="000D5141"/>
    <w:rsid w:val="000D56B2"/>
    <w:rsid w:val="000D5984"/>
    <w:rsid w:val="000D5CA7"/>
    <w:rsid w:val="000D5E5A"/>
    <w:rsid w:val="000D64DF"/>
    <w:rsid w:val="000D660F"/>
    <w:rsid w:val="000D6FB7"/>
    <w:rsid w:val="000D734F"/>
    <w:rsid w:val="000D7A53"/>
    <w:rsid w:val="000E0762"/>
    <w:rsid w:val="000E0C47"/>
    <w:rsid w:val="000E0D17"/>
    <w:rsid w:val="000E16A3"/>
    <w:rsid w:val="000E194C"/>
    <w:rsid w:val="000E1CAF"/>
    <w:rsid w:val="000E1EB9"/>
    <w:rsid w:val="000E2347"/>
    <w:rsid w:val="000E25BA"/>
    <w:rsid w:val="000E2C87"/>
    <w:rsid w:val="000E311A"/>
    <w:rsid w:val="000E3507"/>
    <w:rsid w:val="000E3BB2"/>
    <w:rsid w:val="000E4730"/>
    <w:rsid w:val="000E50E2"/>
    <w:rsid w:val="000E5882"/>
    <w:rsid w:val="000E5976"/>
    <w:rsid w:val="000E6310"/>
    <w:rsid w:val="000E6C74"/>
    <w:rsid w:val="000E7CC4"/>
    <w:rsid w:val="000F0062"/>
    <w:rsid w:val="000F01F4"/>
    <w:rsid w:val="000F06FD"/>
    <w:rsid w:val="000F0C35"/>
    <w:rsid w:val="000F0D2B"/>
    <w:rsid w:val="000F1418"/>
    <w:rsid w:val="000F1C6A"/>
    <w:rsid w:val="000F35B2"/>
    <w:rsid w:val="000F4C8F"/>
    <w:rsid w:val="000F5128"/>
    <w:rsid w:val="000F549E"/>
    <w:rsid w:val="000F6962"/>
    <w:rsid w:val="000F7140"/>
    <w:rsid w:val="000F7713"/>
    <w:rsid w:val="000F78E8"/>
    <w:rsid w:val="00101662"/>
    <w:rsid w:val="00101914"/>
    <w:rsid w:val="00101F2B"/>
    <w:rsid w:val="00102E29"/>
    <w:rsid w:val="00103628"/>
    <w:rsid w:val="00103791"/>
    <w:rsid w:val="00104084"/>
    <w:rsid w:val="00104E7A"/>
    <w:rsid w:val="00105367"/>
    <w:rsid w:val="001053E6"/>
    <w:rsid w:val="00106159"/>
    <w:rsid w:val="00106459"/>
    <w:rsid w:val="00106F4B"/>
    <w:rsid w:val="0010718D"/>
    <w:rsid w:val="0010762C"/>
    <w:rsid w:val="00107682"/>
    <w:rsid w:val="00110E05"/>
    <w:rsid w:val="00110EBC"/>
    <w:rsid w:val="00111D33"/>
    <w:rsid w:val="001126B0"/>
    <w:rsid w:val="0011486F"/>
    <w:rsid w:val="001154EC"/>
    <w:rsid w:val="00115F4F"/>
    <w:rsid w:val="00116186"/>
    <w:rsid w:val="00117462"/>
    <w:rsid w:val="00117694"/>
    <w:rsid w:val="00117964"/>
    <w:rsid w:val="00117B74"/>
    <w:rsid w:val="00117BFB"/>
    <w:rsid w:val="001200BB"/>
    <w:rsid w:val="00120348"/>
    <w:rsid w:val="00120A38"/>
    <w:rsid w:val="00121199"/>
    <w:rsid w:val="00121DC9"/>
    <w:rsid w:val="00123051"/>
    <w:rsid w:val="0012339A"/>
    <w:rsid w:val="0012346E"/>
    <w:rsid w:val="00123617"/>
    <w:rsid w:val="00123AC4"/>
    <w:rsid w:val="00124276"/>
    <w:rsid w:val="001251F4"/>
    <w:rsid w:val="00125245"/>
    <w:rsid w:val="00125857"/>
    <w:rsid w:val="00126580"/>
    <w:rsid w:val="001265F5"/>
    <w:rsid w:val="00127FFC"/>
    <w:rsid w:val="00130B8E"/>
    <w:rsid w:val="001316F4"/>
    <w:rsid w:val="00131C29"/>
    <w:rsid w:val="001325E4"/>
    <w:rsid w:val="0013286A"/>
    <w:rsid w:val="00133546"/>
    <w:rsid w:val="0013473D"/>
    <w:rsid w:val="00134A55"/>
    <w:rsid w:val="0013578B"/>
    <w:rsid w:val="00135992"/>
    <w:rsid w:val="00135A4F"/>
    <w:rsid w:val="00136049"/>
    <w:rsid w:val="00137A0B"/>
    <w:rsid w:val="00137AD5"/>
    <w:rsid w:val="0014150C"/>
    <w:rsid w:val="00141AFD"/>
    <w:rsid w:val="00142084"/>
    <w:rsid w:val="00142176"/>
    <w:rsid w:val="0014346B"/>
    <w:rsid w:val="00143AC8"/>
    <w:rsid w:val="00143C42"/>
    <w:rsid w:val="00144C49"/>
    <w:rsid w:val="00145529"/>
    <w:rsid w:val="001456DC"/>
    <w:rsid w:val="0014607E"/>
    <w:rsid w:val="00146A3B"/>
    <w:rsid w:val="001473B0"/>
    <w:rsid w:val="00150439"/>
    <w:rsid w:val="00151044"/>
    <w:rsid w:val="00151464"/>
    <w:rsid w:val="00151B3D"/>
    <w:rsid w:val="00151EFF"/>
    <w:rsid w:val="001532AF"/>
    <w:rsid w:val="0015363E"/>
    <w:rsid w:val="001539FF"/>
    <w:rsid w:val="001545B1"/>
    <w:rsid w:val="00154E64"/>
    <w:rsid w:val="00155B54"/>
    <w:rsid w:val="00157663"/>
    <w:rsid w:val="001606AD"/>
    <w:rsid w:val="001620EC"/>
    <w:rsid w:val="00162461"/>
    <w:rsid w:val="0016261E"/>
    <w:rsid w:val="001629FF"/>
    <w:rsid w:val="00162A92"/>
    <w:rsid w:val="001630A8"/>
    <w:rsid w:val="0016342C"/>
    <w:rsid w:val="00163532"/>
    <w:rsid w:val="00163BD0"/>
    <w:rsid w:val="00163D10"/>
    <w:rsid w:val="001641F3"/>
    <w:rsid w:val="00165007"/>
    <w:rsid w:val="00165B9B"/>
    <w:rsid w:val="00166133"/>
    <w:rsid w:val="00166821"/>
    <w:rsid w:val="00166F0B"/>
    <w:rsid w:val="00166F3D"/>
    <w:rsid w:val="001677D6"/>
    <w:rsid w:val="00167F87"/>
    <w:rsid w:val="00170F61"/>
    <w:rsid w:val="00170FE7"/>
    <w:rsid w:val="00172B9B"/>
    <w:rsid w:val="00172E36"/>
    <w:rsid w:val="00172FCB"/>
    <w:rsid w:val="001730EA"/>
    <w:rsid w:val="001731F6"/>
    <w:rsid w:val="0017366A"/>
    <w:rsid w:val="00173E09"/>
    <w:rsid w:val="00174306"/>
    <w:rsid w:val="00174895"/>
    <w:rsid w:val="00174B99"/>
    <w:rsid w:val="00174FE5"/>
    <w:rsid w:val="00175FA0"/>
    <w:rsid w:val="001764B8"/>
    <w:rsid w:val="00176E83"/>
    <w:rsid w:val="00177105"/>
    <w:rsid w:val="00177D82"/>
    <w:rsid w:val="00180488"/>
    <w:rsid w:val="001807C5"/>
    <w:rsid w:val="00181240"/>
    <w:rsid w:val="00182CE2"/>
    <w:rsid w:val="00183D23"/>
    <w:rsid w:val="00183E52"/>
    <w:rsid w:val="001858DD"/>
    <w:rsid w:val="00186A96"/>
    <w:rsid w:val="0019021B"/>
    <w:rsid w:val="001912C7"/>
    <w:rsid w:val="00191A46"/>
    <w:rsid w:val="00191C60"/>
    <w:rsid w:val="00192333"/>
    <w:rsid w:val="00193009"/>
    <w:rsid w:val="001932D5"/>
    <w:rsid w:val="00193FA5"/>
    <w:rsid w:val="0019514C"/>
    <w:rsid w:val="00195405"/>
    <w:rsid w:val="0019594A"/>
    <w:rsid w:val="00195F31"/>
    <w:rsid w:val="00195F76"/>
    <w:rsid w:val="00196151"/>
    <w:rsid w:val="001962CF"/>
    <w:rsid w:val="0019774A"/>
    <w:rsid w:val="001A00D5"/>
    <w:rsid w:val="001A012F"/>
    <w:rsid w:val="001A0CEC"/>
    <w:rsid w:val="001A1EFE"/>
    <w:rsid w:val="001A3544"/>
    <w:rsid w:val="001A451C"/>
    <w:rsid w:val="001A4657"/>
    <w:rsid w:val="001A4ECC"/>
    <w:rsid w:val="001A527D"/>
    <w:rsid w:val="001A5E4B"/>
    <w:rsid w:val="001A68FF"/>
    <w:rsid w:val="001A69D3"/>
    <w:rsid w:val="001A71F2"/>
    <w:rsid w:val="001A7906"/>
    <w:rsid w:val="001B0B44"/>
    <w:rsid w:val="001B0DDF"/>
    <w:rsid w:val="001B1856"/>
    <w:rsid w:val="001B209F"/>
    <w:rsid w:val="001B3252"/>
    <w:rsid w:val="001B356B"/>
    <w:rsid w:val="001B49E5"/>
    <w:rsid w:val="001B5E6A"/>
    <w:rsid w:val="001B6812"/>
    <w:rsid w:val="001B76F1"/>
    <w:rsid w:val="001B7DD2"/>
    <w:rsid w:val="001C0095"/>
    <w:rsid w:val="001C0643"/>
    <w:rsid w:val="001C17D7"/>
    <w:rsid w:val="001C219D"/>
    <w:rsid w:val="001C388F"/>
    <w:rsid w:val="001C3EC8"/>
    <w:rsid w:val="001C3EF6"/>
    <w:rsid w:val="001C59E2"/>
    <w:rsid w:val="001C744A"/>
    <w:rsid w:val="001C75F5"/>
    <w:rsid w:val="001C77B0"/>
    <w:rsid w:val="001C7A7A"/>
    <w:rsid w:val="001C7C42"/>
    <w:rsid w:val="001D018C"/>
    <w:rsid w:val="001D1AC0"/>
    <w:rsid w:val="001D2088"/>
    <w:rsid w:val="001D2840"/>
    <w:rsid w:val="001D3D3C"/>
    <w:rsid w:val="001D3DC6"/>
    <w:rsid w:val="001D41ED"/>
    <w:rsid w:val="001D43DF"/>
    <w:rsid w:val="001D542F"/>
    <w:rsid w:val="001D5672"/>
    <w:rsid w:val="001D5A55"/>
    <w:rsid w:val="001D6467"/>
    <w:rsid w:val="001D6BCD"/>
    <w:rsid w:val="001D7210"/>
    <w:rsid w:val="001D723D"/>
    <w:rsid w:val="001D7559"/>
    <w:rsid w:val="001D78B1"/>
    <w:rsid w:val="001D7D46"/>
    <w:rsid w:val="001D7DF5"/>
    <w:rsid w:val="001E0D57"/>
    <w:rsid w:val="001E10B5"/>
    <w:rsid w:val="001E127F"/>
    <w:rsid w:val="001E16FD"/>
    <w:rsid w:val="001E1A67"/>
    <w:rsid w:val="001E2458"/>
    <w:rsid w:val="001E27C8"/>
    <w:rsid w:val="001E324C"/>
    <w:rsid w:val="001E3723"/>
    <w:rsid w:val="001E4577"/>
    <w:rsid w:val="001E4F76"/>
    <w:rsid w:val="001E5E45"/>
    <w:rsid w:val="001E6618"/>
    <w:rsid w:val="001E6AFB"/>
    <w:rsid w:val="001E788A"/>
    <w:rsid w:val="001E79E3"/>
    <w:rsid w:val="001F0A0A"/>
    <w:rsid w:val="001F0C10"/>
    <w:rsid w:val="001F12D6"/>
    <w:rsid w:val="001F1977"/>
    <w:rsid w:val="001F21E7"/>
    <w:rsid w:val="001F2853"/>
    <w:rsid w:val="001F42E2"/>
    <w:rsid w:val="001F446A"/>
    <w:rsid w:val="001F4A3D"/>
    <w:rsid w:val="001F4EAB"/>
    <w:rsid w:val="001F4EAF"/>
    <w:rsid w:val="001F5C1B"/>
    <w:rsid w:val="001F5E5B"/>
    <w:rsid w:val="001F6075"/>
    <w:rsid w:val="001F642C"/>
    <w:rsid w:val="001F7A18"/>
    <w:rsid w:val="001F7F03"/>
    <w:rsid w:val="0020007E"/>
    <w:rsid w:val="00200F14"/>
    <w:rsid w:val="002011CD"/>
    <w:rsid w:val="0020159F"/>
    <w:rsid w:val="0020161B"/>
    <w:rsid w:val="00201625"/>
    <w:rsid w:val="00201CB0"/>
    <w:rsid w:val="00202408"/>
    <w:rsid w:val="00202725"/>
    <w:rsid w:val="00202836"/>
    <w:rsid w:val="00202DE6"/>
    <w:rsid w:val="0020439B"/>
    <w:rsid w:val="0020477E"/>
    <w:rsid w:val="0020512F"/>
    <w:rsid w:val="00206222"/>
    <w:rsid w:val="002065F5"/>
    <w:rsid w:val="00206DE1"/>
    <w:rsid w:val="00207144"/>
    <w:rsid w:val="0020731E"/>
    <w:rsid w:val="00207659"/>
    <w:rsid w:val="00207C18"/>
    <w:rsid w:val="00207CC9"/>
    <w:rsid w:val="00207FF3"/>
    <w:rsid w:val="00210F3E"/>
    <w:rsid w:val="002111E1"/>
    <w:rsid w:val="00212921"/>
    <w:rsid w:val="00213A42"/>
    <w:rsid w:val="00215718"/>
    <w:rsid w:val="0021600A"/>
    <w:rsid w:val="00216C6E"/>
    <w:rsid w:val="00217993"/>
    <w:rsid w:val="00220335"/>
    <w:rsid w:val="00220369"/>
    <w:rsid w:val="0022060E"/>
    <w:rsid w:val="002208A8"/>
    <w:rsid w:val="002209FD"/>
    <w:rsid w:val="00221D7D"/>
    <w:rsid w:val="0022214F"/>
    <w:rsid w:val="0022231D"/>
    <w:rsid w:val="0022299E"/>
    <w:rsid w:val="00223626"/>
    <w:rsid w:val="00223CE7"/>
    <w:rsid w:val="00223FBF"/>
    <w:rsid w:val="00225127"/>
    <w:rsid w:val="00225795"/>
    <w:rsid w:val="002261D1"/>
    <w:rsid w:val="002263C3"/>
    <w:rsid w:val="002274ED"/>
    <w:rsid w:val="00227A03"/>
    <w:rsid w:val="00227C2A"/>
    <w:rsid w:val="00230055"/>
    <w:rsid w:val="00230552"/>
    <w:rsid w:val="00230C2E"/>
    <w:rsid w:val="002310B1"/>
    <w:rsid w:val="002317A2"/>
    <w:rsid w:val="002324ED"/>
    <w:rsid w:val="002333E0"/>
    <w:rsid w:val="00233AEA"/>
    <w:rsid w:val="002358A7"/>
    <w:rsid w:val="00235E07"/>
    <w:rsid w:val="00236876"/>
    <w:rsid w:val="00236A55"/>
    <w:rsid w:val="002373C2"/>
    <w:rsid w:val="002379EA"/>
    <w:rsid w:val="002400B2"/>
    <w:rsid w:val="00240FE0"/>
    <w:rsid w:val="002410D5"/>
    <w:rsid w:val="002419B4"/>
    <w:rsid w:val="00241D6D"/>
    <w:rsid w:val="00241E23"/>
    <w:rsid w:val="00241E8D"/>
    <w:rsid w:val="002434D5"/>
    <w:rsid w:val="002434EE"/>
    <w:rsid w:val="002437B3"/>
    <w:rsid w:val="00244BE5"/>
    <w:rsid w:val="00244D5B"/>
    <w:rsid w:val="002451C7"/>
    <w:rsid w:val="00245596"/>
    <w:rsid w:val="002455D1"/>
    <w:rsid w:val="00245969"/>
    <w:rsid w:val="00245F53"/>
    <w:rsid w:val="00246A41"/>
    <w:rsid w:val="00246C50"/>
    <w:rsid w:val="00247A0E"/>
    <w:rsid w:val="002501C2"/>
    <w:rsid w:val="002503BF"/>
    <w:rsid w:val="0025119E"/>
    <w:rsid w:val="0025131B"/>
    <w:rsid w:val="002528A9"/>
    <w:rsid w:val="00254954"/>
    <w:rsid w:val="00254CAE"/>
    <w:rsid w:val="0025530E"/>
    <w:rsid w:val="002556E7"/>
    <w:rsid w:val="00256272"/>
    <w:rsid w:val="00256CBF"/>
    <w:rsid w:val="00256D21"/>
    <w:rsid w:val="0026036B"/>
    <w:rsid w:val="00261F11"/>
    <w:rsid w:val="0026203B"/>
    <w:rsid w:val="002624CC"/>
    <w:rsid w:val="00262BEC"/>
    <w:rsid w:val="00263DAF"/>
    <w:rsid w:val="00264492"/>
    <w:rsid w:val="0026572B"/>
    <w:rsid w:val="002665DC"/>
    <w:rsid w:val="00266DE9"/>
    <w:rsid w:val="00267DC2"/>
    <w:rsid w:val="002706AC"/>
    <w:rsid w:val="00270D14"/>
    <w:rsid w:val="002714F6"/>
    <w:rsid w:val="00271682"/>
    <w:rsid w:val="00271895"/>
    <w:rsid w:val="00271AC8"/>
    <w:rsid w:val="0027234A"/>
    <w:rsid w:val="00272649"/>
    <w:rsid w:val="00272669"/>
    <w:rsid w:val="00273568"/>
    <w:rsid w:val="00273971"/>
    <w:rsid w:val="002742E7"/>
    <w:rsid w:val="00275043"/>
    <w:rsid w:val="002754E0"/>
    <w:rsid w:val="002757C5"/>
    <w:rsid w:val="002771EA"/>
    <w:rsid w:val="002804CF"/>
    <w:rsid w:val="00280836"/>
    <w:rsid w:val="00280D2F"/>
    <w:rsid w:val="00280D76"/>
    <w:rsid w:val="00280F81"/>
    <w:rsid w:val="00281AA3"/>
    <w:rsid w:val="002822C4"/>
    <w:rsid w:val="002852C6"/>
    <w:rsid w:val="002856BC"/>
    <w:rsid w:val="00285A83"/>
    <w:rsid w:val="00285CDF"/>
    <w:rsid w:val="00287277"/>
    <w:rsid w:val="00287390"/>
    <w:rsid w:val="002876D2"/>
    <w:rsid w:val="00287CA0"/>
    <w:rsid w:val="00290ABE"/>
    <w:rsid w:val="00291655"/>
    <w:rsid w:val="00291A09"/>
    <w:rsid w:val="00291B4A"/>
    <w:rsid w:val="002922A8"/>
    <w:rsid w:val="00292D5B"/>
    <w:rsid w:val="00293D07"/>
    <w:rsid w:val="00294CAA"/>
    <w:rsid w:val="002950C5"/>
    <w:rsid w:val="00295875"/>
    <w:rsid w:val="00296758"/>
    <w:rsid w:val="00297778"/>
    <w:rsid w:val="00297BEC"/>
    <w:rsid w:val="00297DFB"/>
    <w:rsid w:val="00297F5A"/>
    <w:rsid w:val="002A1835"/>
    <w:rsid w:val="002A2231"/>
    <w:rsid w:val="002A2AA3"/>
    <w:rsid w:val="002A2C14"/>
    <w:rsid w:val="002A36BC"/>
    <w:rsid w:val="002A3A2C"/>
    <w:rsid w:val="002A3A46"/>
    <w:rsid w:val="002A3AB6"/>
    <w:rsid w:val="002A449E"/>
    <w:rsid w:val="002A4AC8"/>
    <w:rsid w:val="002A593A"/>
    <w:rsid w:val="002A77E3"/>
    <w:rsid w:val="002A7D5F"/>
    <w:rsid w:val="002B0AD8"/>
    <w:rsid w:val="002B119F"/>
    <w:rsid w:val="002B1F1A"/>
    <w:rsid w:val="002B38C7"/>
    <w:rsid w:val="002B4004"/>
    <w:rsid w:val="002B51C9"/>
    <w:rsid w:val="002B608F"/>
    <w:rsid w:val="002B7401"/>
    <w:rsid w:val="002B75F7"/>
    <w:rsid w:val="002C014C"/>
    <w:rsid w:val="002C060C"/>
    <w:rsid w:val="002C0E1C"/>
    <w:rsid w:val="002C1721"/>
    <w:rsid w:val="002C1984"/>
    <w:rsid w:val="002C1E9B"/>
    <w:rsid w:val="002C2EEF"/>
    <w:rsid w:val="002C2FDE"/>
    <w:rsid w:val="002C3331"/>
    <w:rsid w:val="002C3636"/>
    <w:rsid w:val="002C3AE7"/>
    <w:rsid w:val="002C3F94"/>
    <w:rsid w:val="002C4A97"/>
    <w:rsid w:val="002C4CFD"/>
    <w:rsid w:val="002C6A7A"/>
    <w:rsid w:val="002C74EE"/>
    <w:rsid w:val="002D0406"/>
    <w:rsid w:val="002D066A"/>
    <w:rsid w:val="002D2917"/>
    <w:rsid w:val="002D335C"/>
    <w:rsid w:val="002D342A"/>
    <w:rsid w:val="002D3457"/>
    <w:rsid w:val="002D3FA6"/>
    <w:rsid w:val="002D4214"/>
    <w:rsid w:val="002D4655"/>
    <w:rsid w:val="002D4B12"/>
    <w:rsid w:val="002D5FB5"/>
    <w:rsid w:val="002D6287"/>
    <w:rsid w:val="002D6FA3"/>
    <w:rsid w:val="002D7898"/>
    <w:rsid w:val="002E02E5"/>
    <w:rsid w:val="002E09CF"/>
    <w:rsid w:val="002E1B55"/>
    <w:rsid w:val="002E24F2"/>
    <w:rsid w:val="002E2794"/>
    <w:rsid w:val="002E3620"/>
    <w:rsid w:val="002E4D0F"/>
    <w:rsid w:val="002E5B88"/>
    <w:rsid w:val="002E5CAE"/>
    <w:rsid w:val="002E6246"/>
    <w:rsid w:val="002E70DB"/>
    <w:rsid w:val="002F00AD"/>
    <w:rsid w:val="002F041F"/>
    <w:rsid w:val="002F1882"/>
    <w:rsid w:val="002F20E1"/>
    <w:rsid w:val="002F26F9"/>
    <w:rsid w:val="002F2932"/>
    <w:rsid w:val="002F3563"/>
    <w:rsid w:val="002F5880"/>
    <w:rsid w:val="002F5B1D"/>
    <w:rsid w:val="002F5B75"/>
    <w:rsid w:val="002F6351"/>
    <w:rsid w:val="002F68E3"/>
    <w:rsid w:val="003006A7"/>
    <w:rsid w:val="00300E69"/>
    <w:rsid w:val="00302145"/>
    <w:rsid w:val="003024F1"/>
    <w:rsid w:val="003036DE"/>
    <w:rsid w:val="00303E36"/>
    <w:rsid w:val="003048D9"/>
    <w:rsid w:val="003051F3"/>
    <w:rsid w:val="003055E3"/>
    <w:rsid w:val="003063D8"/>
    <w:rsid w:val="00306B8B"/>
    <w:rsid w:val="003073A8"/>
    <w:rsid w:val="00310D82"/>
    <w:rsid w:val="00311BB6"/>
    <w:rsid w:val="00311BE7"/>
    <w:rsid w:val="00311CE3"/>
    <w:rsid w:val="00311D1B"/>
    <w:rsid w:val="00312CAC"/>
    <w:rsid w:val="00313848"/>
    <w:rsid w:val="00313903"/>
    <w:rsid w:val="00313DFB"/>
    <w:rsid w:val="0031404D"/>
    <w:rsid w:val="0031438E"/>
    <w:rsid w:val="00314BD2"/>
    <w:rsid w:val="00314C72"/>
    <w:rsid w:val="00314DB5"/>
    <w:rsid w:val="00314F7F"/>
    <w:rsid w:val="00315058"/>
    <w:rsid w:val="00315CAB"/>
    <w:rsid w:val="00317406"/>
    <w:rsid w:val="00320597"/>
    <w:rsid w:val="00320D67"/>
    <w:rsid w:val="003222F3"/>
    <w:rsid w:val="0032331B"/>
    <w:rsid w:val="00323A5B"/>
    <w:rsid w:val="00324178"/>
    <w:rsid w:val="003265A1"/>
    <w:rsid w:val="003266A8"/>
    <w:rsid w:val="00326719"/>
    <w:rsid w:val="003269D4"/>
    <w:rsid w:val="0032777C"/>
    <w:rsid w:val="00327D56"/>
    <w:rsid w:val="00327D79"/>
    <w:rsid w:val="003313E5"/>
    <w:rsid w:val="0033181C"/>
    <w:rsid w:val="003319F3"/>
    <w:rsid w:val="00332658"/>
    <w:rsid w:val="00332B4C"/>
    <w:rsid w:val="00332DB3"/>
    <w:rsid w:val="00333079"/>
    <w:rsid w:val="00333D5C"/>
    <w:rsid w:val="003349FF"/>
    <w:rsid w:val="00334F10"/>
    <w:rsid w:val="00335E36"/>
    <w:rsid w:val="003362DD"/>
    <w:rsid w:val="00337E3C"/>
    <w:rsid w:val="00337F37"/>
    <w:rsid w:val="0034011B"/>
    <w:rsid w:val="00340529"/>
    <w:rsid w:val="00340589"/>
    <w:rsid w:val="0034077E"/>
    <w:rsid w:val="00340ACB"/>
    <w:rsid w:val="00341CF1"/>
    <w:rsid w:val="00342226"/>
    <w:rsid w:val="003426BF"/>
    <w:rsid w:val="00342715"/>
    <w:rsid w:val="00342CAB"/>
    <w:rsid w:val="00342E4F"/>
    <w:rsid w:val="0034306F"/>
    <w:rsid w:val="0034342C"/>
    <w:rsid w:val="00343754"/>
    <w:rsid w:val="00344544"/>
    <w:rsid w:val="00344CCA"/>
    <w:rsid w:val="003469B1"/>
    <w:rsid w:val="003503EC"/>
    <w:rsid w:val="003513F6"/>
    <w:rsid w:val="003518EE"/>
    <w:rsid w:val="00351E91"/>
    <w:rsid w:val="00351EC5"/>
    <w:rsid w:val="00352444"/>
    <w:rsid w:val="00352538"/>
    <w:rsid w:val="003535B6"/>
    <w:rsid w:val="0035531F"/>
    <w:rsid w:val="00355BBF"/>
    <w:rsid w:val="00355D04"/>
    <w:rsid w:val="003567E9"/>
    <w:rsid w:val="0035708D"/>
    <w:rsid w:val="00357998"/>
    <w:rsid w:val="00357A51"/>
    <w:rsid w:val="00357AA2"/>
    <w:rsid w:val="00357C62"/>
    <w:rsid w:val="00357E89"/>
    <w:rsid w:val="00361916"/>
    <w:rsid w:val="00362859"/>
    <w:rsid w:val="00363F20"/>
    <w:rsid w:val="00364308"/>
    <w:rsid w:val="003649F1"/>
    <w:rsid w:val="00365A8A"/>
    <w:rsid w:val="003664AD"/>
    <w:rsid w:val="0036701F"/>
    <w:rsid w:val="00370EDB"/>
    <w:rsid w:val="00371009"/>
    <w:rsid w:val="003712D1"/>
    <w:rsid w:val="0037153D"/>
    <w:rsid w:val="00371782"/>
    <w:rsid w:val="00371DB0"/>
    <w:rsid w:val="00373951"/>
    <w:rsid w:val="00373B8F"/>
    <w:rsid w:val="00375A7B"/>
    <w:rsid w:val="003760E8"/>
    <w:rsid w:val="003762F3"/>
    <w:rsid w:val="00377B9A"/>
    <w:rsid w:val="003807EB"/>
    <w:rsid w:val="003809B3"/>
    <w:rsid w:val="00380E45"/>
    <w:rsid w:val="0038112F"/>
    <w:rsid w:val="003811B0"/>
    <w:rsid w:val="003817FB"/>
    <w:rsid w:val="00381863"/>
    <w:rsid w:val="00381A53"/>
    <w:rsid w:val="0038209A"/>
    <w:rsid w:val="00382567"/>
    <w:rsid w:val="00383035"/>
    <w:rsid w:val="00383BF1"/>
    <w:rsid w:val="003842AE"/>
    <w:rsid w:val="003845F0"/>
    <w:rsid w:val="0038473E"/>
    <w:rsid w:val="00384B2A"/>
    <w:rsid w:val="00384EAA"/>
    <w:rsid w:val="00385F1A"/>
    <w:rsid w:val="003877E4"/>
    <w:rsid w:val="0038784D"/>
    <w:rsid w:val="003914D0"/>
    <w:rsid w:val="00391586"/>
    <w:rsid w:val="003915D4"/>
    <w:rsid w:val="00391B13"/>
    <w:rsid w:val="00391D92"/>
    <w:rsid w:val="00392501"/>
    <w:rsid w:val="00392C21"/>
    <w:rsid w:val="00392D9F"/>
    <w:rsid w:val="00394636"/>
    <w:rsid w:val="00394DB7"/>
    <w:rsid w:val="00395126"/>
    <w:rsid w:val="00395B5A"/>
    <w:rsid w:val="003965B1"/>
    <w:rsid w:val="00396CDF"/>
    <w:rsid w:val="0039704C"/>
    <w:rsid w:val="003A0C3C"/>
    <w:rsid w:val="003A0E7C"/>
    <w:rsid w:val="003A1C09"/>
    <w:rsid w:val="003A22F1"/>
    <w:rsid w:val="003A2AD4"/>
    <w:rsid w:val="003A2BCE"/>
    <w:rsid w:val="003A2C95"/>
    <w:rsid w:val="003A30C3"/>
    <w:rsid w:val="003A3571"/>
    <w:rsid w:val="003A3A54"/>
    <w:rsid w:val="003A4248"/>
    <w:rsid w:val="003A4900"/>
    <w:rsid w:val="003A54FB"/>
    <w:rsid w:val="003A55F0"/>
    <w:rsid w:val="003A6BF5"/>
    <w:rsid w:val="003A7737"/>
    <w:rsid w:val="003A7987"/>
    <w:rsid w:val="003B0228"/>
    <w:rsid w:val="003B24D9"/>
    <w:rsid w:val="003B26F6"/>
    <w:rsid w:val="003B28B2"/>
    <w:rsid w:val="003B2A38"/>
    <w:rsid w:val="003B4A57"/>
    <w:rsid w:val="003B4C95"/>
    <w:rsid w:val="003B52A7"/>
    <w:rsid w:val="003B573F"/>
    <w:rsid w:val="003B5D13"/>
    <w:rsid w:val="003B5D5E"/>
    <w:rsid w:val="003B6107"/>
    <w:rsid w:val="003B75FE"/>
    <w:rsid w:val="003B7A05"/>
    <w:rsid w:val="003B7BFB"/>
    <w:rsid w:val="003C05D2"/>
    <w:rsid w:val="003C0A7C"/>
    <w:rsid w:val="003C0CE5"/>
    <w:rsid w:val="003C0D4E"/>
    <w:rsid w:val="003C18B1"/>
    <w:rsid w:val="003C28CA"/>
    <w:rsid w:val="003C33E2"/>
    <w:rsid w:val="003C39D9"/>
    <w:rsid w:val="003C3F9C"/>
    <w:rsid w:val="003C41A6"/>
    <w:rsid w:val="003C562C"/>
    <w:rsid w:val="003C5AE1"/>
    <w:rsid w:val="003C64ED"/>
    <w:rsid w:val="003C6D18"/>
    <w:rsid w:val="003C7B73"/>
    <w:rsid w:val="003D1CD8"/>
    <w:rsid w:val="003D247C"/>
    <w:rsid w:val="003D28A6"/>
    <w:rsid w:val="003D3F8B"/>
    <w:rsid w:val="003D44A2"/>
    <w:rsid w:val="003D4605"/>
    <w:rsid w:val="003D4FBA"/>
    <w:rsid w:val="003D55A6"/>
    <w:rsid w:val="003D5A85"/>
    <w:rsid w:val="003D618D"/>
    <w:rsid w:val="003D6A13"/>
    <w:rsid w:val="003D7D4F"/>
    <w:rsid w:val="003D7E16"/>
    <w:rsid w:val="003E0093"/>
    <w:rsid w:val="003E05B5"/>
    <w:rsid w:val="003E071D"/>
    <w:rsid w:val="003E0798"/>
    <w:rsid w:val="003E086D"/>
    <w:rsid w:val="003E0ABD"/>
    <w:rsid w:val="003E21EC"/>
    <w:rsid w:val="003E37DA"/>
    <w:rsid w:val="003E37DD"/>
    <w:rsid w:val="003E3986"/>
    <w:rsid w:val="003E4AC8"/>
    <w:rsid w:val="003E5015"/>
    <w:rsid w:val="003E5F48"/>
    <w:rsid w:val="003E6318"/>
    <w:rsid w:val="003F0D7F"/>
    <w:rsid w:val="003F181B"/>
    <w:rsid w:val="003F1DB2"/>
    <w:rsid w:val="003F24F0"/>
    <w:rsid w:val="003F265C"/>
    <w:rsid w:val="003F2970"/>
    <w:rsid w:val="003F3502"/>
    <w:rsid w:val="003F37E4"/>
    <w:rsid w:val="003F3EDB"/>
    <w:rsid w:val="003F40F2"/>
    <w:rsid w:val="003F4624"/>
    <w:rsid w:val="003F471F"/>
    <w:rsid w:val="003F54E8"/>
    <w:rsid w:val="003F55DA"/>
    <w:rsid w:val="003F57BD"/>
    <w:rsid w:val="003F5C0F"/>
    <w:rsid w:val="003F7C54"/>
    <w:rsid w:val="003F7E49"/>
    <w:rsid w:val="00400119"/>
    <w:rsid w:val="00401B58"/>
    <w:rsid w:val="00401C2F"/>
    <w:rsid w:val="004022E1"/>
    <w:rsid w:val="0040357C"/>
    <w:rsid w:val="004036FA"/>
    <w:rsid w:val="0040392D"/>
    <w:rsid w:val="00404229"/>
    <w:rsid w:val="00404263"/>
    <w:rsid w:val="00404267"/>
    <w:rsid w:val="00404353"/>
    <w:rsid w:val="00404C98"/>
    <w:rsid w:val="00405450"/>
    <w:rsid w:val="00406DE2"/>
    <w:rsid w:val="00406F1D"/>
    <w:rsid w:val="00410650"/>
    <w:rsid w:val="00410E81"/>
    <w:rsid w:val="00410F97"/>
    <w:rsid w:val="00411146"/>
    <w:rsid w:val="00411A9F"/>
    <w:rsid w:val="00412A22"/>
    <w:rsid w:val="00413900"/>
    <w:rsid w:val="00414003"/>
    <w:rsid w:val="004146EF"/>
    <w:rsid w:val="0041481E"/>
    <w:rsid w:val="0041482F"/>
    <w:rsid w:val="00414A68"/>
    <w:rsid w:val="00414DD9"/>
    <w:rsid w:val="0041601E"/>
    <w:rsid w:val="0041615B"/>
    <w:rsid w:val="004203DF"/>
    <w:rsid w:val="0042196C"/>
    <w:rsid w:val="00421FB7"/>
    <w:rsid w:val="00422384"/>
    <w:rsid w:val="004232A1"/>
    <w:rsid w:val="00423451"/>
    <w:rsid w:val="004236A7"/>
    <w:rsid w:val="00423F68"/>
    <w:rsid w:val="00424231"/>
    <w:rsid w:val="00424C1A"/>
    <w:rsid w:val="00424E3E"/>
    <w:rsid w:val="00425338"/>
    <w:rsid w:val="00425AC9"/>
    <w:rsid w:val="00427A5D"/>
    <w:rsid w:val="00431442"/>
    <w:rsid w:val="00431668"/>
    <w:rsid w:val="00431CAD"/>
    <w:rsid w:val="00432DF5"/>
    <w:rsid w:val="00433267"/>
    <w:rsid w:val="0043362C"/>
    <w:rsid w:val="004337E8"/>
    <w:rsid w:val="00433953"/>
    <w:rsid w:val="00433D13"/>
    <w:rsid w:val="00433EC5"/>
    <w:rsid w:val="004340B7"/>
    <w:rsid w:val="0043419B"/>
    <w:rsid w:val="00434C5D"/>
    <w:rsid w:val="00435C1F"/>
    <w:rsid w:val="004362DC"/>
    <w:rsid w:val="00436CB2"/>
    <w:rsid w:val="00436E62"/>
    <w:rsid w:val="0043773D"/>
    <w:rsid w:val="00440175"/>
    <w:rsid w:val="004401F4"/>
    <w:rsid w:val="004404DA"/>
    <w:rsid w:val="00440DB8"/>
    <w:rsid w:val="00441B7F"/>
    <w:rsid w:val="00442890"/>
    <w:rsid w:val="004428A9"/>
    <w:rsid w:val="004435B7"/>
    <w:rsid w:val="00443B45"/>
    <w:rsid w:val="00443F7D"/>
    <w:rsid w:val="00444378"/>
    <w:rsid w:val="0044530C"/>
    <w:rsid w:val="00445334"/>
    <w:rsid w:val="00445CA4"/>
    <w:rsid w:val="004463C5"/>
    <w:rsid w:val="0044656F"/>
    <w:rsid w:val="004471F1"/>
    <w:rsid w:val="00447E08"/>
    <w:rsid w:val="004501D0"/>
    <w:rsid w:val="0045091D"/>
    <w:rsid w:val="004518D4"/>
    <w:rsid w:val="0045202E"/>
    <w:rsid w:val="00452DBB"/>
    <w:rsid w:val="00453BB0"/>
    <w:rsid w:val="00453C90"/>
    <w:rsid w:val="00454168"/>
    <w:rsid w:val="0045545A"/>
    <w:rsid w:val="0045597A"/>
    <w:rsid w:val="0045606E"/>
    <w:rsid w:val="004561FE"/>
    <w:rsid w:val="004572ED"/>
    <w:rsid w:val="00457BED"/>
    <w:rsid w:val="00457E56"/>
    <w:rsid w:val="004607CC"/>
    <w:rsid w:val="004609C0"/>
    <w:rsid w:val="00460BA4"/>
    <w:rsid w:val="00461DBC"/>
    <w:rsid w:val="004622F4"/>
    <w:rsid w:val="00462575"/>
    <w:rsid w:val="00463248"/>
    <w:rsid w:val="0046332C"/>
    <w:rsid w:val="0046351F"/>
    <w:rsid w:val="00463601"/>
    <w:rsid w:val="004638A0"/>
    <w:rsid w:val="00463FB7"/>
    <w:rsid w:val="004644AA"/>
    <w:rsid w:val="00465E20"/>
    <w:rsid w:val="004663A1"/>
    <w:rsid w:val="00466B53"/>
    <w:rsid w:val="00466E7F"/>
    <w:rsid w:val="004703D9"/>
    <w:rsid w:val="00470F82"/>
    <w:rsid w:val="00471095"/>
    <w:rsid w:val="00471E5E"/>
    <w:rsid w:val="004732B9"/>
    <w:rsid w:val="00474243"/>
    <w:rsid w:val="00474324"/>
    <w:rsid w:val="004744E7"/>
    <w:rsid w:val="004751F0"/>
    <w:rsid w:val="00475BFB"/>
    <w:rsid w:val="00475D55"/>
    <w:rsid w:val="00476024"/>
    <w:rsid w:val="00476744"/>
    <w:rsid w:val="0047793A"/>
    <w:rsid w:val="004779CA"/>
    <w:rsid w:val="00477A05"/>
    <w:rsid w:val="00477D21"/>
    <w:rsid w:val="00477DD2"/>
    <w:rsid w:val="004802C7"/>
    <w:rsid w:val="004803BA"/>
    <w:rsid w:val="00480E29"/>
    <w:rsid w:val="00481F1C"/>
    <w:rsid w:val="004825A5"/>
    <w:rsid w:val="004825B0"/>
    <w:rsid w:val="00483046"/>
    <w:rsid w:val="004838ED"/>
    <w:rsid w:val="004872AA"/>
    <w:rsid w:val="004879E9"/>
    <w:rsid w:val="00487CD9"/>
    <w:rsid w:val="00487E44"/>
    <w:rsid w:val="0049033E"/>
    <w:rsid w:val="00490A6B"/>
    <w:rsid w:val="00491453"/>
    <w:rsid w:val="0049164D"/>
    <w:rsid w:val="00491B79"/>
    <w:rsid w:val="0049295C"/>
    <w:rsid w:val="004931EC"/>
    <w:rsid w:val="00494148"/>
    <w:rsid w:val="00494531"/>
    <w:rsid w:val="004950C3"/>
    <w:rsid w:val="00496552"/>
    <w:rsid w:val="00497E9C"/>
    <w:rsid w:val="004A05FF"/>
    <w:rsid w:val="004A094F"/>
    <w:rsid w:val="004A0CF5"/>
    <w:rsid w:val="004A13C7"/>
    <w:rsid w:val="004A207E"/>
    <w:rsid w:val="004A27AD"/>
    <w:rsid w:val="004A29E4"/>
    <w:rsid w:val="004A35A3"/>
    <w:rsid w:val="004A35BE"/>
    <w:rsid w:val="004A3A6C"/>
    <w:rsid w:val="004A4F54"/>
    <w:rsid w:val="004A5203"/>
    <w:rsid w:val="004A62B7"/>
    <w:rsid w:val="004A6376"/>
    <w:rsid w:val="004A67D2"/>
    <w:rsid w:val="004A6993"/>
    <w:rsid w:val="004A6ADA"/>
    <w:rsid w:val="004A7142"/>
    <w:rsid w:val="004A74ED"/>
    <w:rsid w:val="004A77F4"/>
    <w:rsid w:val="004A7F26"/>
    <w:rsid w:val="004B0943"/>
    <w:rsid w:val="004B0AF5"/>
    <w:rsid w:val="004B240D"/>
    <w:rsid w:val="004B25E5"/>
    <w:rsid w:val="004B39C3"/>
    <w:rsid w:val="004B46C6"/>
    <w:rsid w:val="004B4723"/>
    <w:rsid w:val="004B4CEB"/>
    <w:rsid w:val="004B5080"/>
    <w:rsid w:val="004B5361"/>
    <w:rsid w:val="004B53FA"/>
    <w:rsid w:val="004B57EC"/>
    <w:rsid w:val="004B61EF"/>
    <w:rsid w:val="004B6579"/>
    <w:rsid w:val="004B69FD"/>
    <w:rsid w:val="004B6C44"/>
    <w:rsid w:val="004B6F5C"/>
    <w:rsid w:val="004C0597"/>
    <w:rsid w:val="004C0A32"/>
    <w:rsid w:val="004C14FE"/>
    <w:rsid w:val="004C1F51"/>
    <w:rsid w:val="004C2C88"/>
    <w:rsid w:val="004C2D7F"/>
    <w:rsid w:val="004C2EAA"/>
    <w:rsid w:val="004C351F"/>
    <w:rsid w:val="004C64E6"/>
    <w:rsid w:val="004C6ACB"/>
    <w:rsid w:val="004C7E0D"/>
    <w:rsid w:val="004D00E2"/>
    <w:rsid w:val="004D07BD"/>
    <w:rsid w:val="004D1190"/>
    <w:rsid w:val="004D295C"/>
    <w:rsid w:val="004D346B"/>
    <w:rsid w:val="004D4047"/>
    <w:rsid w:val="004D4E66"/>
    <w:rsid w:val="004D5039"/>
    <w:rsid w:val="004D554D"/>
    <w:rsid w:val="004D5851"/>
    <w:rsid w:val="004D5AB5"/>
    <w:rsid w:val="004D5B39"/>
    <w:rsid w:val="004D6E82"/>
    <w:rsid w:val="004D6EF6"/>
    <w:rsid w:val="004D6F2E"/>
    <w:rsid w:val="004D6F5D"/>
    <w:rsid w:val="004D7222"/>
    <w:rsid w:val="004D7239"/>
    <w:rsid w:val="004E04AD"/>
    <w:rsid w:val="004E0CD7"/>
    <w:rsid w:val="004E28E4"/>
    <w:rsid w:val="004E2F56"/>
    <w:rsid w:val="004E4F1C"/>
    <w:rsid w:val="004E5AEB"/>
    <w:rsid w:val="004E66CB"/>
    <w:rsid w:val="004E7159"/>
    <w:rsid w:val="004E7C84"/>
    <w:rsid w:val="004F061D"/>
    <w:rsid w:val="004F0D9D"/>
    <w:rsid w:val="004F1B6D"/>
    <w:rsid w:val="004F1E4E"/>
    <w:rsid w:val="004F20B6"/>
    <w:rsid w:val="004F2497"/>
    <w:rsid w:val="004F2741"/>
    <w:rsid w:val="004F2E3F"/>
    <w:rsid w:val="004F3F29"/>
    <w:rsid w:val="004F4260"/>
    <w:rsid w:val="004F4D01"/>
    <w:rsid w:val="004F5790"/>
    <w:rsid w:val="004F5BD4"/>
    <w:rsid w:val="004F6C95"/>
    <w:rsid w:val="004F7507"/>
    <w:rsid w:val="004F7609"/>
    <w:rsid w:val="004F768E"/>
    <w:rsid w:val="004F7976"/>
    <w:rsid w:val="004F7A46"/>
    <w:rsid w:val="00500424"/>
    <w:rsid w:val="005010D0"/>
    <w:rsid w:val="005015F7"/>
    <w:rsid w:val="00501D08"/>
    <w:rsid w:val="00502B2D"/>
    <w:rsid w:val="005036E8"/>
    <w:rsid w:val="0050380E"/>
    <w:rsid w:val="005042D3"/>
    <w:rsid w:val="0050542D"/>
    <w:rsid w:val="00505617"/>
    <w:rsid w:val="005056D1"/>
    <w:rsid w:val="00505E06"/>
    <w:rsid w:val="00506350"/>
    <w:rsid w:val="00506709"/>
    <w:rsid w:val="005068BB"/>
    <w:rsid w:val="00506BD3"/>
    <w:rsid w:val="00507D7A"/>
    <w:rsid w:val="00510EDF"/>
    <w:rsid w:val="0051102C"/>
    <w:rsid w:val="00511671"/>
    <w:rsid w:val="00511C0E"/>
    <w:rsid w:val="0051225E"/>
    <w:rsid w:val="00512762"/>
    <w:rsid w:val="005127A6"/>
    <w:rsid w:val="00512893"/>
    <w:rsid w:val="0051376E"/>
    <w:rsid w:val="00513803"/>
    <w:rsid w:val="0051437F"/>
    <w:rsid w:val="00514810"/>
    <w:rsid w:val="00515A7E"/>
    <w:rsid w:val="00516609"/>
    <w:rsid w:val="00516B7E"/>
    <w:rsid w:val="00516DF2"/>
    <w:rsid w:val="005176A0"/>
    <w:rsid w:val="0052058F"/>
    <w:rsid w:val="005206E3"/>
    <w:rsid w:val="005218CB"/>
    <w:rsid w:val="00521CC1"/>
    <w:rsid w:val="00522085"/>
    <w:rsid w:val="00522968"/>
    <w:rsid w:val="005231F1"/>
    <w:rsid w:val="00524541"/>
    <w:rsid w:val="00524AD4"/>
    <w:rsid w:val="00525C94"/>
    <w:rsid w:val="00525DEB"/>
    <w:rsid w:val="0052609E"/>
    <w:rsid w:val="0052643F"/>
    <w:rsid w:val="00526895"/>
    <w:rsid w:val="0052721A"/>
    <w:rsid w:val="00527829"/>
    <w:rsid w:val="00527C2C"/>
    <w:rsid w:val="0053006D"/>
    <w:rsid w:val="0053190F"/>
    <w:rsid w:val="00531D03"/>
    <w:rsid w:val="00532306"/>
    <w:rsid w:val="00532373"/>
    <w:rsid w:val="005324FE"/>
    <w:rsid w:val="0053260A"/>
    <w:rsid w:val="00532B0A"/>
    <w:rsid w:val="0053638C"/>
    <w:rsid w:val="005370AA"/>
    <w:rsid w:val="00541D63"/>
    <w:rsid w:val="00541EA8"/>
    <w:rsid w:val="00542A48"/>
    <w:rsid w:val="00542B00"/>
    <w:rsid w:val="00543A54"/>
    <w:rsid w:val="0054403B"/>
    <w:rsid w:val="00544AF7"/>
    <w:rsid w:val="00545CEA"/>
    <w:rsid w:val="00545E0C"/>
    <w:rsid w:val="00545EFC"/>
    <w:rsid w:val="0054606D"/>
    <w:rsid w:val="0054653B"/>
    <w:rsid w:val="005500D6"/>
    <w:rsid w:val="00550E28"/>
    <w:rsid w:val="00551212"/>
    <w:rsid w:val="00551334"/>
    <w:rsid w:val="00551497"/>
    <w:rsid w:val="00552313"/>
    <w:rsid w:val="0055295C"/>
    <w:rsid w:val="005530B4"/>
    <w:rsid w:val="0055340F"/>
    <w:rsid w:val="005536A1"/>
    <w:rsid w:val="0055411C"/>
    <w:rsid w:val="00554BBA"/>
    <w:rsid w:val="00555BA2"/>
    <w:rsid w:val="005561F2"/>
    <w:rsid w:val="00556CB4"/>
    <w:rsid w:val="0055794E"/>
    <w:rsid w:val="00557CE0"/>
    <w:rsid w:val="00560594"/>
    <w:rsid w:val="005608B5"/>
    <w:rsid w:val="005616EA"/>
    <w:rsid w:val="00561B98"/>
    <w:rsid w:val="00563800"/>
    <w:rsid w:val="005640A8"/>
    <w:rsid w:val="00564A4E"/>
    <w:rsid w:val="00564C47"/>
    <w:rsid w:val="00565731"/>
    <w:rsid w:val="005657DE"/>
    <w:rsid w:val="00565991"/>
    <w:rsid w:val="00565B90"/>
    <w:rsid w:val="0056684D"/>
    <w:rsid w:val="005677B0"/>
    <w:rsid w:val="0056793E"/>
    <w:rsid w:val="0057086C"/>
    <w:rsid w:val="005709BE"/>
    <w:rsid w:val="005715D5"/>
    <w:rsid w:val="005735D5"/>
    <w:rsid w:val="00574944"/>
    <w:rsid w:val="00574E93"/>
    <w:rsid w:val="00575511"/>
    <w:rsid w:val="00575A29"/>
    <w:rsid w:val="00577265"/>
    <w:rsid w:val="00577F29"/>
    <w:rsid w:val="0058033C"/>
    <w:rsid w:val="00580D75"/>
    <w:rsid w:val="00580D7E"/>
    <w:rsid w:val="0058114B"/>
    <w:rsid w:val="00581A45"/>
    <w:rsid w:val="00582F7F"/>
    <w:rsid w:val="0058606B"/>
    <w:rsid w:val="0058665E"/>
    <w:rsid w:val="00587423"/>
    <w:rsid w:val="00587530"/>
    <w:rsid w:val="00587A81"/>
    <w:rsid w:val="00587BEF"/>
    <w:rsid w:val="005900CD"/>
    <w:rsid w:val="00592B64"/>
    <w:rsid w:val="00592BDB"/>
    <w:rsid w:val="00593C03"/>
    <w:rsid w:val="0059443E"/>
    <w:rsid w:val="005946A6"/>
    <w:rsid w:val="00594B79"/>
    <w:rsid w:val="0059564F"/>
    <w:rsid w:val="00596893"/>
    <w:rsid w:val="0059769B"/>
    <w:rsid w:val="00597775"/>
    <w:rsid w:val="005978D5"/>
    <w:rsid w:val="005A0AD3"/>
    <w:rsid w:val="005A1F05"/>
    <w:rsid w:val="005A22DE"/>
    <w:rsid w:val="005A2A3B"/>
    <w:rsid w:val="005A30E8"/>
    <w:rsid w:val="005A4C1A"/>
    <w:rsid w:val="005A4C85"/>
    <w:rsid w:val="005A50A4"/>
    <w:rsid w:val="005A6B0C"/>
    <w:rsid w:val="005A6B68"/>
    <w:rsid w:val="005A734C"/>
    <w:rsid w:val="005A776C"/>
    <w:rsid w:val="005A77B7"/>
    <w:rsid w:val="005B06DB"/>
    <w:rsid w:val="005B0C4D"/>
    <w:rsid w:val="005B0E0D"/>
    <w:rsid w:val="005B1522"/>
    <w:rsid w:val="005B3015"/>
    <w:rsid w:val="005B3A69"/>
    <w:rsid w:val="005B4106"/>
    <w:rsid w:val="005B435F"/>
    <w:rsid w:val="005B5CEC"/>
    <w:rsid w:val="005B638D"/>
    <w:rsid w:val="005C0724"/>
    <w:rsid w:val="005C09EE"/>
    <w:rsid w:val="005C2115"/>
    <w:rsid w:val="005C364D"/>
    <w:rsid w:val="005C415C"/>
    <w:rsid w:val="005C47E1"/>
    <w:rsid w:val="005C4D1C"/>
    <w:rsid w:val="005C543F"/>
    <w:rsid w:val="005C643C"/>
    <w:rsid w:val="005C6C65"/>
    <w:rsid w:val="005C702B"/>
    <w:rsid w:val="005C7908"/>
    <w:rsid w:val="005D0DF5"/>
    <w:rsid w:val="005D120D"/>
    <w:rsid w:val="005D149D"/>
    <w:rsid w:val="005D1692"/>
    <w:rsid w:val="005D2009"/>
    <w:rsid w:val="005D23B6"/>
    <w:rsid w:val="005D25EA"/>
    <w:rsid w:val="005D25EE"/>
    <w:rsid w:val="005D4246"/>
    <w:rsid w:val="005D4528"/>
    <w:rsid w:val="005D4592"/>
    <w:rsid w:val="005D634F"/>
    <w:rsid w:val="005D6FD8"/>
    <w:rsid w:val="005D7674"/>
    <w:rsid w:val="005D76CA"/>
    <w:rsid w:val="005E0AC4"/>
    <w:rsid w:val="005E0CB8"/>
    <w:rsid w:val="005E2056"/>
    <w:rsid w:val="005E3541"/>
    <w:rsid w:val="005E4CE6"/>
    <w:rsid w:val="005E4D19"/>
    <w:rsid w:val="005E5CE1"/>
    <w:rsid w:val="005E729B"/>
    <w:rsid w:val="005E76D8"/>
    <w:rsid w:val="005E7DFE"/>
    <w:rsid w:val="005F2396"/>
    <w:rsid w:val="005F2533"/>
    <w:rsid w:val="005F29E7"/>
    <w:rsid w:val="005F2F77"/>
    <w:rsid w:val="005F3C95"/>
    <w:rsid w:val="005F411A"/>
    <w:rsid w:val="005F5119"/>
    <w:rsid w:val="005F5C4B"/>
    <w:rsid w:val="005F60EC"/>
    <w:rsid w:val="005F61AA"/>
    <w:rsid w:val="005F6368"/>
    <w:rsid w:val="005F682A"/>
    <w:rsid w:val="005F6AF5"/>
    <w:rsid w:val="006002DA"/>
    <w:rsid w:val="00602009"/>
    <w:rsid w:val="006023DD"/>
    <w:rsid w:val="00602BF6"/>
    <w:rsid w:val="006039FA"/>
    <w:rsid w:val="00603BD1"/>
    <w:rsid w:val="0060457B"/>
    <w:rsid w:val="00604679"/>
    <w:rsid w:val="00604E40"/>
    <w:rsid w:val="00605265"/>
    <w:rsid w:val="006053BA"/>
    <w:rsid w:val="00605B24"/>
    <w:rsid w:val="00606356"/>
    <w:rsid w:val="006067A2"/>
    <w:rsid w:val="0060730C"/>
    <w:rsid w:val="006074C8"/>
    <w:rsid w:val="006074FE"/>
    <w:rsid w:val="006077E8"/>
    <w:rsid w:val="00607E1B"/>
    <w:rsid w:val="00610057"/>
    <w:rsid w:val="00611807"/>
    <w:rsid w:val="006118EE"/>
    <w:rsid w:val="0061249A"/>
    <w:rsid w:val="00612CFD"/>
    <w:rsid w:val="00615D46"/>
    <w:rsid w:val="0061691A"/>
    <w:rsid w:val="00616977"/>
    <w:rsid w:val="006176E3"/>
    <w:rsid w:val="00617BA7"/>
    <w:rsid w:val="00617F01"/>
    <w:rsid w:val="00620B6A"/>
    <w:rsid w:val="00620C6E"/>
    <w:rsid w:val="00620CA8"/>
    <w:rsid w:val="0062147A"/>
    <w:rsid w:val="00621533"/>
    <w:rsid w:val="00621860"/>
    <w:rsid w:val="0062258B"/>
    <w:rsid w:val="00622B28"/>
    <w:rsid w:val="006235E7"/>
    <w:rsid w:val="00623A47"/>
    <w:rsid w:val="0062531F"/>
    <w:rsid w:val="0062540D"/>
    <w:rsid w:val="0062580E"/>
    <w:rsid w:val="00625C59"/>
    <w:rsid w:val="00626580"/>
    <w:rsid w:val="006275B0"/>
    <w:rsid w:val="00627D0A"/>
    <w:rsid w:val="0063193E"/>
    <w:rsid w:val="00631BE7"/>
    <w:rsid w:val="00632D5F"/>
    <w:rsid w:val="00632D8B"/>
    <w:rsid w:val="006337AB"/>
    <w:rsid w:val="006342F0"/>
    <w:rsid w:val="0063449F"/>
    <w:rsid w:val="00634572"/>
    <w:rsid w:val="00634B99"/>
    <w:rsid w:val="00635160"/>
    <w:rsid w:val="00635814"/>
    <w:rsid w:val="0063583C"/>
    <w:rsid w:val="00636B67"/>
    <w:rsid w:val="00637E12"/>
    <w:rsid w:val="0064095A"/>
    <w:rsid w:val="00641DB9"/>
    <w:rsid w:val="00642369"/>
    <w:rsid w:val="00642B5F"/>
    <w:rsid w:val="00642E76"/>
    <w:rsid w:val="0064349A"/>
    <w:rsid w:val="00643657"/>
    <w:rsid w:val="00643722"/>
    <w:rsid w:val="00643D94"/>
    <w:rsid w:val="00644A46"/>
    <w:rsid w:val="006451C7"/>
    <w:rsid w:val="0064644F"/>
    <w:rsid w:val="0064729C"/>
    <w:rsid w:val="00647C30"/>
    <w:rsid w:val="00647F65"/>
    <w:rsid w:val="00650433"/>
    <w:rsid w:val="006507D1"/>
    <w:rsid w:val="006520CE"/>
    <w:rsid w:val="00652294"/>
    <w:rsid w:val="00652F87"/>
    <w:rsid w:val="006561B9"/>
    <w:rsid w:val="0065661C"/>
    <w:rsid w:val="00656D15"/>
    <w:rsid w:val="006578AD"/>
    <w:rsid w:val="006579E3"/>
    <w:rsid w:val="00657AC4"/>
    <w:rsid w:val="0066200B"/>
    <w:rsid w:val="00662320"/>
    <w:rsid w:val="00663949"/>
    <w:rsid w:val="00663D51"/>
    <w:rsid w:val="00664E2E"/>
    <w:rsid w:val="00666713"/>
    <w:rsid w:val="00666C8D"/>
    <w:rsid w:val="006678CD"/>
    <w:rsid w:val="00667CDB"/>
    <w:rsid w:val="00670A2F"/>
    <w:rsid w:val="00671911"/>
    <w:rsid w:val="006724E8"/>
    <w:rsid w:val="00672803"/>
    <w:rsid w:val="006728AB"/>
    <w:rsid w:val="00672A35"/>
    <w:rsid w:val="00673269"/>
    <w:rsid w:val="00676215"/>
    <w:rsid w:val="00676B37"/>
    <w:rsid w:val="0067716E"/>
    <w:rsid w:val="00677C65"/>
    <w:rsid w:val="00680038"/>
    <w:rsid w:val="006803CA"/>
    <w:rsid w:val="00680C64"/>
    <w:rsid w:val="006812BF"/>
    <w:rsid w:val="00681527"/>
    <w:rsid w:val="006817FD"/>
    <w:rsid w:val="00681C3C"/>
    <w:rsid w:val="0068379C"/>
    <w:rsid w:val="0068399D"/>
    <w:rsid w:val="00683C04"/>
    <w:rsid w:val="00683C28"/>
    <w:rsid w:val="00683CD9"/>
    <w:rsid w:val="0068404F"/>
    <w:rsid w:val="00684166"/>
    <w:rsid w:val="00684AE7"/>
    <w:rsid w:val="006858AF"/>
    <w:rsid w:val="00685EA3"/>
    <w:rsid w:val="00686F8C"/>
    <w:rsid w:val="006871EE"/>
    <w:rsid w:val="00687253"/>
    <w:rsid w:val="006872FA"/>
    <w:rsid w:val="006873B5"/>
    <w:rsid w:val="00687582"/>
    <w:rsid w:val="00687B5E"/>
    <w:rsid w:val="00687F42"/>
    <w:rsid w:val="0069024C"/>
    <w:rsid w:val="00690834"/>
    <w:rsid w:val="00690AF6"/>
    <w:rsid w:val="0069250E"/>
    <w:rsid w:val="00692E2E"/>
    <w:rsid w:val="00693782"/>
    <w:rsid w:val="00694B55"/>
    <w:rsid w:val="0069564D"/>
    <w:rsid w:val="00695950"/>
    <w:rsid w:val="00695A04"/>
    <w:rsid w:val="00697801"/>
    <w:rsid w:val="006A0BBC"/>
    <w:rsid w:val="006A1133"/>
    <w:rsid w:val="006A145D"/>
    <w:rsid w:val="006A27BF"/>
    <w:rsid w:val="006A31EC"/>
    <w:rsid w:val="006A504B"/>
    <w:rsid w:val="006A6E06"/>
    <w:rsid w:val="006A7060"/>
    <w:rsid w:val="006A7153"/>
    <w:rsid w:val="006A7CFD"/>
    <w:rsid w:val="006B0044"/>
    <w:rsid w:val="006B03E2"/>
    <w:rsid w:val="006B1225"/>
    <w:rsid w:val="006B2206"/>
    <w:rsid w:val="006B2738"/>
    <w:rsid w:val="006B2BDD"/>
    <w:rsid w:val="006B461E"/>
    <w:rsid w:val="006B5C55"/>
    <w:rsid w:val="006B5F89"/>
    <w:rsid w:val="006B6005"/>
    <w:rsid w:val="006B68DF"/>
    <w:rsid w:val="006B75F1"/>
    <w:rsid w:val="006B7AEB"/>
    <w:rsid w:val="006C0333"/>
    <w:rsid w:val="006C0F4A"/>
    <w:rsid w:val="006C17E6"/>
    <w:rsid w:val="006C1BE2"/>
    <w:rsid w:val="006C1DC1"/>
    <w:rsid w:val="006C256C"/>
    <w:rsid w:val="006C3432"/>
    <w:rsid w:val="006C3539"/>
    <w:rsid w:val="006C4870"/>
    <w:rsid w:val="006C4CFA"/>
    <w:rsid w:val="006C4F97"/>
    <w:rsid w:val="006C5326"/>
    <w:rsid w:val="006C56B8"/>
    <w:rsid w:val="006C61FF"/>
    <w:rsid w:val="006C6380"/>
    <w:rsid w:val="006C730E"/>
    <w:rsid w:val="006C7E95"/>
    <w:rsid w:val="006D07D7"/>
    <w:rsid w:val="006D088B"/>
    <w:rsid w:val="006D0B8C"/>
    <w:rsid w:val="006D125E"/>
    <w:rsid w:val="006D191D"/>
    <w:rsid w:val="006D2318"/>
    <w:rsid w:val="006D3222"/>
    <w:rsid w:val="006D39AC"/>
    <w:rsid w:val="006D3EB5"/>
    <w:rsid w:val="006D3F5F"/>
    <w:rsid w:val="006D468B"/>
    <w:rsid w:val="006D4930"/>
    <w:rsid w:val="006D4A7F"/>
    <w:rsid w:val="006D4ED9"/>
    <w:rsid w:val="006D51E7"/>
    <w:rsid w:val="006D5A7F"/>
    <w:rsid w:val="006D5F76"/>
    <w:rsid w:val="006D77DE"/>
    <w:rsid w:val="006D79E9"/>
    <w:rsid w:val="006D7B52"/>
    <w:rsid w:val="006E0900"/>
    <w:rsid w:val="006E0B5F"/>
    <w:rsid w:val="006E0D37"/>
    <w:rsid w:val="006E0F15"/>
    <w:rsid w:val="006E1925"/>
    <w:rsid w:val="006E1A25"/>
    <w:rsid w:val="006E1F53"/>
    <w:rsid w:val="006E207E"/>
    <w:rsid w:val="006E235D"/>
    <w:rsid w:val="006E2675"/>
    <w:rsid w:val="006E27BA"/>
    <w:rsid w:val="006E2835"/>
    <w:rsid w:val="006E29AA"/>
    <w:rsid w:val="006E2BBC"/>
    <w:rsid w:val="006E4175"/>
    <w:rsid w:val="006E44E8"/>
    <w:rsid w:val="006E4855"/>
    <w:rsid w:val="006E4F72"/>
    <w:rsid w:val="006E5589"/>
    <w:rsid w:val="006E5BCE"/>
    <w:rsid w:val="006E65A3"/>
    <w:rsid w:val="006E6655"/>
    <w:rsid w:val="006F01DD"/>
    <w:rsid w:val="006F04D7"/>
    <w:rsid w:val="006F1A3B"/>
    <w:rsid w:val="006F2375"/>
    <w:rsid w:val="006F25B8"/>
    <w:rsid w:val="006F2691"/>
    <w:rsid w:val="006F2A4E"/>
    <w:rsid w:val="006F33AE"/>
    <w:rsid w:val="006F3788"/>
    <w:rsid w:val="006F3A2D"/>
    <w:rsid w:val="006F4169"/>
    <w:rsid w:val="006F739C"/>
    <w:rsid w:val="006F75E8"/>
    <w:rsid w:val="00700721"/>
    <w:rsid w:val="00700844"/>
    <w:rsid w:val="007016F2"/>
    <w:rsid w:val="0070314E"/>
    <w:rsid w:val="00703303"/>
    <w:rsid w:val="0070337A"/>
    <w:rsid w:val="00703B91"/>
    <w:rsid w:val="00703F67"/>
    <w:rsid w:val="00703FB6"/>
    <w:rsid w:val="00704418"/>
    <w:rsid w:val="0070468F"/>
    <w:rsid w:val="007051C0"/>
    <w:rsid w:val="007055F9"/>
    <w:rsid w:val="00706448"/>
    <w:rsid w:val="0070648B"/>
    <w:rsid w:val="00707496"/>
    <w:rsid w:val="00707974"/>
    <w:rsid w:val="00710272"/>
    <w:rsid w:val="00711696"/>
    <w:rsid w:val="00711884"/>
    <w:rsid w:val="00711F83"/>
    <w:rsid w:val="00712481"/>
    <w:rsid w:val="007126AD"/>
    <w:rsid w:val="00713C2E"/>
    <w:rsid w:val="00713FE7"/>
    <w:rsid w:val="00714574"/>
    <w:rsid w:val="0071487E"/>
    <w:rsid w:val="007148E1"/>
    <w:rsid w:val="00714BF4"/>
    <w:rsid w:val="007151B2"/>
    <w:rsid w:val="0071552D"/>
    <w:rsid w:val="00715695"/>
    <w:rsid w:val="007159FA"/>
    <w:rsid w:val="00716C43"/>
    <w:rsid w:val="0071700D"/>
    <w:rsid w:val="00717E79"/>
    <w:rsid w:val="00720E02"/>
    <w:rsid w:val="00720F53"/>
    <w:rsid w:val="007225CE"/>
    <w:rsid w:val="00722AF5"/>
    <w:rsid w:val="00723A75"/>
    <w:rsid w:val="00723A9D"/>
    <w:rsid w:val="00724777"/>
    <w:rsid w:val="00726EC3"/>
    <w:rsid w:val="00727313"/>
    <w:rsid w:val="007277F4"/>
    <w:rsid w:val="00727B96"/>
    <w:rsid w:val="00727F2B"/>
    <w:rsid w:val="007305D6"/>
    <w:rsid w:val="00730931"/>
    <w:rsid w:val="00730B1E"/>
    <w:rsid w:val="007314AB"/>
    <w:rsid w:val="007318F6"/>
    <w:rsid w:val="007331E4"/>
    <w:rsid w:val="00733A9C"/>
    <w:rsid w:val="00733B4C"/>
    <w:rsid w:val="00733D1F"/>
    <w:rsid w:val="007342CD"/>
    <w:rsid w:val="007342F8"/>
    <w:rsid w:val="0073465F"/>
    <w:rsid w:val="0073547D"/>
    <w:rsid w:val="00736610"/>
    <w:rsid w:val="00736FB7"/>
    <w:rsid w:val="00736FF1"/>
    <w:rsid w:val="00737678"/>
    <w:rsid w:val="00737F4F"/>
    <w:rsid w:val="0074062D"/>
    <w:rsid w:val="0074089E"/>
    <w:rsid w:val="00741BFE"/>
    <w:rsid w:val="007420C9"/>
    <w:rsid w:val="00743C4C"/>
    <w:rsid w:val="00743CAE"/>
    <w:rsid w:val="00743DF0"/>
    <w:rsid w:val="00744257"/>
    <w:rsid w:val="00744273"/>
    <w:rsid w:val="00745265"/>
    <w:rsid w:val="00746A4B"/>
    <w:rsid w:val="007474D8"/>
    <w:rsid w:val="0074771F"/>
    <w:rsid w:val="007504E8"/>
    <w:rsid w:val="0075179C"/>
    <w:rsid w:val="00751A31"/>
    <w:rsid w:val="007520E1"/>
    <w:rsid w:val="007520E2"/>
    <w:rsid w:val="007523B0"/>
    <w:rsid w:val="007529B9"/>
    <w:rsid w:val="007535DB"/>
    <w:rsid w:val="007537AE"/>
    <w:rsid w:val="00754059"/>
    <w:rsid w:val="00754A2E"/>
    <w:rsid w:val="00755920"/>
    <w:rsid w:val="00756944"/>
    <w:rsid w:val="00757157"/>
    <w:rsid w:val="0075779C"/>
    <w:rsid w:val="00757B3F"/>
    <w:rsid w:val="00760465"/>
    <w:rsid w:val="00761703"/>
    <w:rsid w:val="0076243F"/>
    <w:rsid w:val="00763207"/>
    <w:rsid w:val="007637E6"/>
    <w:rsid w:val="00764D53"/>
    <w:rsid w:val="0076519D"/>
    <w:rsid w:val="00765EC1"/>
    <w:rsid w:val="007667F4"/>
    <w:rsid w:val="00766E62"/>
    <w:rsid w:val="00766F1D"/>
    <w:rsid w:val="00767413"/>
    <w:rsid w:val="007679E1"/>
    <w:rsid w:val="00770300"/>
    <w:rsid w:val="00770471"/>
    <w:rsid w:val="00771B43"/>
    <w:rsid w:val="007735B0"/>
    <w:rsid w:val="007736CB"/>
    <w:rsid w:val="00773989"/>
    <w:rsid w:val="00773FBF"/>
    <w:rsid w:val="00775006"/>
    <w:rsid w:val="00775106"/>
    <w:rsid w:val="007752C6"/>
    <w:rsid w:val="00775CD4"/>
    <w:rsid w:val="00775F2D"/>
    <w:rsid w:val="00776D01"/>
    <w:rsid w:val="00780D8A"/>
    <w:rsid w:val="00780DCC"/>
    <w:rsid w:val="0078153C"/>
    <w:rsid w:val="00781E6B"/>
    <w:rsid w:val="00782AF3"/>
    <w:rsid w:val="00782F55"/>
    <w:rsid w:val="007830CA"/>
    <w:rsid w:val="0078362E"/>
    <w:rsid w:val="00784515"/>
    <w:rsid w:val="00784687"/>
    <w:rsid w:val="00784802"/>
    <w:rsid w:val="00787717"/>
    <w:rsid w:val="00787876"/>
    <w:rsid w:val="007879E7"/>
    <w:rsid w:val="00787BFA"/>
    <w:rsid w:val="007909B9"/>
    <w:rsid w:val="00790AD0"/>
    <w:rsid w:val="007912BB"/>
    <w:rsid w:val="007925D5"/>
    <w:rsid w:val="00792EE4"/>
    <w:rsid w:val="00793483"/>
    <w:rsid w:val="0079476E"/>
    <w:rsid w:val="00795A21"/>
    <w:rsid w:val="00795CC5"/>
    <w:rsid w:val="007960D0"/>
    <w:rsid w:val="00796100"/>
    <w:rsid w:val="00796542"/>
    <w:rsid w:val="0079693A"/>
    <w:rsid w:val="00797A7E"/>
    <w:rsid w:val="007A1371"/>
    <w:rsid w:val="007A185E"/>
    <w:rsid w:val="007A1B93"/>
    <w:rsid w:val="007A1D2A"/>
    <w:rsid w:val="007A2737"/>
    <w:rsid w:val="007A3A90"/>
    <w:rsid w:val="007A4C05"/>
    <w:rsid w:val="007A4D7A"/>
    <w:rsid w:val="007A5878"/>
    <w:rsid w:val="007A5FD6"/>
    <w:rsid w:val="007A6864"/>
    <w:rsid w:val="007A6CA5"/>
    <w:rsid w:val="007A78EE"/>
    <w:rsid w:val="007B001B"/>
    <w:rsid w:val="007B1586"/>
    <w:rsid w:val="007B1D34"/>
    <w:rsid w:val="007B2C74"/>
    <w:rsid w:val="007B3BE9"/>
    <w:rsid w:val="007B7106"/>
    <w:rsid w:val="007B750F"/>
    <w:rsid w:val="007C047D"/>
    <w:rsid w:val="007C05E5"/>
    <w:rsid w:val="007C0BCB"/>
    <w:rsid w:val="007C1608"/>
    <w:rsid w:val="007C3687"/>
    <w:rsid w:val="007C3714"/>
    <w:rsid w:val="007C4537"/>
    <w:rsid w:val="007C47AB"/>
    <w:rsid w:val="007C5478"/>
    <w:rsid w:val="007C6C86"/>
    <w:rsid w:val="007C7D15"/>
    <w:rsid w:val="007C7D28"/>
    <w:rsid w:val="007D0235"/>
    <w:rsid w:val="007D15D4"/>
    <w:rsid w:val="007D1995"/>
    <w:rsid w:val="007D1D8D"/>
    <w:rsid w:val="007D2152"/>
    <w:rsid w:val="007D2242"/>
    <w:rsid w:val="007D476A"/>
    <w:rsid w:val="007D4CBA"/>
    <w:rsid w:val="007D6240"/>
    <w:rsid w:val="007D6580"/>
    <w:rsid w:val="007D74DC"/>
    <w:rsid w:val="007D76E4"/>
    <w:rsid w:val="007E0880"/>
    <w:rsid w:val="007E099D"/>
    <w:rsid w:val="007E0BC3"/>
    <w:rsid w:val="007E0C04"/>
    <w:rsid w:val="007E17E2"/>
    <w:rsid w:val="007E1AF7"/>
    <w:rsid w:val="007E296A"/>
    <w:rsid w:val="007E4FDF"/>
    <w:rsid w:val="007E514D"/>
    <w:rsid w:val="007E5426"/>
    <w:rsid w:val="007E57C7"/>
    <w:rsid w:val="007E65C7"/>
    <w:rsid w:val="007F030F"/>
    <w:rsid w:val="007F0C41"/>
    <w:rsid w:val="007F0FE8"/>
    <w:rsid w:val="007F17AB"/>
    <w:rsid w:val="007F1D9F"/>
    <w:rsid w:val="007F215F"/>
    <w:rsid w:val="007F228A"/>
    <w:rsid w:val="007F3752"/>
    <w:rsid w:val="007F4012"/>
    <w:rsid w:val="007F5182"/>
    <w:rsid w:val="007F5484"/>
    <w:rsid w:val="007F58F9"/>
    <w:rsid w:val="007F5A59"/>
    <w:rsid w:val="007F65D1"/>
    <w:rsid w:val="007F6814"/>
    <w:rsid w:val="007F68D0"/>
    <w:rsid w:val="007F73C9"/>
    <w:rsid w:val="008019A9"/>
    <w:rsid w:val="00801DF5"/>
    <w:rsid w:val="00801F5D"/>
    <w:rsid w:val="008021D1"/>
    <w:rsid w:val="00802EB1"/>
    <w:rsid w:val="0080347F"/>
    <w:rsid w:val="008035FC"/>
    <w:rsid w:val="0080361C"/>
    <w:rsid w:val="00803C24"/>
    <w:rsid w:val="00803C9B"/>
    <w:rsid w:val="00804369"/>
    <w:rsid w:val="00804DB6"/>
    <w:rsid w:val="008054DC"/>
    <w:rsid w:val="00805620"/>
    <w:rsid w:val="00805CF1"/>
    <w:rsid w:val="00806CD7"/>
    <w:rsid w:val="00806DDA"/>
    <w:rsid w:val="00807FD9"/>
    <w:rsid w:val="0081039A"/>
    <w:rsid w:val="00812413"/>
    <w:rsid w:val="0081242E"/>
    <w:rsid w:val="008137A0"/>
    <w:rsid w:val="0081390D"/>
    <w:rsid w:val="00813A1D"/>
    <w:rsid w:val="00813B69"/>
    <w:rsid w:val="00814225"/>
    <w:rsid w:val="00814579"/>
    <w:rsid w:val="00814D3D"/>
    <w:rsid w:val="008151C6"/>
    <w:rsid w:val="00815291"/>
    <w:rsid w:val="008152A8"/>
    <w:rsid w:val="008168D5"/>
    <w:rsid w:val="00816EEC"/>
    <w:rsid w:val="00820688"/>
    <w:rsid w:val="00820C89"/>
    <w:rsid w:val="00821733"/>
    <w:rsid w:val="008220BA"/>
    <w:rsid w:val="008223E0"/>
    <w:rsid w:val="00822CE6"/>
    <w:rsid w:val="008235DE"/>
    <w:rsid w:val="008237B0"/>
    <w:rsid w:val="00823A64"/>
    <w:rsid w:val="0082467C"/>
    <w:rsid w:val="00824DEB"/>
    <w:rsid w:val="008250D3"/>
    <w:rsid w:val="008257A6"/>
    <w:rsid w:val="00826107"/>
    <w:rsid w:val="008263E4"/>
    <w:rsid w:val="00826A20"/>
    <w:rsid w:val="00826C46"/>
    <w:rsid w:val="0082781F"/>
    <w:rsid w:val="00830714"/>
    <w:rsid w:val="0083094E"/>
    <w:rsid w:val="008309E4"/>
    <w:rsid w:val="00831CC2"/>
    <w:rsid w:val="00831D1C"/>
    <w:rsid w:val="00831D4D"/>
    <w:rsid w:val="00832019"/>
    <w:rsid w:val="008324D3"/>
    <w:rsid w:val="00832634"/>
    <w:rsid w:val="0083382F"/>
    <w:rsid w:val="00833DCA"/>
    <w:rsid w:val="0083447C"/>
    <w:rsid w:val="00834672"/>
    <w:rsid w:val="0083488C"/>
    <w:rsid w:val="00834DD8"/>
    <w:rsid w:val="00835384"/>
    <w:rsid w:val="00835B3F"/>
    <w:rsid w:val="0083643D"/>
    <w:rsid w:val="00836492"/>
    <w:rsid w:val="0083756A"/>
    <w:rsid w:val="0084079C"/>
    <w:rsid w:val="00841296"/>
    <w:rsid w:val="0084163C"/>
    <w:rsid w:val="00842141"/>
    <w:rsid w:val="008425B4"/>
    <w:rsid w:val="00842777"/>
    <w:rsid w:val="008430BD"/>
    <w:rsid w:val="008432BE"/>
    <w:rsid w:val="008433A9"/>
    <w:rsid w:val="00845336"/>
    <w:rsid w:val="0084543E"/>
    <w:rsid w:val="008457EB"/>
    <w:rsid w:val="008457FE"/>
    <w:rsid w:val="0084599D"/>
    <w:rsid w:val="008460A0"/>
    <w:rsid w:val="00846351"/>
    <w:rsid w:val="008464EE"/>
    <w:rsid w:val="00846B73"/>
    <w:rsid w:val="00847508"/>
    <w:rsid w:val="00847F24"/>
    <w:rsid w:val="00850194"/>
    <w:rsid w:val="008508A1"/>
    <w:rsid w:val="00850FB8"/>
    <w:rsid w:val="0085228D"/>
    <w:rsid w:val="00852B25"/>
    <w:rsid w:val="00853151"/>
    <w:rsid w:val="00853C04"/>
    <w:rsid w:val="00854DD1"/>
    <w:rsid w:val="00854DEA"/>
    <w:rsid w:val="00855AFE"/>
    <w:rsid w:val="00855B9C"/>
    <w:rsid w:val="00855D78"/>
    <w:rsid w:val="00855DAF"/>
    <w:rsid w:val="00856383"/>
    <w:rsid w:val="00856B4B"/>
    <w:rsid w:val="00856C68"/>
    <w:rsid w:val="0085713B"/>
    <w:rsid w:val="00857304"/>
    <w:rsid w:val="00857873"/>
    <w:rsid w:val="00857C01"/>
    <w:rsid w:val="00857E49"/>
    <w:rsid w:val="0086042B"/>
    <w:rsid w:val="00861CD0"/>
    <w:rsid w:val="00862740"/>
    <w:rsid w:val="008635B9"/>
    <w:rsid w:val="00863B91"/>
    <w:rsid w:val="008646BF"/>
    <w:rsid w:val="00864C95"/>
    <w:rsid w:val="00864D6B"/>
    <w:rsid w:val="00864D80"/>
    <w:rsid w:val="00865640"/>
    <w:rsid w:val="00865722"/>
    <w:rsid w:val="008660DF"/>
    <w:rsid w:val="00866AF9"/>
    <w:rsid w:val="008672B9"/>
    <w:rsid w:val="0086784E"/>
    <w:rsid w:val="00871EDD"/>
    <w:rsid w:val="0087295A"/>
    <w:rsid w:val="008731BA"/>
    <w:rsid w:val="008742F2"/>
    <w:rsid w:val="00875416"/>
    <w:rsid w:val="008759E7"/>
    <w:rsid w:val="00875BC6"/>
    <w:rsid w:val="00875CD0"/>
    <w:rsid w:val="00876474"/>
    <w:rsid w:val="00877079"/>
    <w:rsid w:val="00880119"/>
    <w:rsid w:val="00880E37"/>
    <w:rsid w:val="00881261"/>
    <w:rsid w:val="008819C1"/>
    <w:rsid w:val="00882534"/>
    <w:rsid w:val="00882B63"/>
    <w:rsid w:val="00882B92"/>
    <w:rsid w:val="008832BE"/>
    <w:rsid w:val="00883D33"/>
    <w:rsid w:val="00883D80"/>
    <w:rsid w:val="00883D9B"/>
    <w:rsid w:val="008847CC"/>
    <w:rsid w:val="008856B2"/>
    <w:rsid w:val="00885BAC"/>
    <w:rsid w:val="00886F3C"/>
    <w:rsid w:val="00887087"/>
    <w:rsid w:val="00887AFA"/>
    <w:rsid w:val="00887B6B"/>
    <w:rsid w:val="0089113A"/>
    <w:rsid w:val="00891C42"/>
    <w:rsid w:val="0089209F"/>
    <w:rsid w:val="00892226"/>
    <w:rsid w:val="00892B2B"/>
    <w:rsid w:val="00892B85"/>
    <w:rsid w:val="00892C4D"/>
    <w:rsid w:val="00892F10"/>
    <w:rsid w:val="00892F22"/>
    <w:rsid w:val="0089399D"/>
    <w:rsid w:val="00893F63"/>
    <w:rsid w:val="00894259"/>
    <w:rsid w:val="0089462C"/>
    <w:rsid w:val="0089497B"/>
    <w:rsid w:val="00894BDD"/>
    <w:rsid w:val="00894D51"/>
    <w:rsid w:val="008951CC"/>
    <w:rsid w:val="00895695"/>
    <w:rsid w:val="00895B0C"/>
    <w:rsid w:val="00895C30"/>
    <w:rsid w:val="00896A77"/>
    <w:rsid w:val="00896ADA"/>
    <w:rsid w:val="00896E53"/>
    <w:rsid w:val="008A0AA4"/>
    <w:rsid w:val="008A0B57"/>
    <w:rsid w:val="008A1918"/>
    <w:rsid w:val="008A1BCC"/>
    <w:rsid w:val="008A27C9"/>
    <w:rsid w:val="008A29AF"/>
    <w:rsid w:val="008A3019"/>
    <w:rsid w:val="008A3367"/>
    <w:rsid w:val="008A3D38"/>
    <w:rsid w:val="008A45ED"/>
    <w:rsid w:val="008A4941"/>
    <w:rsid w:val="008A4B76"/>
    <w:rsid w:val="008A4DEC"/>
    <w:rsid w:val="008A5067"/>
    <w:rsid w:val="008A50B0"/>
    <w:rsid w:val="008A5AB2"/>
    <w:rsid w:val="008A64A1"/>
    <w:rsid w:val="008A65B5"/>
    <w:rsid w:val="008A712C"/>
    <w:rsid w:val="008A7C02"/>
    <w:rsid w:val="008B01A3"/>
    <w:rsid w:val="008B11FD"/>
    <w:rsid w:val="008B177E"/>
    <w:rsid w:val="008B1B35"/>
    <w:rsid w:val="008B1F56"/>
    <w:rsid w:val="008B2CA5"/>
    <w:rsid w:val="008B2EFB"/>
    <w:rsid w:val="008B3175"/>
    <w:rsid w:val="008B3387"/>
    <w:rsid w:val="008B4ABC"/>
    <w:rsid w:val="008B4D69"/>
    <w:rsid w:val="008B552B"/>
    <w:rsid w:val="008B6181"/>
    <w:rsid w:val="008B6CF2"/>
    <w:rsid w:val="008B6F9F"/>
    <w:rsid w:val="008B70FF"/>
    <w:rsid w:val="008B7C50"/>
    <w:rsid w:val="008C03F5"/>
    <w:rsid w:val="008C17F9"/>
    <w:rsid w:val="008C19A5"/>
    <w:rsid w:val="008C34F7"/>
    <w:rsid w:val="008C4871"/>
    <w:rsid w:val="008C49CE"/>
    <w:rsid w:val="008C54E3"/>
    <w:rsid w:val="008C587F"/>
    <w:rsid w:val="008C5D8B"/>
    <w:rsid w:val="008C5EF2"/>
    <w:rsid w:val="008C5F8F"/>
    <w:rsid w:val="008C6279"/>
    <w:rsid w:val="008C6EE5"/>
    <w:rsid w:val="008C7A0A"/>
    <w:rsid w:val="008C7B57"/>
    <w:rsid w:val="008D1CEB"/>
    <w:rsid w:val="008D2485"/>
    <w:rsid w:val="008D2C07"/>
    <w:rsid w:val="008D350C"/>
    <w:rsid w:val="008D3DD4"/>
    <w:rsid w:val="008D5E6E"/>
    <w:rsid w:val="008D70D9"/>
    <w:rsid w:val="008D7769"/>
    <w:rsid w:val="008E0022"/>
    <w:rsid w:val="008E13EE"/>
    <w:rsid w:val="008E3078"/>
    <w:rsid w:val="008E33A7"/>
    <w:rsid w:val="008E33E0"/>
    <w:rsid w:val="008E36CF"/>
    <w:rsid w:val="008E67EF"/>
    <w:rsid w:val="008E6BB4"/>
    <w:rsid w:val="008E6DB7"/>
    <w:rsid w:val="008E733C"/>
    <w:rsid w:val="008E7EA9"/>
    <w:rsid w:val="008E7EBD"/>
    <w:rsid w:val="008F025D"/>
    <w:rsid w:val="008F0727"/>
    <w:rsid w:val="008F1D63"/>
    <w:rsid w:val="008F1DE8"/>
    <w:rsid w:val="008F2BCF"/>
    <w:rsid w:val="008F2E3D"/>
    <w:rsid w:val="008F3399"/>
    <w:rsid w:val="008F3602"/>
    <w:rsid w:val="008F3B3F"/>
    <w:rsid w:val="008F4500"/>
    <w:rsid w:val="008F4971"/>
    <w:rsid w:val="008F4EB5"/>
    <w:rsid w:val="008F5421"/>
    <w:rsid w:val="008F5D20"/>
    <w:rsid w:val="008F69ED"/>
    <w:rsid w:val="008F6DD3"/>
    <w:rsid w:val="008F71CE"/>
    <w:rsid w:val="008F78D5"/>
    <w:rsid w:val="008F7A37"/>
    <w:rsid w:val="00900089"/>
    <w:rsid w:val="00900C23"/>
    <w:rsid w:val="00900DA0"/>
    <w:rsid w:val="00900E05"/>
    <w:rsid w:val="009011A2"/>
    <w:rsid w:val="009015BC"/>
    <w:rsid w:val="00901B76"/>
    <w:rsid w:val="00901FD3"/>
    <w:rsid w:val="009022A2"/>
    <w:rsid w:val="00902931"/>
    <w:rsid w:val="0090353E"/>
    <w:rsid w:val="0090364E"/>
    <w:rsid w:val="00903831"/>
    <w:rsid w:val="00903BAA"/>
    <w:rsid w:val="00903F30"/>
    <w:rsid w:val="009046C8"/>
    <w:rsid w:val="00904E11"/>
    <w:rsid w:val="0090527C"/>
    <w:rsid w:val="0090629B"/>
    <w:rsid w:val="009064CE"/>
    <w:rsid w:val="00906D05"/>
    <w:rsid w:val="0090719C"/>
    <w:rsid w:val="009072D4"/>
    <w:rsid w:val="00907D3D"/>
    <w:rsid w:val="00910752"/>
    <w:rsid w:val="0091140C"/>
    <w:rsid w:val="0091157B"/>
    <w:rsid w:val="0091168A"/>
    <w:rsid w:val="009123F8"/>
    <w:rsid w:val="00912CF9"/>
    <w:rsid w:val="00913758"/>
    <w:rsid w:val="00913870"/>
    <w:rsid w:val="00913976"/>
    <w:rsid w:val="009146C2"/>
    <w:rsid w:val="0091517E"/>
    <w:rsid w:val="00915837"/>
    <w:rsid w:val="00915893"/>
    <w:rsid w:val="00915ADC"/>
    <w:rsid w:val="00915BF7"/>
    <w:rsid w:val="00915F5A"/>
    <w:rsid w:val="00915FCA"/>
    <w:rsid w:val="0091681C"/>
    <w:rsid w:val="00917211"/>
    <w:rsid w:val="00917F3F"/>
    <w:rsid w:val="0092004A"/>
    <w:rsid w:val="0092033A"/>
    <w:rsid w:val="00921CDF"/>
    <w:rsid w:val="00922486"/>
    <w:rsid w:val="00922FAC"/>
    <w:rsid w:val="0092363F"/>
    <w:rsid w:val="00923693"/>
    <w:rsid w:val="00924A96"/>
    <w:rsid w:val="00924C1E"/>
    <w:rsid w:val="00924FF0"/>
    <w:rsid w:val="009256B3"/>
    <w:rsid w:val="00925830"/>
    <w:rsid w:val="00925B14"/>
    <w:rsid w:val="00925BD9"/>
    <w:rsid w:val="00926F80"/>
    <w:rsid w:val="00930695"/>
    <w:rsid w:val="009311B3"/>
    <w:rsid w:val="009315F0"/>
    <w:rsid w:val="00931912"/>
    <w:rsid w:val="00931BA4"/>
    <w:rsid w:val="00931CD2"/>
    <w:rsid w:val="009330E7"/>
    <w:rsid w:val="00933615"/>
    <w:rsid w:val="0093371F"/>
    <w:rsid w:val="0093645A"/>
    <w:rsid w:val="0093692F"/>
    <w:rsid w:val="00936BCD"/>
    <w:rsid w:val="00936E98"/>
    <w:rsid w:val="00936F60"/>
    <w:rsid w:val="00937139"/>
    <w:rsid w:val="0094053F"/>
    <w:rsid w:val="00942400"/>
    <w:rsid w:val="00942668"/>
    <w:rsid w:val="009428CC"/>
    <w:rsid w:val="009428EF"/>
    <w:rsid w:val="00943F16"/>
    <w:rsid w:val="00944075"/>
    <w:rsid w:val="009443E0"/>
    <w:rsid w:val="00944930"/>
    <w:rsid w:val="0094543A"/>
    <w:rsid w:val="009460EC"/>
    <w:rsid w:val="009467D2"/>
    <w:rsid w:val="00946F7D"/>
    <w:rsid w:val="0094714C"/>
    <w:rsid w:val="009473D7"/>
    <w:rsid w:val="009474DC"/>
    <w:rsid w:val="00947C63"/>
    <w:rsid w:val="00947E16"/>
    <w:rsid w:val="009512AD"/>
    <w:rsid w:val="0095165C"/>
    <w:rsid w:val="009516B8"/>
    <w:rsid w:val="0095171B"/>
    <w:rsid w:val="00951AD7"/>
    <w:rsid w:val="00951BE8"/>
    <w:rsid w:val="00952546"/>
    <w:rsid w:val="00952637"/>
    <w:rsid w:val="00952A2C"/>
    <w:rsid w:val="009531BD"/>
    <w:rsid w:val="00954239"/>
    <w:rsid w:val="009543D9"/>
    <w:rsid w:val="0095452F"/>
    <w:rsid w:val="00954C3F"/>
    <w:rsid w:val="00954F64"/>
    <w:rsid w:val="0095520A"/>
    <w:rsid w:val="00955737"/>
    <w:rsid w:val="00955E6B"/>
    <w:rsid w:val="009560BA"/>
    <w:rsid w:val="0095726F"/>
    <w:rsid w:val="009610C2"/>
    <w:rsid w:val="0096130B"/>
    <w:rsid w:val="009616F6"/>
    <w:rsid w:val="00961805"/>
    <w:rsid w:val="00962202"/>
    <w:rsid w:val="009625E9"/>
    <w:rsid w:val="00962A05"/>
    <w:rsid w:val="00962B4A"/>
    <w:rsid w:val="00962CC3"/>
    <w:rsid w:val="00963278"/>
    <w:rsid w:val="00963326"/>
    <w:rsid w:val="009638F5"/>
    <w:rsid w:val="00963EB1"/>
    <w:rsid w:val="0096559D"/>
    <w:rsid w:val="00965AA0"/>
    <w:rsid w:val="00965FE5"/>
    <w:rsid w:val="0096626A"/>
    <w:rsid w:val="009667CB"/>
    <w:rsid w:val="00966888"/>
    <w:rsid w:val="00966D00"/>
    <w:rsid w:val="009714A7"/>
    <w:rsid w:val="009716CA"/>
    <w:rsid w:val="009717FA"/>
    <w:rsid w:val="00971C8E"/>
    <w:rsid w:val="009726D1"/>
    <w:rsid w:val="009740D5"/>
    <w:rsid w:val="00974B01"/>
    <w:rsid w:val="00974CFB"/>
    <w:rsid w:val="00975A8F"/>
    <w:rsid w:val="00975DDC"/>
    <w:rsid w:val="009769E6"/>
    <w:rsid w:val="00980521"/>
    <w:rsid w:val="0098198A"/>
    <w:rsid w:val="00981BF7"/>
    <w:rsid w:val="0098266B"/>
    <w:rsid w:val="00982A1A"/>
    <w:rsid w:val="009839B7"/>
    <w:rsid w:val="00984A00"/>
    <w:rsid w:val="00984F8A"/>
    <w:rsid w:val="0098539F"/>
    <w:rsid w:val="009854FA"/>
    <w:rsid w:val="009855A4"/>
    <w:rsid w:val="009868CF"/>
    <w:rsid w:val="00986FC3"/>
    <w:rsid w:val="009872FD"/>
    <w:rsid w:val="009874C2"/>
    <w:rsid w:val="00990178"/>
    <w:rsid w:val="00990FB7"/>
    <w:rsid w:val="009915AF"/>
    <w:rsid w:val="009917DD"/>
    <w:rsid w:val="00991849"/>
    <w:rsid w:val="009919E1"/>
    <w:rsid w:val="00991B7C"/>
    <w:rsid w:val="00993303"/>
    <w:rsid w:val="009933DA"/>
    <w:rsid w:val="00995864"/>
    <w:rsid w:val="009958E8"/>
    <w:rsid w:val="00995CB0"/>
    <w:rsid w:val="009967BD"/>
    <w:rsid w:val="00997796"/>
    <w:rsid w:val="00997E2C"/>
    <w:rsid w:val="009A00BC"/>
    <w:rsid w:val="009A10E2"/>
    <w:rsid w:val="009A1303"/>
    <w:rsid w:val="009A13D8"/>
    <w:rsid w:val="009A2521"/>
    <w:rsid w:val="009A317F"/>
    <w:rsid w:val="009A343F"/>
    <w:rsid w:val="009A4411"/>
    <w:rsid w:val="009A4D62"/>
    <w:rsid w:val="009A5883"/>
    <w:rsid w:val="009A5F50"/>
    <w:rsid w:val="009A6550"/>
    <w:rsid w:val="009A68E8"/>
    <w:rsid w:val="009A6919"/>
    <w:rsid w:val="009A6B35"/>
    <w:rsid w:val="009A7200"/>
    <w:rsid w:val="009A7A9D"/>
    <w:rsid w:val="009B0983"/>
    <w:rsid w:val="009B0C88"/>
    <w:rsid w:val="009B1027"/>
    <w:rsid w:val="009B23C3"/>
    <w:rsid w:val="009B2945"/>
    <w:rsid w:val="009B2D8D"/>
    <w:rsid w:val="009B2FE0"/>
    <w:rsid w:val="009B3D6B"/>
    <w:rsid w:val="009B49AA"/>
    <w:rsid w:val="009B5BCA"/>
    <w:rsid w:val="009B6D63"/>
    <w:rsid w:val="009B7025"/>
    <w:rsid w:val="009B77E0"/>
    <w:rsid w:val="009C016C"/>
    <w:rsid w:val="009C0A48"/>
    <w:rsid w:val="009C118C"/>
    <w:rsid w:val="009C1790"/>
    <w:rsid w:val="009C26AE"/>
    <w:rsid w:val="009C2D57"/>
    <w:rsid w:val="009C3280"/>
    <w:rsid w:val="009C4047"/>
    <w:rsid w:val="009C4095"/>
    <w:rsid w:val="009C4FF1"/>
    <w:rsid w:val="009C5156"/>
    <w:rsid w:val="009C54E4"/>
    <w:rsid w:val="009C575D"/>
    <w:rsid w:val="009C5C19"/>
    <w:rsid w:val="009C6207"/>
    <w:rsid w:val="009C656D"/>
    <w:rsid w:val="009C71CF"/>
    <w:rsid w:val="009C7A6B"/>
    <w:rsid w:val="009D02C3"/>
    <w:rsid w:val="009D057B"/>
    <w:rsid w:val="009D188E"/>
    <w:rsid w:val="009D18EA"/>
    <w:rsid w:val="009D1F80"/>
    <w:rsid w:val="009D2DB9"/>
    <w:rsid w:val="009D2F01"/>
    <w:rsid w:val="009D3E54"/>
    <w:rsid w:val="009D4EA7"/>
    <w:rsid w:val="009D5106"/>
    <w:rsid w:val="009D5311"/>
    <w:rsid w:val="009D68F7"/>
    <w:rsid w:val="009D6DBE"/>
    <w:rsid w:val="009D7B8D"/>
    <w:rsid w:val="009E1116"/>
    <w:rsid w:val="009E1205"/>
    <w:rsid w:val="009E27BB"/>
    <w:rsid w:val="009E2FB6"/>
    <w:rsid w:val="009E371B"/>
    <w:rsid w:val="009E435E"/>
    <w:rsid w:val="009E462E"/>
    <w:rsid w:val="009E4AFE"/>
    <w:rsid w:val="009E4F53"/>
    <w:rsid w:val="009E53AF"/>
    <w:rsid w:val="009E69EF"/>
    <w:rsid w:val="009E6E85"/>
    <w:rsid w:val="009E7D89"/>
    <w:rsid w:val="009F135A"/>
    <w:rsid w:val="009F1FC1"/>
    <w:rsid w:val="009F1FC5"/>
    <w:rsid w:val="009F208A"/>
    <w:rsid w:val="009F29C3"/>
    <w:rsid w:val="009F3582"/>
    <w:rsid w:val="009F3884"/>
    <w:rsid w:val="009F3FC7"/>
    <w:rsid w:val="009F4322"/>
    <w:rsid w:val="009F47F2"/>
    <w:rsid w:val="009F4F7C"/>
    <w:rsid w:val="009F5268"/>
    <w:rsid w:val="009F6098"/>
    <w:rsid w:val="009F6F12"/>
    <w:rsid w:val="009F78A1"/>
    <w:rsid w:val="00A00187"/>
    <w:rsid w:val="00A004DB"/>
    <w:rsid w:val="00A020B4"/>
    <w:rsid w:val="00A031B1"/>
    <w:rsid w:val="00A03A45"/>
    <w:rsid w:val="00A03BD7"/>
    <w:rsid w:val="00A05289"/>
    <w:rsid w:val="00A05E38"/>
    <w:rsid w:val="00A06253"/>
    <w:rsid w:val="00A07272"/>
    <w:rsid w:val="00A10953"/>
    <w:rsid w:val="00A1099F"/>
    <w:rsid w:val="00A10D7F"/>
    <w:rsid w:val="00A11E7A"/>
    <w:rsid w:val="00A136FF"/>
    <w:rsid w:val="00A15D97"/>
    <w:rsid w:val="00A166EF"/>
    <w:rsid w:val="00A1754E"/>
    <w:rsid w:val="00A20794"/>
    <w:rsid w:val="00A21CB5"/>
    <w:rsid w:val="00A22275"/>
    <w:rsid w:val="00A223E5"/>
    <w:rsid w:val="00A22FA3"/>
    <w:rsid w:val="00A233CF"/>
    <w:rsid w:val="00A2507D"/>
    <w:rsid w:val="00A2691D"/>
    <w:rsid w:val="00A26E6C"/>
    <w:rsid w:val="00A272A1"/>
    <w:rsid w:val="00A30688"/>
    <w:rsid w:val="00A31EE7"/>
    <w:rsid w:val="00A32461"/>
    <w:rsid w:val="00A3400D"/>
    <w:rsid w:val="00A342F2"/>
    <w:rsid w:val="00A34469"/>
    <w:rsid w:val="00A35810"/>
    <w:rsid w:val="00A3663A"/>
    <w:rsid w:val="00A3685C"/>
    <w:rsid w:val="00A373C4"/>
    <w:rsid w:val="00A40200"/>
    <w:rsid w:val="00A40F2C"/>
    <w:rsid w:val="00A410E1"/>
    <w:rsid w:val="00A41727"/>
    <w:rsid w:val="00A41A0B"/>
    <w:rsid w:val="00A42749"/>
    <w:rsid w:val="00A42E45"/>
    <w:rsid w:val="00A43125"/>
    <w:rsid w:val="00A43456"/>
    <w:rsid w:val="00A435F5"/>
    <w:rsid w:val="00A449A5"/>
    <w:rsid w:val="00A44A45"/>
    <w:rsid w:val="00A46239"/>
    <w:rsid w:val="00A4658E"/>
    <w:rsid w:val="00A47A03"/>
    <w:rsid w:val="00A50D80"/>
    <w:rsid w:val="00A515C7"/>
    <w:rsid w:val="00A51AC2"/>
    <w:rsid w:val="00A525B5"/>
    <w:rsid w:val="00A525F6"/>
    <w:rsid w:val="00A52779"/>
    <w:rsid w:val="00A52A8A"/>
    <w:rsid w:val="00A53233"/>
    <w:rsid w:val="00A546F1"/>
    <w:rsid w:val="00A5488F"/>
    <w:rsid w:val="00A5499F"/>
    <w:rsid w:val="00A55883"/>
    <w:rsid w:val="00A568DD"/>
    <w:rsid w:val="00A57C95"/>
    <w:rsid w:val="00A57DAC"/>
    <w:rsid w:val="00A60902"/>
    <w:rsid w:val="00A6093A"/>
    <w:rsid w:val="00A6101F"/>
    <w:rsid w:val="00A61627"/>
    <w:rsid w:val="00A61B55"/>
    <w:rsid w:val="00A61D6A"/>
    <w:rsid w:val="00A620BA"/>
    <w:rsid w:val="00A62666"/>
    <w:rsid w:val="00A627FC"/>
    <w:rsid w:val="00A6282C"/>
    <w:rsid w:val="00A63D7E"/>
    <w:rsid w:val="00A6449A"/>
    <w:rsid w:val="00A659ED"/>
    <w:rsid w:val="00A6606C"/>
    <w:rsid w:val="00A668DE"/>
    <w:rsid w:val="00A678A0"/>
    <w:rsid w:val="00A70AF9"/>
    <w:rsid w:val="00A712CC"/>
    <w:rsid w:val="00A719F3"/>
    <w:rsid w:val="00A73075"/>
    <w:rsid w:val="00A73C47"/>
    <w:rsid w:val="00A74487"/>
    <w:rsid w:val="00A744E8"/>
    <w:rsid w:val="00A7463D"/>
    <w:rsid w:val="00A747C9"/>
    <w:rsid w:val="00A74F26"/>
    <w:rsid w:val="00A758CC"/>
    <w:rsid w:val="00A7590D"/>
    <w:rsid w:val="00A779CD"/>
    <w:rsid w:val="00A77F0A"/>
    <w:rsid w:val="00A803B0"/>
    <w:rsid w:val="00A80B55"/>
    <w:rsid w:val="00A81507"/>
    <w:rsid w:val="00A81D3B"/>
    <w:rsid w:val="00A829CD"/>
    <w:rsid w:val="00A82A26"/>
    <w:rsid w:val="00A8348B"/>
    <w:rsid w:val="00A83BAE"/>
    <w:rsid w:val="00A8458E"/>
    <w:rsid w:val="00A85EE0"/>
    <w:rsid w:val="00A879E5"/>
    <w:rsid w:val="00A87FBD"/>
    <w:rsid w:val="00A904C2"/>
    <w:rsid w:val="00A9064E"/>
    <w:rsid w:val="00A90A6B"/>
    <w:rsid w:val="00A91374"/>
    <w:rsid w:val="00A915F4"/>
    <w:rsid w:val="00A921F1"/>
    <w:rsid w:val="00A92916"/>
    <w:rsid w:val="00A930C8"/>
    <w:rsid w:val="00A93256"/>
    <w:rsid w:val="00A949F1"/>
    <w:rsid w:val="00A94F5A"/>
    <w:rsid w:val="00A94F8F"/>
    <w:rsid w:val="00A95417"/>
    <w:rsid w:val="00A95475"/>
    <w:rsid w:val="00A958C0"/>
    <w:rsid w:val="00A95999"/>
    <w:rsid w:val="00A95D17"/>
    <w:rsid w:val="00A95DF7"/>
    <w:rsid w:val="00A960BE"/>
    <w:rsid w:val="00A96CD9"/>
    <w:rsid w:val="00AA0637"/>
    <w:rsid w:val="00AA072B"/>
    <w:rsid w:val="00AA1D5D"/>
    <w:rsid w:val="00AA1D8A"/>
    <w:rsid w:val="00AA1DD7"/>
    <w:rsid w:val="00AA2188"/>
    <w:rsid w:val="00AA2C2E"/>
    <w:rsid w:val="00AA3C01"/>
    <w:rsid w:val="00AA52A0"/>
    <w:rsid w:val="00AA5DB9"/>
    <w:rsid w:val="00AA6138"/>
    <w:rsid w:val="00AA64E3"/>
    <w:rsid w:val="00AA7623"/>
    <w:rsid w:val="00AA7D3C"/>
    <w:rsid w:val="00AB00A1"/>
    <w:rsid w:val="00AB0880"/>
    <w:rsid w:val="00AB1640"/>
    <w:rsid w:val="00AB1780"/>
    <w:rsid w:val="00AB2060"/>
    <w:rsid w:val="00AB223A"/>
    <w:rsid w:val="00AB2AFC"/>
    <w:rsid w:val="00AB2BF3"/>
    <w:rsid w:val="00AB2DBC"/>
    <w:rsid w:val="00AB3D22"/>
    <w:rsid w:val="00AB3F1F"/>
    <w:rsid w:val="00AB42B2"/>
    <w:rsid w:val="00AB451E"/>
    <w:rsid w:val="00AB4638"/>
    <w:rsid w:val="00AB4F80"/>
    <w:rsid w:val="00AB584C"/>
    <w:rsid w:val="00AB5B6B"/>
    <w:rsid w:val="00AB67B8"/>
    <w:rsid w:val="00AB68E0"/>
    <w:rsid w:val="00AB708D"/>
    <w:rsid w:val="00AB70E4"/>
    <w:rsid w:val="00AC0467"/>
    <w:rsid w:val="00AC1060"/>
    <w:rsid w:val="00AC197F"/>
    <w:rsid w:val="00AC1B24"/>
    <w:rsid w:val="00AC1C18"/>
    <w:rsid w:val="00AC1E67"/>
    <w:rsid w:val="00AC2D1E"/>
    <w:rsid w:val="00AC2ECE"/>
    <w:rsid w:val="00AC2EFA"/>
    <w:rsid w:val="00AC332A"/>
    <w:rsid w:val="00AC33D7"/>
    <w:rsid w:val="00AC343A"/>
    <w:rsid w:val="00AC36B1"/>
    <w:rsid w:val="00AC388F"/>
    <w:rsid w:val="00AC4C3B"/>
    <w:rsid w:val="00AC5978"/>
    <w:rsid w:val="00AC5FF9"/>
    <w:rsid w:val="00AC7520"/>
    <w:rsid w:val="00AD12F6"/>
    <w:rsid w:val="00AD1E8D"/>
    <w:rsid w:val="00AD270B"/>
    <w:rsid w:val="00AD2A05"/>
    <w:rsid w:val="00AD2E58"/>
    <w:rsid w:val="00AD2F93"/>
    <w:rsid w:val="00AD459A"/>
    <w:rsid w:val="00AD49D9"/>
    <w:rsid w:val="00AD4B3D"/>
    <w:rsid w:val="00AD5543"/>
    <w:rsid w:val="00AD7D48"/>
    <w:rsid w:val="00AE0C76"/>
    <w:rsid w:val="00AE1F39"/>
    <w:rsid w:val="00AE1FE2"/>
    <w:rsid w:val="00AE27D3"/>
    <w:rsid w:val="00AE2E56"/>
    <w:rsid w:val="00AE33E4"/>
    <w:rsid w:val="00AE5AC4"/>
    <w:rsid w:val="00AE67EE"/>
    <w:rsid w:val="00AE6D79"/>
    <w:rsid w:val="00AE75FD"/>
    <w:rsid w:val="00AF05C4"/>
    <w:rsid w:val="00AF223E"/>
    <w:rsid w:val="00AF260E"/>
    <w:rsid w:val="00AF3650"/>
    <w:rsid w:val="00AF3A79"/>
    <w:rsid w:val="00AF49A1"/>
    <w:rsid w:val="00AF4C7E"/>
    <w:rsid w:val="00AF512D"/>
    <w:rsid w:val="00AF629D"/>
    <w:rsid w:val="00AF68FB"/>
    <w:rsid w:val="00AF6A68"/>
    <w:rsid w:val="00AF7DEB"/>
    <w:rsid w:val="00B0017B"/>
    <w:rsid w:val="00B00586"/>
    <w:rsid w:val="00B00894"/>
    <w:rsid w:val="00B00DE0"/>
    <w:rsid w:val="00B01395"/>
    <w:rsid w:val="00B01E6E"/>
    <w:rsid w:val="00B021F0"/>
    <w:rsid w:val="00B031BB"/>
    <w:rsid w:val="00B032C0"/>
    <w:rsid w:val="00B032F5"/>
    <w:rsid w:val="00B0398D"/>
    <w:rsid w:val="00B03DAD"/>
    <w:rsid w:val="00B04D39"/>
    <w:rsid w:val="00B05208"/>
    <w:rsid w:val="00B05E40"/>
    <w:rsid w:val="00B06833"/>
    <w:rsid w:val="00B0753A"/>
    <w:rsid w:val="00B07E76"/>
    <w:rsid w:val="00B102F7"/>
    <w:rsid w:val="00B112C8"/>
    <w:rsid w:val="00B119BB"/>
    <w:rsid w:val="00B11FE2"/>
    <w:rsid w:val="00B124AF"/>
    <w:rsid w:val="00B1265A"/>
    <w:rsid w:val="00B12AAA"/>
    <w:rsid w:val="00B1399F"/>
    <w:rsid w:val="00B13BF6"/>
    <w:rsid w:val="00B140AD"/>
    <w:rsid w:val="00B141B2"/>
    <w:rsid w:val="00B141C2"/>
    <w:rsid w:val="00B14317"/>
    <w:rsid w:val="00B15CE8"/>
    <w:rsid w:val="00B16519"/>
    <w:rsid w:val="00B17516"/>
    <w:rsid w:val="00B17BA5"/>
    <w:rsid w:val="00B17E49"/>
    <w:rsid w:val="00B17F04"/>
    <w:rsid w:val="00B204EE"/>
    <w:rsid w:val="00B21624"/>
    <w:rsid w:val="00B22FDB"/>
    <w:rsid w:val="00B2427B"/>
    <w:rsid w:val="00B247B7"/>
    <w:rsid w:val="00B2509A"/>
    <w:rsid w:val="00B269DC"/>
    <w:rsid w:val="00B26B9D"/>
    <w:rsid w:val="00B31BFE"/>
    <w:rsid w:val="00B32B1C"/>
    <w:rsid w:val="00B33F79"/>
    <w:rsid w:val="00B34696"/>
    <w:rsid w:val="00B361CD"/>
    <w:rsid w:val="00B3720D"/>
    <w:rsid w:val="00B40A84"/>
    <w:rsid w:val="00B416C4"/>
    <w:rsid w:val="00B41B0A"/>
    <w:rsid w:val="00B4248B"/>
    <w:rsid w:val="00B42D0D"/>
    <w:rsid w:val="00B42DC6"/>
    <w:rsid w:val="00B43F18"/>
    <w:rsid w:val="00B44261"/>
    <w:rsid w:val="00B450F6"/>
    <w:rsid w:val="00B46251"/>
    <w:rsid w:val="00B4665B"/>
    <w:rsid w:val="00B473AC"/>
    <w:rsid w:val="00B504DE"/>
    <w:rsid w:val="00B50CF7"/>
    <w:rsid w:val="00B50EA0"/>
    <w:rsid w:val="00B5162D"/>
    <w:rsid w:val="00B5164A"/>
    <w:rsid w:val="00B51EE6"/>
    <w:rsid w:val="00B51F38"/>
    <w:rsid w:val="00B531C8"/>
    <w:rsid w:val="00B541AE"/>
    <w:rsid w:val="00B559B8"/>
    <w:rsid w:val="00B5659F"/>
    <w:rsid w:val="00B56D75"/>
    <w:rsid w:val="00B5770F"/>
    <w:rsid w:val="00B57FCC"/>
    <w:rsid w:val="00B6020E"/>
    <w:rsid w:val="00B611CD"/>
    <w:rsid w:val="00B618F7"/>
    <w:rsid w:val="00B61A5A"/>
    <w:rsid w:val="00B62655"/>
    <w:rsid w:val="00B6265C"/>
    <w:rsid w:val="00B633D4"/>
    <w:rsid w:val="00B63D48"/>
    <w:rsid w:val="00B6463A"/>
    <w:rsid w:val="00B64E96"/>
    <w:rsid w:val="00B6617A"/>
    <w:rsid w:val="00B66B52"/>
    <w:rsid w:val="00B67582"/>
    <w:rsid w:val="00B70537"/>
    <w:rsid w:val="00B7127F"/>
    <w:rsid w:val="00B71937"/>
    <w:rsid w:val="00B71D7F"/>
    <w:rsid w:val="00B72E56"/>
    <w:rsid w:val="00B72F3D"/>
    <w:rsid w:val="00B730B3"/>
    <w:rsid w:val="00B73CB6"/>
    <w:rsid w:val="00B74E34"/>
    <w:rsid w:val="00B76403"/>
    <w:rsid w:val="00B765FC"/>
    <w:rsid w:val="00B76DEB"/>
    <w:rsid w:val="00B76E3A"/>
    <w:rsid w:val="00B77100"/>
    <w:rsid w:val="00B777B5"/>
    <w:rsid w:val="00B80D87"/>
    <w:rsid w:val="00B83272"/>
    <w:rsid w:val="00B837B6"/>
    <w:rsid w:val="00B8399C"/>
    <w:rsid w:val="00B83AE9"/>
    <w:rsid w:val="00B8488E"/>
    <w:rsid w:val="00B861E6"/>
    <w:rsid w:val="00B86885"/>
    <w:rsid w:val="00B87E8D"/>
    <w:rsid w:val="00B90388"/>
    <w:rsid w:val="00B908EB"/>
    <w:rsid w:val="00B924C6"/>
    <w:rsid w:val="00B926A3"/>
    <w:rsid w:val="00B927BD"/>
    <w:rsid w:val="00B9479B"/>
    <w:rsid w:val="00B95486"/>
    <w:rsid w:val="00B95B5F"/>
    <w:rsid w:val="00B95FA7"/>
    <w:rsid w:val="00B96FD9"/>
    <w:rsid w:val="00BA0216"/>
    <w:rsid w:val="00BA059B"/>
    <w:rsid w:val="00BA0A64"/>
    <w:rsid w:val="00BA1658"/>
    <w:rsid w:val="00BA298F"/>
    <w:rsid w:val="00BA2EAB"/>
    <w:rsid w:val="00BA35BC"/>
    <w:rsid w:val="00BA4974"/>
    <w:rsid w:val="00BA500E"/>
    <w:rsid w:val="00BA517D"/>
    <w:rsid w:val="00BA53AA"/>
    <w:rsid w:val="00BA5497"/>
    <w:rsid w:val="00BA54FC"/>
    <w:rsid w:val="00BA5762"/>
    <w:rsid w:val="00BA65DD"/>
    <w:rsid w:val="00BA69C7"/>
    <w:rsid w:val="00BA7342"/>
    <w:rsid w:val="00BA7FE2"/>
    <w:rsid w:val="00BB134A"/>
    <w:rsid w:val="00BB191A"/>
    <w:rsid w:val="00BB1AD0"/>
    <w:rsid w:val="00BB2632"/>
    <w:rsid w:val="00BB31B8"/>
    <w:rsid w:val="00BB3A3D"/>
    <w:rsid w:val="00BB3FB5"/>
    <w:rsid w:val="00BB5B7C"/>
    <w:rsid w:val="00BB6488"/>
    <w:rsid w:val="00BB7181"/>
    <w:rsid w:val="00BB719A"/>
    <w:rsid w:val="00BC08BB"/>
    <w:rsid w:val="00BC1A79"/>
    <w:rsid w:val="00BC20EC"/>
    <w:rsid w:val="00BC21A8"/>
    <w:rsid w:val="00BC264E"/>
    <w:rsid w:val="00BC3480"/>
    <w:rsid w:val="00BC4146"/>
    <w:rsid w:val="00BC449D"/>
    <w:rsid w:val="00BC57EF"/>
    <w:rsid w:val="00BC5CA3"/>
    <w:rsid w:val="00BC6221"/>
    <w:rsid w:val="00BC6D1B"/>
    <w:rsid w:val="00BC6F5B"/>
    <w:rsid w:val="00BD029F"/>
    <w:rsid w:val="00BD13FC"/>
    <w:rsid w:val="00BD2574"/>
    <w:rsid w:val="00BD2BAE"/>
    <w:rsid w:val="00BD3127"/>
    <w:rsid w:val="00BD4064"/>
    <w:rsid w:val="00BD410E"/>
    <w:rsid w:val="00BD4804"/>
    <w:rsid w:val="00BD4C5E"/>
    <w:rsid w:val="00BD5343"/>
    <w:rsid w:val="00BD58A7"/>
    <w:rsid w:val="00BD5E30"/>
    <w:rsid w:val="00BE1819"/>
    <w:rsid w:val="00BE2AE2"/>
    <w:rsid w:val="00BE34F3"/>
    <w:rsid w:val="00BE458D"/>
    <w:rsid w:val="00BE72AD"/>
    <w:rsid w:val="00BF006C"/>
    <w:rsid w:val="00BF0598"/>
    <w:rsid w:val="00BF116D"/>
    <w:rsid w:val="00BF13C9"/>
    <w:rsid w:val="00BF1674"/>
    <w:rsid w:val="00BF26CA"/>
    <w:rsid w:val="00BF2BDB"/>
    <w:rsid w:val="00BF44E3"/>
    <w:rsid w:val="00BF4CBC"/>
    <w:rsid w:val="00BF5500"/>
    <w:rsid w:val="00BF5935"/>
    <w:rsid w:val="00BF5DB7"/>
    <w:rsid w:val="00BF6CD0"/>
    <w:rsid w:val="00BF7072"/>
    <w:rsid w:val="00BF73F0"/>
    <w:rsid w:val="00BF774D"/>
    <w:rsid w:val="00BF7F51"/>
    <w:rsid w:val="00C0027F"/>
    <w:rsid w:val="00C0046F"/>
    <w:rsid w:val="00C00B1D"/>
    <w:rsid w:val="00C00B7C"/>
    <w:rsid w:val="00C00BFD"/>
    <w:rsid w:val="00C012A2"/>
    <w:rsid w:val="00C02CB6"/>
    <w:rsid w:val="00C03680"/>
    <w:rsid w:val="00C044EE"/>
    <w:rsid w:val="00C0453B"/>
    <w:rsid w:val="00C04873"/>
    <w:rsid w:val="00C04A68"/>
    <w:rsid w:val="00C04DF8"/>
    <w:rsid w:val="00C04F6A"/>
    <w:rsid w:val="00C05A11"/>
    <w:rsid w:val="00C05FC6"/>
    <w:rsid w:val="00C06E9C"/>
    <w:rsid w:val="00C0776D"/>
    <w:rsid w:val="00C1045D"/>
    <w:rsid w:val="00C11095"/>
    <w:rsid w:val="00C11478"/>
    <w:rsid w:val="00C122B5"/>
    <w:rsid w:val="00C12858"/>
    <w:rsid w:val="00C14DD0"/>
    <w:rsid w:val="00C1557D"/>
    <w:rsid w:val="00C15C6C"/>
    <w:rsid w:val="00C1691E"/>
    <w:rsid w:val="00C16C0D"/>
    <w:rsid w:val="00C16EAA"/>
    <w:rsid w:val="00C16EE8"/>
    <w:rsid w:val="00C1706B"/>
    <w:rsid w:val="00C175FA"/>
    <w:rsid w:val="00C17A44"/>
    <w:rsid w:val="00C17FA6"/>
    <w:rsid w:val="00C20568"/>
    <w:rsid w:val="00C20FD1"/>
    <w:rsid w:val="00C2133B"/>
    <w:rsid w:val="00C2227B"/>
    <w:rsid w:val="00C22C9A"/>
    <w:rsid w:val="00C232E9"/>
    <w:rsid w:val="00C23C40"/>
    <w:rsid w:val="00C241C6"/>
    <w:rsid w:val="00C24867"/>
    <w:rsid w:val="00C24D12"/>
    <w:rsid w:val="00C253C9"/>
    <w:rsid w:val="00C259CE"/>
    <w:rsid w:val="00C26BD4"/>
    <w:rsid w:val="00C26F6F"/>
    <w:rsid w:val="00C30040"/>
    <w:rsid w:val="00C30BBE"/>
    <w:rsid w:val="00C30FE4"/>
    <w:rsid w:val="00C311FF"/>
    <w:rsid w:val="00C32030"/>
    <w:rsid w:val="00C32293"/>
    <w:rsid w:val="00C323EA"/>
    <w:rsid w:val="00C342C0"/>
    <w:rsid w:val="00C348AA"/>
    <w:rsid w:val="00C349E2"/>
    <w:rsid w:val="00C34A53"/>
    <w:rsid w:val="00C34EB8"/>
    <w:rsid w:val="00C35F2D"/>
    <w:rsid w:val="00C35F33"/>
    <w:rsid w:val="00C36859"/>
    <w:rsid w:val="00C37BF1"/>
    <w:rsid w:val="00C41790"/>
    <w:rsid w:val="00C41993"/>
    <w:rsid w:val="00C43631"/>
    <w:rsid w:val="00C4495A"/>
    <w:rsid w:val="00C4499E"/>
    <w:rsid w:val="00C44A37"/>
    <w:rsid w:val="00C44F1B"/>
    <w:rsid w:val="00C45634"/>
    <w:rsid w:val="00C46C7B"/>
    <w:rsid w:val="00C47577"/>
    <w:rsid w:val="00C47A6A"/>
    <w:rsid w:val="00C47ABD"/>
    <w:rsid w:val="00C506EE"/>
    <w:rsid w:val="00C50856"/>
    <w:rsid w:val="00C527B5"/>
    <w:rsid w:val="00C52C43"/>
    <w:rsid w:val="00C5301C"/>
    <w:rsid w:val="00C53058"/>
    <w:rsid w:val="00C53827"/>
    <w:rsid w:val="00C541BC"/>
    <w:rsid w:val="00C543E3"/>
    <w:rsid w:val="00C54B62"/>
    <w:rsid w:val="00C5551C"/>
    <w:rsid w:val="00C55AAB"/>
    <w:rsid w:val="00C5734B"/>
    <w:rsid w:val="00C60A6A"/>
    <w:rsid w:val="00C60E47"/>
    <w:rsid w:val="00C61BFC"/>
    <w:rsid w:val="00C61DAB"/>
    <w:rsid w:val="00C61F5B"/>
    <w:rsid w:val="00C6219F"/>
    <w:rsid w:val="00C6282F"/>
    <w:rsid w:val="00C629BD"/>
    <w:rsid w:val="00C62C52"/>
    <w:rsid w:val="00C638C9"/>
    <w:rsid w:val="00C63DEB"/>
    <w:rsid w:val="00C642F5"/>
    <w:rsid w:val="00C65173"/>
    <w:rsid w:val="00C655FC"/>
    <w:rsid w:val="00C6577B"/>
    <w:rsid w:val="00C65C2B"/>
    <w:rsid w:val="00C65CD5"/>
    <w:rsid w:val="00C65FFF"/>
    <w:rsid w:val="00C661F2"/>
    <w:rsid w:val="00C66CA6"/>
    <w:rsid w:val="00C66F16"/>
    <w:rsid w:val="00C67BEF"/>
    <w:rsid w:val="00C705A4"/>
    <w:rsid w:val="00C70B21"/>
    <w:rsid w:val="00C71C27"/>
    <w:rsid w:val="00C72A43"/>
    <w:rsid w:val="00C737C4"/>
    <w:rsid w:val="00C74882"/>
    <w:rsid w:val="00C74A49"/>
    <w:rsid w:val="00C76DA4"/>
    <w:rsid w:val="00C77185"/>
    <w:rsid w:val="00C7796A"/>
    <w:rsid w:val="00C80217"/>
    <w:rsid w:val="00C81088"/>
    <w:rsid w:val="00C824E1"/>
    <w:rsid w:val="00C82A14"/>
    <w:rsid w:val="00C8390D"/>
    <w:rsid w:val="00C83F31"/>
    <w:rsid w:val="00C85906"/>
    <w:rsid w:val="00C85C3D"/>
    <w:rsid w:val="00C8638C"/>
    <w:rsid w:val="00C8663B"/>
    <w:rsid w:val="00C86B4C"/>
    <w:rsid w:val="00C87042"/>
    <w:rsid w:val="00C876C3"/>
    <w:rsid w:val="00C9192D"/>
    <w:rsid w:val="00C9225E"/>
    <w:rsid w:val="00C92C8D"/>
    <w:rsid w:val="00C93EA2"/>
    <w:rsid w:val="00C94501"/>
    <w:rsid w:val="00C94897"/>
    <w:rsid w:val="00C95005"/>
    <w:rsid w:val="00C95E91"/>
    <w:rsid w:val="00C96070"/>
    <w:rsid w:val="00C96676"/>
    <w:rsid w:val="00C96AD9"/>
    <w:rsid w:val="00C96E22"/>
    <w:rsid w:val="00C96F1B"/>
    <w:rsid w:val="00C9718A"/>
    <w:rsid w:val="00CA0DDB"/>
    <w:rsid w:val="00CA1775"/>
    <w:rsid w:val="00CA3549"/>
    <w:rsid w:val="00CA369C"/>
    <w:rsid w:val="00CA3BD6"/>
    <w:rsid w:val="00CA48BD"/>
    <w:rsid w:val="00CA4EF9"/>
    <w:rsid w:val="00CA66E1"/>
    <w:rsid w:val="00CA7A07"/>
    <w:rsid w:val="00CA7D8F"/>
    <w:rsid w:val="00CB0193"/>
    <w:rsid w:val="00CB059A"/>
    <w:rsid w:val="00CB08BD"/>
    <w:rsid w:val="00CB0F0F"/>
    <w:rsid w:val="00CB1836"/>
    <w:rsid w:val="00CB1CF5"/>
    <w:rsid w:val="00CB2477"/>
    <w:rsid w:val="00CB2545"/>
    <w:rsid w:val="00CB34E4"/>
    <w:rsid w:val="00CB3A56"/>
    <w:rsid w:val="00CB441C"/>
    <w:rsid w:val="00CB4C1B"/>
    <w:rsid w:val="00CB518F"/>
    <w:rsid w:val="00CB55B3"/>
    <w:rsid w:val="00CB570A"/>
    <w:rsid w:val="00CB5A79"/>
    <w:rsid w:val="00CB73FC"/>
    <w:rsid w:val="00CB7F6C"/>
    <w:rsid w:val="00CC07F4"/>
    <w:rsid w:val="00CC0877"/>
    <w:rsid w:val="00CC0D66"/>
    <w:rsid w:val="00CC25AA"/>
    <w:rsid w:val="00CC2701"/>
    <w:rsid w:val="00CC34B4"/>
    <w:rsid w:val="00CC3E10"/>
    <w:rsid w:val="00CC5609"/>
    <w:rsid w:val="00CC5D3E"/>
    <w:rsid w:val="00CC6A71"/>
    <w:rsid w:val="00CC6BE1"/>
    <w:rsid w:val="00CC6FF4"/>
    <w:rsid w:val="00CC7ABA"/>
    <w:rsid w:val="00CD0B05"/>
    <w:rsid w:val="00CD0CF2"/>
    <w:rsid w:val="00CD1195"/>
    <w:rsid w:val="00CD18A8"/>
    <w:rsid w:val="00CD1AAB"/>
    <w:rsid w:val="00CD1DAC"/>
    <w:rsid w:val="00CD2266"/>
    <w:rsid w:val="00CD231D"/>
    <w:rsid w:val="00CD34D7"/>
    <w:rsid w:val="00CD38B4"/>
    <w:rsid w:val="00CD3A2B"/>
    <w:rsid w:val="00CD3A8F"/>
    <w:rsid w:val="00CD48EB"/>
    <w:rsid w:val="00CD55F4"/>
    <w:rsid w:val="00CD5602"/>
    <w:rsid w:val="00CD59BC"/>
    <w:rsid w:val="00CD5F5C"/>
    <w:rsid w:val="00CD6777"/>
    <w:rsid w:val="00CD68C8"/>
    <w:rsid w:val="00CD740B"/>
    <w:rsid w:val="00CD7961"/>
    <w:rsid w:val="00CD7C7D"/>
    <w:rsid w:val="00CE0286"/>
    <w:rsid w:val="00CE0768"/>
    <w:rsid w:val="00CE1582"/>
    <w:rsid w:val="00CE1D1E"/>
    <w:rsid w:val="00CE1E49"/>
    <w:rsid w:val="00CE31B1"/>
    <w:rsid w:val="00CE3970"/>
    <w:rsid w:val="00CE4315"/>
    <w:rsid w:val="00CE43B7"/>
    <w:rsid w:val="00CE483C"/>
    <w:rsid w:val="00CE5F7B"/>
    <w:rsid w:val="00CE634B"/>
    <w:rsid w:val="00CE6640"/>
    <w:rsid w:val="00CE6CF7"/>
    <w:rsid w:val="00CF0E62"/>
    <w:rsid w:val="00CF1B50"/>
    <w:rsid w:val="00CF2E3F"/>
    <w:rsid w:val="00CF2F1E"/>
    <w:rsid w:val="00CF30C0"/>
    <w:rsid w:val="00CF32FA"/>
    <w:rsid w:val="00CF3817"/>
    <w:rsid w:val="00CF3BB8"/>
    <w:rsid w:val="00CF3BC4"/>
    <w:rsid w:val="00CF48D2"/>
    <w:rsid w:val="00CF4E52"/>
    <w:rsid w:val="00CF5B50"/>
    <w:rsid w:val="00CF5DA7"/>
    <w:rsid w:val="00CF6022"/>
    <w:rsid w:val="00D00488"/>
    <w:rsid w:val="00D00E91"/>
    <w:rsid w:val="00D0131D"/>
    <w:rsid w:val="00D02143"/>
    <w:rsid w:val="00D03299"/>
    <w:rsid w:val="00D03474"/>
    <w:rsid w:val="00D04325"/>
    <w:rsid w:val="00D04670"/>
    <w:rsid w:val="00D0486B"/>
    <w:rsid w:val="00D04BDE"/>
    <w:rsid w:val="00D05119"/>
    <w:rsid w:val="00D054D9"/>
    <w:rsid w:val="00D05F29"/>
    <w:rsid w:val="00D0645F"/>
    <w:rsid w:val="00D06466"/>
    <w:rsid w:val="00D06BC8"/>
    <w:rsid w:val="00D07008"/>
    <w:rsid w:val="00D07816"/>
    <w:rsid w:val="00D1069E"/>
    <w:rsid w:val="00D107C4"/>
    <w:rsid w:val="00D10DCC"/>
    <w:rsid w:val="00D1109F"/>
    <w:rsid w:val="00D110C7"/>
    <w:rsid w:val="00D110E5"/>
    <w:rsid w:val="00D11682"/>
    <w:rsid w:val="00D11CFD"/>
    <w:rsid w:val="00D12372"/>
    <w:rsid w:val="00D12573"/>
    <w:rsid w:val="00D1290D"/>
    <w:rsid w:val="00D12AC6"/>
    <w:rsid w:val="00D12ED7"/>
    <w:rsid w:val="00D14452"/>
    <w:rsid w:val="00D15371"/>
    <w:rsid w:val="00D15C10"/>
    <w:rsid w:val="00D15EA8"/>
    <w:rsid w:val="00D160E0"/>
    <w:rsid w:val="00D16BF4"/>
    <w:rsid w:val="00D16DB5"/>
    <w:rsid w:val="00D178EF"/>
    <w:rsid w:val="00D179E7"/>
    <w:rsid w:val="00D17EB5"/>
    <w:rsid w:val="00D20A91"/>
    <w:rsid w:val="00D2172D"/>
    <w:rsid w:val="00D21F1D"/>
    <w:rsid w:val="00D225E3"/>
    <w:rsid w:val="00D22C42"/>
    <w:rsid w:val="00D23084"/>
    <w:rsid w:val="00D24EEB"/>
    <w:rsid w:val="00D25ABD"/>
    <w:rsid w:val="00D262A2"/>
    <w:rsid w:val="00D26314"/>
    <w:rsid w:val="00D26798"/>
    <w:rsid w:val="00D26B44"/>
    <w:rsid w:val="00D27D0F"/>
    <w:rsid w:val="00D27D3C"/>
    <w:rsid w:val="00D304BC"/>
    <w:rsid w:val="00D31483"/>
    <w:rsid w:val="00D34E8D"/>
    <w:rsid w:val="00D34EB8"/>
    <w:rsid w:val="00D35A82"/>
    <w:rsid w:val="00D35CFA"/>
    <w:rsid w:val="00D363A2"/>
    <w:rsid w:val="00D36C74"/>
    <w:rsid w:val="00D406F2"/>
    <w:rsid w:val="00D4102B"/>
    <w:rsid w:val="00D412A6"/>
    <w:rsid w:val="00D423E6"/>
    <w:rsid w:val="00D42C1C"/>
    <w:rsid w:val="00D43142"/>
    <w:rsid w:val="00D43B4F"/>
    <w:rsid w:val="00D43E3D"/>
    <w:rsid w:val="00D449AF"/>
    <w:rsid w:val="00D45476"/>
    <w:rsid w:val="00D45684"/>
    <w:rsid w:val="00D47195"/>
    <w:rsid w:val="00D505DC"/>
    <w:rsid w:val="00D51423"/>
    <w:rsid w:val="00D51877"/>
    <w:rsid w:val="00D51A60"/>
    <w:rsid w:val="00D52198"/>
    <w:rsid w:val="00D52D86"/>
    <w:rsid w:val="00D536DB"/>
    <w:rsid w:val="00D536F8"/>
    <w:rsid w:val="00D53F0B"/>
    <w:rsid w:val="00D54420"/>
    <w:rsid w:val="00D546AD"/>
    <w:rsid w:val="00D55247"/>
    <w:rsid w:val="00D5538C"/>
    <w:rsid w:val="00D5568C"/>
    <w:rsid w:val="00D55D01"/>
    <w:rsid w:val="00D5640F"/>
    <w:rsid w:val="00D565A6"/>
    <w:rsid w:val="00D5779E"/>
    <w:rsid w:val="00D577B2"/>
    <w:rsid w:val="00D611C5"/>
    <w:rsid w:val="00D6141D"/>
    <w:rsid w:val="00D616B9"/>
    <w:rsid w:val="00D61724"/>
    <w:rsid w:val="00D61BE4"/>
    <w:rsid w:val="00D62418"/>
    <w:rsid w:val="00D62476"/>
    <w:rsid w:val="00D62704"/>
    <w:rsid w:val="00D6313E"/>
    <w:rsid w:val="00D633A9"/>
    <w:rsid w:val="00D64073"/>
    <w:rsid w:val="00D64F55"/>
    <w:rsid w:val="00D65742"/>
    <w:rsid w:val="00D66122"/>
    <w:rsid w:val="00D66947"/>
    <w:rsid w:val="00D706C8"/>
    <w:rsid w:val="00D71BDB"/>
    <w:rsid w:val="00D71CE7"/>
    <w:rsid w:val="00D71F02"/>
    <w:rsid w:val="00D720E8"/>
    <w:rsid w:val="00D72A1B"/>
    <w:rsid w:val="00D732B2"/>
    <w:rsid w:val="00D732FE"/>
    <w:rsid w:val="00D734C7"/>
    <w:rsid w:val="00D73543"/>
    <w:rsid w:val="00D75392"/>
    <w:rsid w:val="00D76EFC"/>
    <w:rsid w:val="00D77771"/>
    <w:rsid w:val="00D77934"/>
    <w:rsid w:val="00D81239"/>
    <w:rsid w:val="00D81A9C"/>
    <w:rsid w:val="00D81F2A"/>
    <w:rsid w:val="00D82390"/>
    <w:rsid w:val="00D82ACB"/>
    <w:rsid w:val="00D82ADA"/>
    <w:rsid w:val="00D82FE6"/>
    <w:rsid w:val="00D84132"/>
    <w:rsid w:val="00D8425E"/>
    <w:rsid w:val="00D84F85"/>
    <w:rsid w:val="00D8586A"/>
    <w:rsid w:val="00D8701B"/>
    <w:rsid w:val="00D871C0"/>
    <w:rsid w:val="00D90179"/>
    <w:rsid w:val="00D927CE"/>
    <w:rsid w:val="00D93FBA"/>
    <w:rsid w:val="00D94199"/>
    <w:rsid w:val="00D9559B"/>
    <w:rsid w:val="00D95874"/>
    <w:rsid w:val="00D96162"/>
    <w:rsid w:val="00D964DD"/>
    <w:rsid w:val="00D9699D"/>
    <w:rsid w:val="00D96A4C"/>
    <w:rsid w:val="00D96C97"/>
    <w:rsid w:val="00D96E17"/>
    <w:rsid w:val="00D96E87"/>
    <w:rsid w:val="00D9724B"/>
    <w:rsid w:val="00D974A0"/>
    <w:rsid w:val="00D97669"/>
    <w:rsid w:val="00D97685"/>
    <w:rsid w:val="00D97B99"/>
    <w:rsid w:val="00D97C00"/>
    <w:rsid w:val="00DA07CA"/>
    <w:rsid w:val="00DA0AC9"/>
    <w:rsid w:val="00DA1058"/>
    <w:rsid w:val="00DA16EC"/>
    <w:rsid w:val="00DA200F"/>
    <w:rsid w:val="00DA258D"/>
    <w:rsid w:val="00DA2A52"/>
    <w:rsid w:val="00DA32AF"/>
    <w:rsid w:val="00DA4022"/>
    <w:rsid w:val="00DA4701"/>
    <w:rsid w:val="00DA5EBE"/>
    <w:rsid w:val="00DA7118"/>
    <w:rsid w:val="00DB0E52"/>
    <w:rsid w:val="00DB0E80"/>
    <w:rsid w:val="00DB0F98"/>
    <w:rsid w:val="00DB1395"/>
    <w:rsid w:val="00DB1BF7"/>
    <w:rsid w:val="00DB1D3B"/>
    <w:rsid w:val="00DB200B"/>
    <w:rsid w:val="00DB2160"/>
    <w:rsid w:val="00DB2668"/>
    <w:rsid w:val="00DB2AA8"/>
    <w:rsid w:val="00DB2AF4"/>
    <w:rsid w:val="00DB34BC"/>
    <w:rsid w:val="00DB37B3"/>
    <w:rsid w:val="00DB4895"/>
    <w:rsid w:val="00DB61CD"/>
    <w:rsid w:val="00DB7553"/>
    <w:rsid w:val="00DC0662"/>
    <w:rsid w:val="00DC17A0"/>
    <w:rsid w:val="00DC2314"/>
    <w:rsid w:val="00DC2377"/>
    <w:rsid w:val="00DC2464"/>
    <w:rsid w:val="00DC266D"/>
    <w:rsid w:val="00DC2970"/>
    <w:rsid w:val="00DC2E13"/>
    <w:rsid w:val="00DC38C5"/>
    <w:rsid w:val="00DC4732"/>
    <w:rsid w:val="00DC4D27"/>
    <w:rsid w:val="00DC5397"/>
    <w:rsid w:val="00DC6657"/>
    <w:rsid w:val="00DC6E86"/>
    <w:rsid w:val="00DC763F"/>
    <w:rsid w:val="00DC7EA7"/>
    <w:rsid w:val="00DD035D"/>
    <w:rsid w:val="00DD0A0A"/>
    <w:rsid w:val="00DD104B"/>
    <w:rsid w:val="00DD1C79"/>
    <w:rsid w:val="00DD2BC1"/>
    <w:rsid w:val="00DD37BE"/>
    <w:rsid w:val="00DD42DE"/>
    <w:rsid w:val="00DD5070"/>
    <w:rsid w:val="00DD52A5"/>
    <w:rsid w:val="00DD5731"/>
    <w:rsid w:val="00DD6240"/>
    <w:rsid w:val="00DD65CC"/>
    <w:rsid w:val="00DD6E92"/>
    <w:rsid w:val="00DD6ED9"/>
    <w:rsid w:val="00DD74DC"/>
    <w:rsid w:val="00DD77A6"/>
    <w:rsid w:val="00DD7B42"/>
    <w:rsid w:val="00DD7CFD"/>
    <w:rsid w:val="00DD7D1C"/>
    <w:rsid w:val="00DE02E8"/>
    <w:rsid w:val="00DE0533"/>
    <w:rsid w:val="00DE12E8"/>
    <w:rsid w:val="00DE13CF"/>
    <w:rsid w:val="00DE1933"/>
    <w:rsid w:val="00DE1DB7"/>
    <w:rsid w:val="00DE2058"/>
    <w:rsid w:val="00DE24D8"/>
    <w:rsid w:val="00DE269E"/>
    <w:rsid w:val="00DE2F04"/>
    <w:rsid w:val="00DE35A9"/>
    <w:rsid w:val="00DE368C"/>
    <w:rsid w:val="00DE43C8"/>
    <w:rsid w:val="00DE4492"/>
    <w:rsid w:val="00DE55B0"/>
    <w:rsid w:val="00DE65BE"/>
    <w:rsid w:val="00DE6B5E"/>
    <w:rsid w:val="00DE6BA5"/>
    <w:rsid w:val="00DE6D6A"/>
    <w:rsid w:val="00DE6DD1"/>
    <w:rsid w:val="00DE6EAC"/>
    <w:rsid w:val="00DF07F3"/>
    <w:rsid w:val="00DF0FDB"/>
    <w:rsid w:val="00DF153C"/>
    <w:rsid w:val="00DF20E6"/>
    <w:rsid w:val="00DF2F65"/>
    <w:rsid w:val="00DF373B"/>
    <w:rsid w:val="00DF39E6"/>
    <w:rsid w:val="00DF4353"/>
    <w:rsid w:val="00DF4804"/>
    <w:rsid w:val="00DF4D03"/>
    <w:rsid w:val="00DF5311"/>
    <w:rsid w:val="00DF657F"/>
    <w:rsid w:val="00DF67CE"/>
    <w:rsid w:val="00DF6AB7"/>
    <w:rsid w:val="00DF7621"/>
    <w:rsid w:val="00E00743"/>
    <w:rsid w:val="00E009EA"/>
    <w:rsid w:val="00E0107C"/>
    <w:rsid w:val="00E01598"/>
    <w:rsid w:val="00E02328"/>
    <w:rsid w:val="00E02349"/>
    <w:rsid w:val="00E02D12"/>
    <w:rsid w:val="00E032DD"/>
    <w:rsid w:val="00E03660"/>
    <w:rsid w:val="00E03913"/>
    <w:rsid w:val="00E03D17"/>
    <w:rsid w:val="00E045FB"/>
    <w:rsid w:val="00E05026"/>
    <w:rsid w:val="00E062CD"/>
    <w:rsid w:val="00E067F9"/>
    <w:rsid w:val="00E07576"/>
    <w:rsid w:val="00E077F3"/>
    <w:rsid w:val="00E07D75"/>
    <w:rsid w:val="00E10A35"/>
    <w:rsid w:val="00E10CA4"/>
    <w:rsid w:val="00E1215E"/>
    <w:rsid w:val="00E1285C"/>
    <w:rsid w:val="00E129AC"/>
    <w:rsid w:val="00E129AF"/>
    <w:rsid w:val="00E1317C"/>
    <w:rsid w:val="00E14789"/>
    <w:rsid w:val="00E14A31"/>
    <w:rsid w:val="00E15C18"/>
    <w:rsid w:val="00E15D58"/>
    <w:rsid w:val="00E16E43"/>
    <w:rsid w:val="00E16F97"/>
    <w:rsid w:val="00E17096"/>
    <w:rsid w:val="00E17384"/>
    <w:rsid w:val="00E173B2"/>
    <w:rsid w:val="00E17C76"/>
    <w:rsid w:val="00E205CE"/>
    <w:rsid w:val="00E208FE"/>
    <w:rsid w:val="00E20A3C"/>
    <w:rsid w:val="00E211EC"/>
    <w:rsid w:val="00E212D0"/>
    <w:rsid w:val="00E21A63"/>
    <w:rsid w:val="00E22139"/>
    <w:rsid w:val="00E22BA9"/>
    <w:rsid w:val="00E22F4F"/>
    <w:rsid w:val="00E23A55"/>
    <w:rsid w:val="00E24191"/>
    <w:rsid w:val="00E25297"/>
    <w:rsid w:val="00E263AE"/>
    <w:rsid w:val="00E26C17"/>
    <w:rsid w:val="00E276BC"/>
    <w:rsid w:val="00E2781B"/>
    <w:rsid w:val="00E302C6"/>
    <w:rsid w:val="00E31054"/>
    <w:rsid w:val="00E31587"/>
    <w:rsid w:val="00E31590"/>
    <w:rsid w:val="00E317F8"/>
    <w:rsid w:val="00E31EFC"/>
    <w:rsid w:val="00E3369D"/>
    <w:rsid w:val="00E336B6"/>
    <w:rsid w:val="00E347FB"/>
    <w:rsid w:val="00E34F2A"/>
    <w:rsid w:val="00E34F5C"/>
    <w:rsid w:val="00E3527F"/>
    <w:rsid w:val="00E363F5"/>
    <w:rsid w:val="00E36A57"/>
    <w:rsid w:val="00E3750A"/>
    <w:rsid w:val="00E37F8C"/>
    <w:rsid w:val="00E40645"/>
    <w:rsid w:val="00E411B1"/>
    <w:rsid w:val="00E4127E"/>
    <w:rsid w:val="00E414C9"/>
    <w:rsid w:val="00E43FA2"/>
    <w:rsid w:val="00E44FC4"/>
    <w:rsid w:val="00E4524A"/>
    <w:rsid w:val="00E502D0"/>
    <w:rsid w:val="00E502D3"/>
    <w:rsid w:val="00E5030B"/>
    <w:rsid w:val="00E5086B"/>
    <w:rsid w:val="00E50FFD"/>
    <w:rsid w:val="00E51CE3"/>
    <w:rsid w:val="00E5483B"/>
    <w:rsid w:val="00E54E54"/>
    <w:rsid w:val="00E5501A"/>
    <w:rsid w:val="00E55E35"/>
    <w:rsid w:val="00E56A10"/>
    <w:rsid w:val="00E571F8"/>
    <w:rsid w:val="00E5732D"/>
    <w:rsid w:val="00E604F1"/>
    <w:rsid w:val="00E60B2C"/>
    <w:rsid w:val="00E60CAE"/>
    <w:rsid w:val="00E61B9B"/>
    <w:rsid w:val="00E61CCE"/>
    <w:rsid w:val="00E62233"/>
    <w:rsid w:val="00E62760"/>
    <w:rsid w:val="00E62966"/>
    <w:rsid w:val="00E62F19"/>
    <w:rsid w:val="00E62F28"/>
    <w:rsid w:val="00E647E4"/>
    <w:rsid w:val="00E64E55"/>
    <w:rsid w:val="00E65215"/>
    <w:rsid w:val="00E66FCD"/>
    <w:rsid w:val="00E706B0"/>
    <w:rsid w:val="00E711C1"/>
    <w:rsid w:val="00E71696"/>
    <w:rsid w:val="00E71C85"/>
    <w:rsid w:val="00E71E92"/>
    <w:rsid w:val="00E7259A"/>
    <w:rsid w:val="00E72BBC"/>
    <w:rsid w:val="00E739E0"/>
    <w:rsid w:val="00E740C6"/>
    <w:rsid w:val="00E74BB3"/>
    <w:rsid w:val="00E74BF4"/>
    <w:rsid w:val="00E75022"/>
    <w:rsid w:val="00E75398"/>
    <w:rsid w:val="00E761D4"/>
    <w:rsid w:val="00E77BC3"/>
    <w:rsid w:val="00E77DF1"/>
    <w:rsid w:val="00E77F6B"/>
    <w:rsid w:val="00E802FF"/>
    <w:rsid w:val="00E8109E"/>
    <w:rsid w:val="00E81403"/>
    <w:rsid w:val="00E81D7B"/>
    <w:rsid w:val="00E82CE3"/>
    <w:rsid w:val="00E836C1"/>
    <w:rsid w:val="00E844A3"/>
    <w:rsid w:val="00E84EDF"/>
    <w:rsid w:val="00E85891"/>
    <w:rsid w:val="00E85AF4"/>
    <w:rsid w:val="00E85C8C"/>
    <w:rsid w:val="00E85CE1"/>
    <w:rsid w:val="00E878D5"/>
    <w:rsid w:val="00E90461"/>
    <w:rsid w:val="00E9078D"/>
    <w:rsid w:val="00E90ECB"/>
    <w:rsid w:val="00E91E62"/>
    <w:rsid w:val="00E9351C"/>
    <w:rsid w:val="00E93C1B"/>
    <w:rsid w:val="00E945C8"/>
    <w:rsid w:val="00E95380"/>
    <w:rsid w:val="00E96C67"/>
    <w:rsid w:val="00E974EA"/>
    <w:rsid w:val="00E9762B"/>
    <w:rsid w:val="00E97D9D"/>
    <w:rsid w:val="00EA139F"/>
    <w:rsid w:val="00EA15BE"/>
    <w:rsid w:val="00EA1E0D"/>
    <w:rsid w:val="00EA22E7"/>
    <w:rsid w:val="00EA39EE"/>
    <w:rsid w:val="00EA455C"/>
    <w:rsid w:val="00EA55C9"/>
    <w:rsid w:val="00EA7E27"/>
    <w:rsid w:val="00EB0900"/>
    <w:rsid w:val="00EB0EFD"/>
    <w:rsid w:val="00EB1138"/>
    <w:rsid w:val="00EB18C9"/>
    <w:rsid w:val="00EB18EF"/>
    <w:rsid w:val="00EB28C2"/>
    <w:rsid w:val="00EB4326"/>
    <w:rsid w:val="00EB4920"/>
    <w:rsid w:val="00EB4A5B"/>
    <w:rsid w:val="00EB4B90"/>
    <w:rsid w:val="00EB50A6"/>
    <w:rsid w:val="00EB5611"/>
    <w:rsid w:val="00EB6FD4"/>
    <w:rsid w:val="00EB75CA"/>
    <w:rsid w:val="00EC1C31"/>
    <w:rsid w:val="00EC1D94"/>
    <w:rsid w:val="00EC259F"/>
    <w:rsid w:val="00EC25F9"/>
    <w:rsid w:val="00EC299B"/>
    <w:rsid w:val="00EC29F9"/>
    <w:rsid w:val="00EC3487"/>
    <w:rsid w:val="00EC3536"/>
    <w:rsid w:val="00EC3648"/>
    <w:rsid w:val="00EC3B1E"/>
    <w:rsid w:val="00EC3ED8"/>
    <w:rsid w:val="00EC3F62"/>
    <w:rsid w:val="00EC44A7"/>
    <w:rsid w:val="00EC473A"/>
    <w:rsid w:val="00EC51E8"/>
    <w:rsid w:val="00EC5937"/>
    <w:rsid w:val="00EC5D60"/>
    <w:rsid w:val="00EC6C5A"/>
    <w:rsid w:val="00EC73A7"/>
    <w:rsid w:val="00EC7DBA"/>
    <w:rsid w:val="00EC7F3D"/>
    <w:rsid w:val="00ED04BA"/>
    <w:rsid w:val="00ED104F"/>
    <w:rsid w:val="00ED10A3"/>
    <w:rsid w:val="00ED1B5D"/>
    <w:rsid w:val="00ED1DBA"/>
    <w:rsid w:val="00ED2B50"/>
    <w:rsid w:val="00ED318B"/>
    <w:rsid w:val="00ED3662"/>
    <w:rsid w:val="00ED5CE9"/>
    <w:rsid w:val="00ED6972"/>
    <w:rsid w:val="00ED73C3"/>
    <w:rsid w:val="00ED7EF1"/>
    <w:rsid w:val="00EE033B"/>
    <w:rsid w:val="00EE0A06"/>
    <w:rsid w:val="00EE0A23"/>
    <w:rsid w:val="00EE0FAE"/>
    <w:rsid w:val="00EE14BF"/>
    <w:rsid w:val="00EE21B3"/>
    <w:rsid w:val="00EE26E0"/>
    <w:rsid w:val="00EE345A"/>
    <w:rsid w:val="00EE3791"/>
    <w:rsid w:val="00EE4C22"/>
    <w:rsid w:val="00EE6092"/>
    <w:rsid w:val="00EE6348"/>
    <w:rsid w:val="00EE751C"/>
    <w:rsid w:val="00EE781C"/>
    <w:rsid w:val="00EF0B43"/>
    <w:rsid w:val="00EF1176"/>
    <w:rsid w:val="00EF2C15"/>
    <w:rsid w:val="00EF31E1"/>
    <w:rsid w:val="00EF3B9C"/>
    <w:rsid w:val="00EF4217"/>
    <w:rsid w:val="00EF4786"/>
    <w:rsid w:val="00EF5050"/>
    <w:rsid w:val="00EF5CFB"/>
    <w:rsid w:val="00EF60EB"/>
    <w:rsid w:val="00EF6AE2"/>
    <w:rsid w:val="00EF7600"/>
    <w:rsid w:val="00F0024F"/>
    <w:rsid w:val="00F002E5"/>
    <w:rsid w:val="00F012F4"/>
    <w:rsid w:val="00F017B2"/>
    <w:rsid w:val="00F027A2"/>
    <w:rsid w:val="00F0387D"/>
    <w:rsid w:val="00F039EB"/>
    <w:rsid w:val="00F03DFF"/>
    <w:rsid w:val="00F049F4"/>
    <w:rsid w:val="00F04A43"/>
    <w:rsid w:val="00F04E59"/>
    <w:rsid w:val="00F05384"/>
    <w:rsid w:val="00F0597F"/>
    <w:rsid w:val="00F05BA1"/>
    <w:rsid w:val="00F0670D"/>
    <w:rsid w:val="00F07E15"/>
    <w:rsid w:val="00F10457"/>
    <w:rsid w:val="00F10FA9"/>
    <w:rsid w:val="00F11F31"/>
    <w:rsid w:val="00F11F5C"/>
    <w:rsid w:val="00F12663"/>
    <w:rsid w:val="00F12A75"/>
    <w:rsid w:val="00F12AA8"/>
    <w:rsid w:val="00F12F5C"/>
    <w:rsid w:val="00F13014"/>
    <w:rsid w:val="00F1432C"/>
    <w:rsid w:val="00F147F7"/>
    <w:rsid w:val="00F15667"/>
    <w:rsid w:val="00F15C24"/>
    <w:rsid w:val="00F15DD7"/>
    <w:rsid w:val="00F15E38"/>
    <w:rsid w:val="00F16692"/>
    <w:rsid w:val="00F166B1"/>
    <w:rsid w:val="00F16F4D"/>
    <w:rsid w:val="00F177BF"/>
    <w:rsid w:val="00F17DBD"/>
    <w:rsid w:val="00F20567"/>
    <w:rsid w:val="00F206DC"/>
    <w:rsid w:val="00F20981"/>
    <w:rsid w:val="00F21033"/>
    <w:rsid w:val="00F2160F"/>
    <w:rsid w:val="00F21788"/>
    <w:rsid w:val="00F21FB3"/>
    <w:rsid w:val="00F220A5"/>
    <w:rsid w:val="00F2278E"/>
    <w:rsid w:val="00F2287F"/>
    <w:rsid w:val="00F22F1F"/>
    <w:rsid w:val="00F2389E"/>
    <w:rsid w:val="00F24EAA"/>
    <w:rsid w:val="00F24FA7"/>
    <w:rsid w:val="00F25464"/>
    <w:rsid w:val="00F2767F"/>
    <w:rsid w:val="00F30343"/>
    <w:rsid w:val="00F304EB"/>
    <w:rsid w:val="00F30920"/>
    <w:rsid w:val="00F311C9"/>
    <w:rsid w:val="00F3120B"/>
    <w:rsid w:val="00F312AD"/>
    <w:rsid w:val="00F3155B"/>
    <w:rsid w:val="00F3243B"/>
    <w:rsid w:val="00F32E71"/>
    <w:rsid w:val="00F330F6"/>
    <w:rsid w:val="00F3385B"/>
    <w:rsid w:val="00F33A7E"/>
    <w:rsid w:val="00F345C5"/>
    <w:rsid w:val="00F34B96"/>
    <w:rsid w:val="00F35BB2"/>
    <w:rsid w:val="00F36AF7"/>
    <w:rsid w:val="00F3775C"/>
    <w:rsid w:val="00F37CB6"/>
    <w:rsid w:val="00F40378"/>
    <w:rsid w:val="00F405D9"/>
    <w:rsid w:val="00F41141"/>
    <w:rsid w:val="00F415AF"/>
    <w:rsid w:val="00F41AA8"/>
    <w:rsid w:val="00F42D53"/>
    <w:rsid w:val="00F44D0B"/>
    <w:rsid w:val="00F4590F"/>
    <w:rsid w:val="00F45913"/>
    <w:rsid w:val="00F46F10"/>
    <w:rsid w:val="00F47260"/>
    <w:rsid w:val="00F47516"/>
    <w:rsid w:val="00F47F89"/>
    <w:rsid w:val="00F500B0"/>
    <w:rsid w:val="00F50254"/>
    <w:rsid w:val="00F50B14"/>
    <w:rsid w:val="00F521C6"/>
    <w:rsid w:val="00F52D5D"/>
    <w:rsid w:val="00F5336C"/>
    <w:rsid w:val="00F533F0"/>
    <w:rsid w:val="00F53660"/>
    <w:rsid w:val="00F543E5"/>
    <w:rsid w:val="00F5472D"/>
    <w:rsid w:val="00F54FA1"/>
    <w:rsid w:val="00F553A0"/>
    <w:rsid w:val="00F55D6B"/>
    <w:rsid w:val="00F5698F"/>
    <w:rsid w:val="00F56CE3"/>
    <w:rsid w:val="00F57E0F"/>
    <w:rsid w:val="00F60122"/>
    <w:rsid w:val="00F60F0F"/>
    <w:rsid w:val="00F61472"/>
    <w:rsid w:val="00F61C0D"/>
    <w:rsid w:val="00F63689"/>
    <w:rsid w:val="00F637BB"/>
    <w:rsid w:val="00F642CB"/>
    <w:rsid w:val="00F64D11"/>
    <w:rsid w:val="00F65AB1"/>
    <w:rsid w:val="00F663D9"/>
    <w:rsid w:val="00F66798"/>
    <w:rsid w:val="00F668B6"/>
    <w:rsid w:val="00F66F3C"/>
    <w:rsid w:val="00F67361"/>
    <w:rsid w:val="00F67E01"/>
    <w:rsid w:val="00F7096E"/>
    <w:rsid w:val="00F716CD"/>
    <w:rsid w:val="00F71CF1"/>
    <w:rsid w:val="00F7322A"/>
    <w:rsid w:val="00F732C0"/>
    <w:rsid w:val="00F745BB"/>
    <w:rsid w:val="00F74645"/>
    <w:rsid w:val="00F74F3D"/>
    <w:rsid w:val="00F75BD0"/>
    <w:rsid w:val="00F76987"/>
    <w:rsid w:val="00F76C50"/>
    <w:rsid w:val="00F774BA"/>
    <w:rsid w:val="00F7754F"/>
    <w:rsid w:val="00F7785B"/>
    <w:rsid w:val="00F77BAB"/>
    <w:rsid w:val="00F77DED"/>
    <w:rsid w:val="00F77E72"/>
    <w:rsid w:val="00F800FE"/>
    <w:rsid w:val="00F802F9"/>
    <w:rsid w:val="00F80644"/>
    <w:rsid w:val="00F80860"/>
    <w:rsid w:val="00F80AE7"/>
    <w:rsid w:val="00F80B76"/>
    <w:rsid w:val="00F80C58"/>
    <w:rsid w:val="00F811F0"/>
    <w:rsid w:val="00F820BF"/>
    <w:rsid w:val="00F83A8D"/>
    <w:rsid w:val="00F842FB"/>
    <w:rsid w:val="00F84A5D"/>
    <w:rsid w:val="00F86B11"/>
    <w:rsid w:val="00F87496"/>
    <w:rsid w:val="00F90041"/>
    <w:rsid w:val="00F91613"/>
    <w:rsid w:val="00F9164F"/>
    <w:rsid w:val="00F9230A"/>
    <w:rsid w:val="00F9421A"/>
    <w:rsid w:val="00F94945"/>
    <w:rsid w:val="00F94EAD"/>
    <w:rsid w:val="00F95DAE"/>
    <w:rsid w:val="00F95F1B"/>
    <w:rsid w:val="00F9725C"/>
    <w:rsid w:val="00FA06E7"/>
    <w:rsid w:val="00FA095E"/>
    <w:rsid w:val="00FA12F3"/>
    <w:rsid w:val="00FA2C06"/>
    <w:rsid w:val="00FA2C62"/>
    <w:rsid w:val="00FA2EEC"/>
    <w:rsid w:val="00FA2F47"/>
    <w:rsid w:val="00FA2FE2"/>
    <w:rsid w:val="00FA32BF"/>
    <w:rsid w:val="00FA391A"/>
    <w:rsid w:val="00FA44D0"/>
    <w:rsid w:val="00FA44FF"/>
    <w:rsid w:val="00FA4817"/>
    <w:rsid w:val="00FA4AAE"/>
    <w:rsid w:val="00FA4B75"/>
    <w:rsid w:val="00FA4D6D"/>
    <w:rsid w:val="00FA6397"/>
    <w:rsid w:val="00FA6498"/>
    <w:rsid w:val="00FA7D36"/>
    <w:rsid w:val="00FA7F02"/>
    <w:rsid w:val="00FB077D"/>
    <w:rsid w:val="00FB0A0C"/>
    <w:rsid w:val="00FB0FAC"/>
    <w:rsid w:val="00FB1680"/>
    <w:rsid w:val="00FB2477"/>
    <w:rsid w:val="00FB26D6"/>
    <w:rsid w:val="00FB27ED"/>
    <w:rsid w:val="00FB291B"/>
    <w:rsid w:val="00FB2C4D"/>
    <w:rsid w:val="00FB2D44"/>
    <w:rsid w:val="00FB30E2"/>
    <w:rsid w:val="00FB351B"/>
    <w:rsid w:val="00FB42E4"/>
    <w:rsid w:val="00FB585B"/>
    <w:rsid w:val="00FB58E9"/>
    <w:rsid w:val="00FB5CF5"/>
    <w:rsid w:val="00FB5EE9"/>
    <w:rsid w:val="00FB63FB"/>
    <w:rsid w:val="00FB7484"/>
    <w:rsid w:val="00FB79BD"/>
    <w:rsid w:val="00FC0ECD"/>
    <w:rsid w:val="00FC1329"/>
    <w:rsid w:val="00FC13CD"/>
    <w:rsid w:val="00FC1534"/>
    <w:rsid w:val="00FC165D"/>
    <w:rsid w:val="00FC285B"/>
    <w:rsid w:val="00FC2DB4"/>
    <w:rsid w:val="00FC3498"/>
    <w:rsid w:val="00FC3D32"/>
    <w:rsid w:val="00FC46D5"/>
    <w:rsid w:val="00FC4D80"/>
    <w:rsid w:val="00FC5032"/>
    <w:rsid w:val="00FC53D6"/>
    <w:rsid w:val="00FC5756"/>
    <w:rsid w:val="00FC5925"/>
    <w:rsid w:val="00FC62A4"/>
    <w:rsid w:val="00FC6A26"/>
    <w:rsid w:val="00FC6AE3"/>
    <w:rsid w:val="00FC6CC1"/>
    <w:rsid w:val="00FD078F"/>
    <w:rsid w:val="00FD125C"/>
    <w:rsid w:val="00FD197B"/>
    <w:rsid w:val="00FD1AD6"/>
    <w:rsid w:val="00FD1ECA"/>
    <w:rsid w:val="00FD46D5"/>
    <w:rsid w:val="00FD49FD"/>
    <w:rsid w:val="00FD5B9D"/>
    <w:rsid w:val="00FD5F7F"/>
    <w:rsid w:val="00FD6C98"/>
    <w:rsid w:val="00FD73CF"/>
    <w:rsid w:val="00FD7C18"/>
    <w:rsid w:val="00FE0065"/>
    <w:rsid w:val="00FE02C8"/>
    <w:rsid w:val="00FE1961"/>
    <w:rsid w:val="00FE2090"/>
    <w:rsid w:val="00FE22D8"/>
    <w:rsid w:val="00FE230F"/>
    <w:rsid w:val="00FE253E"/>
    <w:rsid w:val="00FE367A"/>
    <w:rsid w:val="00FE4326"/>
    <w:rsid w:val="00FE437D"/>
    <w:rsid w:val="00FE4399"/>
    <w:rsid w:val="00FE43FA"/>
    <w:rsid w:val="00FE48B9"/>
    <w:rsid w:val="00FE5B66"/>
    <w:rsid w:val="00FE5EAF"/>
    <w:rsid w:val="00FE5EC8"/>
    <w:rsid w:val="00FE6151"/>
    <w:rsid w:val="00FE622E"/>
    <w:rsid w:val="00FE71AA"/>
    <w:rsid w:val="00FE72A3"/>
    <w:rsid w:val="00FF0624"/>
    <w:rsid w:val="00FF0EF6"/>
    <w:rsid w:val="00FF10ED"/>
    <w:rsid w:val="00FF1A24"/>
    <w:rsid w:val="00FF265D"/>
    <w:rsid w:val="00FF2752"/>
    <w:rsid w:val="00FF2FE9"/>
    <w:rsid w:val="00FF31A6"/>
    <w:rsid w:val="00FF3636"/>
    <w:rsid w:val="00FF3660"/>
    <w:rsid w:val="00FF5673"/>
    <w:rsid w:val="00FF5CCC"/>
    <w:rsid w:val="00FF5E6D"/>
    <w:rsid w:val="00FF606F"/>
    <w:rsid w:val="00FF62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66CA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59BC"/>
    <w:pPr>
      <w:spacing w:after="0" w:line="276" w:lineRule="auto"/>
      <w:jc w:val="both"/>
    </w:pPr>
    <w:rPr>
      <w:rFonts w:ascii="Garamond" w:eastAsia="Calibri" w:hAnsi="Garamond" w:cs="Times New Roman"/>
      <w:sz w:val="24"/>
    </w:rPr>
  </w:style>
  <w:style w:type="paragraph" w:styleId="Nadpis1">
    <w:name w:val="heading 1"/>
    <w:basedOn w:val="Normln"/>
    <w:next w:val="Normln"/>
    <w:link w:val="Nadpis1Char"/>
    <w:uiPriority w:val="9"/>
    <w:qFormat/>
    <w:rsid w:val="00930695"/>
    <w:pPr>
      <w:keepNext/>
      <w:keepLines/>
      <w:spacing w:before="240"/>
      <w:outlineLvl w:val="0"/>
    </w:pPr>
    <w:rPr>
      <w:rFonts w:eastAsiaTheme="majorEastAsia" w:cstheme="majorBidi"/>
      <w:b/>
      <w:sz w:val="32"/>
      <w:szCs w:val="32"/>
    </w:rPr>
  </w:style>
  <w:style w:type="paragraph" w:styleId="Nadpis2">
    <w:name w:val="heading 2"/>
    <w:basedOn w:val="Normln"/>
    <w:next w:val="Normln"/>
    <w:link w:val="Nadpis2Char"/>
    <w:uiPriority w:val="9"/>
    <w:unhideWhenUsed/>
    <w:qFormat/>
    <w:rsid w:val="00894D51"/>
    <w:pPr>
      <w:keepNext/>
      <w:keepLines/>
      <w:spacing w:before="40"/>
      <w:outlineLvl w:val="1"/>
    </w:pPr>
    <w:rPr>
      <w:rFonts w:eastAsiaTheme="majorEastAsia" w:cstheme="majorBidi"/>
      <w:b/>
      <w:color w:val="000000" w:themeColor="text1"/>
      <w:sz w:val="28"/>
      <w:szCs w:val="26"/>
    </w:rPr>
  </w:style>
  <w:style w:type="paragraph" w:styleId="Nadpis3">
    <w:name w:val="heading 3"/>
    <w:basedOn w:val="Normln"/>
    <w:next w:val="Normln"/>
    <w:link w:val="Nadpis3Char"/>
    <w:uiPriority w:val="9"/>
    <w:unhideWhenUsed/>
    <w:qFormat/>
    <w:rsid w:val="008430BD"/>
    <w:pPr>
      <w:keepNext/>
      <w:keepLines/>
      <w:spacing w:before="200"/>
      <w:ind w:left="720" w:hanging="720"/>
      <w:outlineLvl w:val="2"/>
    </w:pPr>
    <w:rPr>
      <w:rFonts w:eastAsia="Times New Roman"/>
      <w:b/>
      <w:bCs/>
      <w:color w:val="000000"/>
    </w:rPr>
  </w:style>
  <w:style w:type="paragraph" w:styleId="Nadpis4">
    <w:name w:val="heading 4"/>
    <w:basedOn w:val="Normln"/>
    <w:next w:val="Normln"/>
    <w:link w:val="Nadpis4Char"/>
    <w:uiPriority w:val="9"/>
    <w:unhideWhenUsed/>
    <w:qFormat/>
    <w:rsid w:val="008430BD"/>
    <w:pPr>
      <w:keepNext/>
      <w:keepLines/>
      <w:spacing w:before="200"/>
      <w:ind w:left="864" w:hanging="864"/>
      <w:outlineLvl w:val="3"/>
    </w:pPr>
    <w:rPr>
      <w:rFonts w:eastAsia="Times New Roman"/>
      <w:b/>
      <w:bCs/>
      <w:iCs/>
    </w:rPr>
  </w:style>
  <w:style w:type="paragraph" w:styleId="Nadpis5">
    <w:name w:val="heading 5"/>
    <w:basedOn w:val="Normln"/>
    <w:next w:val="Normln"/>
    <w:link w:val="Nadpis5Char"/>
    <w:uiPriority w:val="9"/>
    <w:semiHidden/>
    <w:unhideWhenUsed/>
    <w:qFormat/>
    <w:rsid w:val="008430BD"/>
    <w:pPr>
      <w:keepNext/>
      <w:keepLines/>
      <w:spacing w:before="200"/>
      <w:ind w:left="1008" w:hanging="1008"/>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8430BD"/>
    <w:pPr>
      <w:keepNext/>
      <w:keepLines/>
      <w:spacing w:before="200"/>
      <w:ind w:left="1152" w:hanging="1152"/>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8430BD"/>
    <w:pPr>
      <w:keepNext/>
      <w:keepLines/>
      <w:spacing w:before="200"/>
      <w:ind w:left="1296" w:hanging="1296"/>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8430BD"/>
    <w:pPr>
      <w:keepNext/>
      <w:keepLines/>
      <w:spacing w:before="200"/>
      <w:ind w:left="1440" w:hanging="144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8430BD"/>
    <w:pPr>
      <w:keepNext/>
      <w:keepLines/>
      <w:spacing w:before="200"/>
      <w:ind w:left="1584" w:hanging="1584"/>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30695"/>
    <w:rPr>
      <w:rFonts w:ascii="Garamond" w:eastAsiaTheme="majorEastAsia" w:hAnsi="Garamond" w:cstheme="majorBidi"/>
      <w:b/>
      <w:sz w:val="32"/>
      <w:szCs w:val="32"/>
    </w:rPr>
  </w:style>
  <w:style w:type="character" w:customStyle="1" w:styleId="Nadpis2Char">
    <w:name w:val="Nadpis 2 Char"/>
    <w:basedOn w:val="Standardnpsmoodstavce"/>
    <w:link w:val="Nadpis2"/>
    <w:uiPriority w:val="9"/>
    <w:rsid w:val="00894D51"/>
    <w:rPr>
      <w:rFonts w:ascii="Times New Roman" w:eastAsiaTheme="majorEastAsia" w:hAnsi="Times New Roman" w:cstheme="majorBidi"/>
      <w:b/>
      <w:color w:val="000000" w:themeColor="text1"/>
      <w:sz w:val="28"/>
      <w:szCs w:val="26"/>
    </w:rPr>
  </w:style>
  <w:style w:type="character" w:customStyle="1" w:styleId="Nadpis3Char">
    <w:name w:val="Nadpis 3 Char"/>
    <w:basedOn w:val="Standardnpsmoodstavce"/>
    <w:link w:val="Nadpis3"/>
    <w:uiPriority w:val="9"/>
    <w:rsid w:val="008430BD"/>
    <w:rPr>
      <w:rFonts w:ascii="Garamond" w:eastAsia="Times New Roman" w:hAnsi="Garamond" w:cs="Times New Roman"/>
      <w:b/>
      <w:bCs/>
      <w:color w:val="000000"/>
      <w:sz w:val="24"/>
    </w:rPr>
  </w:style>
  <w:style w:type="character" w:customStyle="1" w:styleId="Nadpis4Char">
    <w:name w:val="Nadpis 4 Char"/>
    <w:basedOn w:val="Standardnpsmoodstavce"/>
    <w:link w:val="Nadpis4"/>
    <w:uiPriority w:val="9"/>
    <w:rsid w:val="008430BD"/>
    <w:rPr>
      <w:rFonts w:ascii="Garamond" w:eastAsia="Times New Roman" w:hAnsi="Garamond" w:cs="Times New Roman"/>
      <w:b/>
      <w:bCs/>
      <w:iCs/>
      <w:sz w:val="24"/>
    </w:rPr>
  </w:style>
  <w:style w:type="character" w:customStyle="1" w:styleId="Nadpis5Char">
    <w:name w:val="Nadpis 5 Char"/>
    <w:basedOn w:val="Standardnpsmoodstavce"/>
    <w:link w:val="Nadpis5"/>
    <w:uiPriority w:val="9"/>
    <w:semiHidden/>
    <w:rsid w:val="008430BD"/>
    <w:rPr>
      <w:rFonts w:ascii="Cambria" w:eastAsia="Times New Roman" w:hAnsi="Cambria" w:cs="Times New Roman"/>
      <w:color w:val="243F60"/>
      <w:sz w:val="24"/>
    </w:rPr>
  </w:style>
  <w:style w:type="character" w:customStyle="1" w:styleId="Nadpis6Char">
    <w:name w:val="Nadpis 6 Char"/>
    <w:basedOn w:val="Standardnpsmoodstavce"/>
    <w:link w:val="Nadpis6"/>
    <w:uiPriority w:val="9"/>
    <w:semiHidden/>
    <w:rsid w:val="008430BD"/>
    <w:rPr>
      <w:rFonts w:ascii="Cambria" w:eastAsia="Times New Roman" w:hAnsi="Cambria" w:cs="Times New Roman"/>
      <w:i/>
      <w:iCs/>
      <w:color w:val="243F60"/>
      <w:sz w:val="24"/>
    </w:rPr>
  </w:style>
  <w:style w:type="character" w:customStyle="1" w:styleId="Nadpis7Char">
    <w:name w:val="Nadpis 7 Char"/>
    <w:basedOn w:val="Standardnpsmoodstavce"/>
    <w:link w:val="Nadpis7"/>
    <w:uiPriority w:val="9"/>
    <w:semiHidden/>
    <w:rsid w:val="008430BD"/>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semiHidden/>
    <w:rsid w:val="008430BD"/>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8430BD"/>
    <w:rPr>
      <w:rFonts w:ascii="Cambria" w:eastAsia="Times New Roman" w:hAnsi="Cambria" w:cs="Times New Roman"/>
      <w:i/>
      <w:iCs/>
      <w:color w:val="404040"/>
      <w:sz w:val="20"/>
      <w:szCs w:val="20"/>
    </w:rPr>
  </w:style>
  <w:style w:type="paragraph" w:styleId="Nadpisobsahu">
    <w:name w:val="TOC Heading"/>
    <w:basedOn w:val="Nadpis1"/>
    <w:next w:val="Normln"/>
    <w:uiPriority w:val="39"/>
    <w:unhideWhenUsed/>
    <w:qFormat/>
    <w:rsid w:val="008430BD"/>
    <w:pPr>
      <w:pageBreakBefore/>
      <w:outlineLvl w:val="9"/>
    </w:pPr>
    <w:rPr>
      <w:rFonts w:ascii="Cambria" w:eastAsia="Times New Roman" w:hAnsi="Cambria" w:cs="Times New Roman"/>
      <w:b w:val="0"/>
      <w:bCs/>
      <w:color w:val="365F91"/>
      <w:szCs w:val="28"/>
      <w:lang w:eastAsia="cs-CZ"/>
    </w:rPr>
  </w:style>
  <w:style w:type="paragraph" w:styleId="Obsah1">
    <w:name w:val="toc 1"/>
    <w:basedOn w:val="Normln"/>
    <w:next w:val="Normln"/>
    <w:autoRedefine/>
    <w:uiPriority w:val="39"/>
    <w:unhideWhenUsed/>
    <w:rsid w:val="008430BD"/>
    <w:pPr>
      <w:tabs>
        <w:tab w:val="right" w:leader="dot" w:pos="9060"/>
      </w:tabs>
    </w:pPr>
  </w:style>
  <w:style w:type="character" w:styleId="Hypertextovodkaz">
    <w:name w:val="Hyperlink"/>
    <w:uiPriority w:val="99"/>
    <w:unhideWhenUsed/>
    <w:rsid w:val="008430BD"/>
    <w:rPr>
      <w:color w:val="0000FF"/>
      <w:u w:val="single"/>
    </w:rPr>
  </w:style>
  <w:style w:type="paragraph" w:styleId="Obsah2">
    <w:name w:val="toc 2"/>
    <w:basedOn w:val="Normln"/>
    <w:next w:val="Normln"/>
    <w:autoRedefine/>
    <w:uiPriority w:val="39"/>
    <w:unhideWhenUsed/>
    <w:rsid w:val="000E0C47"/>
    <w:pPr>
      <w:tabs>
        <w:tab w:val="left" w:pos="880"/>
        <w:tab w:val="right" w:leader="dot" w:pos="9062"/>
      </w:tabs>
      <w:ind w:left="238"/>
    </w:pPr>
    <w:rPr>
      <w:noProof/>
    </w:rPr>
  </w:style>
  <w:style w:type="paragraph" w:styleId="Obsah3">
    <w:name w:val="toc 3"/>
    <w:basedOn w:val="Normln"/>
    <w:next w:val="Normln"/>
    <w:autoRedefine/>
    <w:uiPriority w:val="39"/>
    <w:unhideWhenUsed/>
    <w:rsid w:val="00561B98"/>
    <w:pPr>
      <w:tabs>
        <w:tab w:val="left" w:pos="1320"/>
        <w:tab w:val="right" w:leader="dot" w:pos="9062"/>
      </w:tabs>
      <w:ind w:left="482"/>
    </w:pPr>
  </w:style>
  <w:style w:type="paragraph" w:styleId="Zhlav">
    <w:name w:val="header"/>
    <w:basedOn w:val="Normln"/>
    <w:link w:val="ZhlavChar"/>
    <w:uiPriority w:val="99"/>
    <w:unhideWhenUsed/>
    <w:rsid w:val="008430BD"/>
    <w:pPr>
      <w:tabs>
        <w:tab w:val="center" w:pos="4536"/>
        <w:tab w:val="right" w:pos="9072"/>
      </w:tabs>
      <w:spacing w:line="240" w:lineRule="auto"/>
    </w:pPr>
  </w:style>
  <w:style w:type="character" w:customStyle="1" w:styleId="ZhlavChar">
    <w:name w:val="Záhlaví Char"/>
    <w:basedOn w:val="Standardnpsmoodstavce"/>
    <w:link w:val="Zhlav"/>
    <w:uiPriority w:val="99"/>
    <w:rsid w:val="008430BD"/>
    <w:rPr>
      <w:rFonts w:ascii="Garamond" w:eastAsia="Calibri" w:hAnsi="Garamond" w:cs="Times New Roman"/>
      <w:sz w:val="24"/>
    </w:rPr>
  </w:style>
  <w:style w:type="paragraph" w:styleId="Zpat">
    <w:name w:val="footer"/>
    <w:basedOn w:val="Normln"/>
    <w:link w:val="ZpatChar"/>
    <w:uiPriority w:val="99"/>
    <w:unhideWhenUsed/>
    <w:rsid w:val="008430BD"/>
    <w:pPr>
      <w:tabs>
        <w:tab w:val="center" w:pos="4536"/>
        <w:tab w:val="right" w:pos="9072"/>
      </w:tabs>
      <w:spacing w:line="240" w:lineRule="auto"/>
    </w:pPr>
  </w:style>
  <w:style w:type="character" w:customStyle="1" w:styleId="ZpatChar">
    <w:name w:val="Zápatí Char"/>
    <w:basedOn w:val="Standardnpsmoodstavce"/>
    <w:link w:val="Zpat"/>
    <w:uiPriority w:val="99"/>
    <w:rsid w:val="008430BD"/>
    <w:rPr>
      <w:rFonts w:ascii="Garamond" w:eastAsia="Calibri" w:hAnsi="Garamond" w:cs="Times New Roman"/>
      <w:sz w:val="24"/>
    </w:rPr>
  </w:style>
  <w:style w:type="paragraph" w:styleId="Textbubliny">
    <w:name w:val="Balloon Text"/>
    <w:basedOn w:val="Normln"/>
    <w:link w:val="TextbublinyChar"/>
    <w:uiPriority w:val="99"/>
    <w:semiHidden/>
    <w:unhideWhenUsed/>
    <w:rsid w:val="008430B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30BD"/>
    <w:rPr>
      <w:rFonts w:ascii="Tahoma" w:eastAsia="Calibri" w:hAnsi="Tahoma" w:cs="Tahoma"/>
      <w:sz w:val="16"/>
      <w:szCs w:val="16"/>
    </w:rPr>
  </w:style>
  <w:style w:type="paragraph" w:styleId="Odstavecseseznamem">
    <w:name w:val="List Paragraph"/>
    <w:basedOn w:val="Normln"/>
    <w:uiPriority w:val="34"/>
    <w:qFormat/>
    <w:rsid w:val="008430BD"/>
    <w:pPr>
      <w:ind w:left="720"/>
      <w:contextualSpacing/>
    </w:pPr>
  </w:style>
  <w:style w:type="paragraph" w:styleId="Titulek">
    <w:name w:val="caption"/>
    <w:basedOn w:val="Normln"/>
    <w:next w:val="Normln"/>
    <w:uiPriority w:val="35"/>
    <w:unhideWhenUsed/>
    <w:qFormat/>
    <w:rsid w:val="008430BD"/>
    <w:pPr>
      <w:spacing w:line="240" w:lineRule="auto"/>
    </w:pPr>
    <w:rPr>
      <w:b/>
      <w:bCs/>
      <w:color w:val="4F81BD"/>
      <w:sz w:val="18"/>
      <w:szCs w:val="18"/>
    </w:rPr>
  </w:style>
  <w:style w:type="paragraph" w:styleId="Podnadpis">
    <w:name w:val="Subtitle"/>
    <w:aliases w:val="Grafy a tabulky"/>
    <w:basedOn w:val="Normln"/>
    <w:next w:val="Normln"/>
    <w:link w:val="PodnadpisChar"/>
    <w:uiPriority w:val="11"/>
    <w:qFormat/>
    <w:rsid w:val="008430BD"/>
    <w:pPr>
      <w:keepNext/>
      <w:numPr>
        <w:ilvl w:val="1"/>
      </w:numPr>
      <w:spacing w:before="120" w:line="240" w:lineRule="auto"/>
      <w:jc w:val="left"/>
    </w:pPr>
    <w:rPr>
      <w:rFonts w:eastAsia="Times New Roman"/>
      <w:b/>
      <w:iCs/>
      <w:color w:val="000000"/>
      <w:spacing w:val="15"/>
      <w:szCs w:val="24"/>
    </w:rPr>
  </w:style>
  <w:style w:type="character" w:customStyle="1" w:styleId="PodnadpisChar">
    <w:name w:val="Podnadpis Char"/>
    <w:aliases w:val="Grafy a tabulky Char"/>
    <w:basedOn w:val="Standardnpsmoodstavce"/>
    <w:link w:val="Podnadpis"/>
    <w:uiPriority w:val="11"/>
    <w:rsid w:val="008430BD"/>
    <w:rPr>
      <w:rFonts w:ascii="Garamond" w:eastAsia="Times New Roman" w:hAnsi="Garamond" w:cs="Times New Roman"/>
      <w:b/>
      <w:iCs/>
      <w:color w:val="000000"/>
      <w:spacing w:val="15"/>
      <w:sz w:val="24"/>
      <w:szCs w:val="24"/>
    </w:rPr>
  </w:style>
  <w:style w:type="paragraph" w:styleId="Seznamobrzk">
    <w:name w:val="table of figures"/>
    <w:basedOn w:val="Normln"/>
    <w:next w:val="Normln"/>
    <w:uiPriority w:val="99"/>
    <w:unhideWhenUsed/>
    <w:rsid w:val="00CF32FA"/>
    <w:pPr>
      <w:ind w:left="567" w:right="567" w:hanging="567"/>
    </w:pPr>
  </w:style>
  <w:style w:type="paragraph" w:styleId="Bezmezer">
    <w:name w:val="No Spacing"/>
    <w:uiPriority w:val="1"/>
    <w:qFormat/>
    <w:rsid w:val="008430BD"/>
    <w:pPr>
      <w:spacing w:after="0" w:line="240" w:lineRule="auto"/>
    </w:pPr>
    <w:rPr>
      <w:rFonts w:ascii="Times New Roman" w:eastAsia="Calibri" w:hAnsi="Times New Roman" w:cs="Times New Roman"/>
      <w:sz w:val="24"/>
    </w:rPr>
  </w:style>
  <w:style w:type="paragraph" w:styleId="Textpoznpodarou">
    <w:name w:val="footnote text"/>
    <w:basedOn w:val="Normln"/>
    <w:link w:val="TextpoznpodarouChar"/>
    <w:uiPriority w:val="99"/>
    <w:semiHidden/>
    <w:unhideWhenUsed/>
    <w:rsid w:val="008430BD"/>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8430BD"/>
    <w:rPr>
      <w:rFonts w:ascii="Garamond" w:eastAsia="Calibri" w:hAnsi="Garamond" w:cs="Times New Roman"/>
      <w:sz w:val="20"/>
      <w:szCs w:val="20"/>
    </w:rPr>
  </w:style>
  <w:style w:type="character" w:styleId="Znakapoznpodarou">
    <w:name w:val="footnote reference"/>
    <w:uiPriority w:val="99"/>
    <w:semiHidden/>
    <w:unhideWhenUsed/>
    <w:rsid w:val="008430BD"/>
    <w:rPr>
      <w:vertAlign w:val="superscript"/>
    </w:rPr>
  </w:style>
  <w:style w:type="paragraph" w:styleId="Nzev">
    <w:name w:val="Title"/>
    <w:basedOn w:val="Normln"/>
    <w:next w:val="Normln"/>
    <w:link w:val="NzevChar"/>
    <w:uiPriority w:val="10"/>
    <w:qFormat/>
    <w:rsid w:val="008430B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10"/>
    <w:rsid w:val="008430BD"/>
    <w:rPr>
      <w:rFonts w:ascii="Cambria" w:eastAsia="Times New Roman" w:hAnsi="Cambria" w:cs="Times New Roman"/>
      <w:color w:val="17365D"/>
      <w:spacing w:val="5"/>
      <w:kern w:val="28"/>
      <w:sz w:val="52"/>
      <w:szCs w:val="52"/>
    </w:rPr>
  </w:style>
  <w:style w:type="character" w:styleId="Odkaznakoment">
    <w:name w:val="annotation reference"/>
    <w:uiPriority w:val="99"/>
    <w:semiHidden/>
    <w:unhideWhenUsed/>
    <w:rsid w:val="008430BD"/>
    <w:rPr>
      <w:sz w:val="16"/>
      <w:szCs w:val="16"/>
    </w:rPr>
  </w:style>
  <w:style w:type="paragraph" w:styleId="Textkomente">
    <w:name w:val="annotation text"/>
    <w:basedOn w:val="Normln"/>
    <w:link w:val="TextkomenteChar"/>
    <w:uiPriority w:val="99"/>
    <w:unhideWhenUsed/>
    <w:rsid w:val="008430BD"/>
    <w:pPr>
      <w:spacing w:line="240" w:lineRule="auto"/>
    </w:pPr>
    <w:rPr>
      <w:sz w:val="20"/>
      <w:szCs w:val="20"/>
    </w:rPr>
  </w:style>
  <w:style w:type="character" w:customStyle="1" w:styleId="TextkomenteChar">
    <w:name w:val="Text komentáře Char"/>
    <w:basedOn w:val="Standardnpsmoodstavce"/>
    <w:link w:val="Textkomente"/>
    <w:uiPriority w:val="99"/>
    <w:rsid w:val="008430BD"/>
    <w:rPr>
      <w:rFonts w:ascii="Garamond" w:eastAsia="Calibri" w:hAnsi="Garamond" w:cs="Times New Roman"/>
      <w:sz w:val="20"/>
      <w:szCs w:val="20"/>
    </w:rPr>
  </w:style>
  <w:style w:type="paragraph" w:styleId="Pedmtkomente">
    <w:name w:val="annotation subject"/>
    <w:basedOn w:val="Textkomente"/>
    <w:next w:val="Textkomente"/>
    <w:link w:val="PedmtkomenteChar"/>
    <w:uiPriority w:val="99"/>
    <w:semiHidden/>
    <w:unhideWhenUsed/>
    <w:rsid w:val="008430BD"/>
    <w:rPr>
      <w:b/>
      <w:bCs/>
    </w:rPr>
  </w:style>
  <w:style w:type="character" w:customStyle="1" w:styleId="PedmtkomenteChar">
    <w:name w:val="Předmět komentáře Char"/>
    <w:basedOn w:val="TextkomenteChar"/>
    <w:link w:val="Pedmtkomente"/>
    <w:uiPriority w:val="99"/>
    <w:semiHidden/>
    <w:rsid w:val="008430BD"/>
    <w:rPr>
      <w:rFonts w:ascii="Garamond" w:eastAsia="Calibri" w:hAnsi="Garamond" w:cs="Times New Roman"/>
      <w:b/>
      <w:bCs/>
      <w:sz w:val="20"/>
      <w:szCs w:val="20"/>
    </w:rPr>
  </w:style>
  <w:style w:type="paragraph" w:customStyle="1" w:styleId="OdstavecASR">
    <w:name w:val="Odstavec ASR"/>
    <w:basedOn w:val="Normln"/>
    <w:link w:val="OdstavecASRChar"/>
    <w:qFormat/>
    <w:rsid w:val="008430BD"/>
    <w:pPr>
      <w:spacing w:before="60" w:after="120"/>
    </w:pPr>
  </w:style>
  <w:style w:type="character" w:customStyle="1" w:styleId="OdstavecASRChar">
    <w:name w:val="Odstavec ASR Char"/>
    <w:link w:val="OdstavecASR"/>
    <w:rsid w:val="008430BD"/>
    <w:rPr>
      <w:rFonts w:ascii="Garamond" w:eastAsia="Calibri" w:hAnsi="Garamond" w:cs="Times New Roman"/>
      <w:sz w:val="24"/>
    </w:rPr>
  </w:style>
  <w:style w:type="paragraph" w:styleId="Obsah4">
    <w:name w:val="toc 4"/>
    <w:basedOn w:val="Normln"/>
    <w:next w:val="Normln"/>
    <w:autoRedefine/>
    <w:uiPriority w:val="39"/>
    <w:unhideWhenUsed/>
    <w:rsid w:val="008430BD"/>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8430BD"/>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8430BD"/>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8430BD"/>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8430BD"/>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8430BD"/>
    <w:pPr>
      <w:spacing w:after="100"/>
      <w:ind w:left="1760"/>
      <w:jc w:val="left"/>
    </w:pPr>
    <w:rPr>
      <w:rFonts w:ascii="Calibri" w:eastAsia="Times New Roman" w:hAnsi="Calibri"/>
      <w:sz w:val="22"/>
      <w:lang w:eastAsia="cs-CZ"/>
    </w:rPr>
  </w:style>
  <w:style w:type="paragraph" w:styleId="Revize">
    <w:name w:val="Revision"/>
    <w:hidden/>
    <w:uiPriority w:val="99"/>
    <w:semiHidden/>
    <w:rsid w:val="008430BD"/>
    <w:pPr>
      <w:spacing w:after="0" w:line="240" w:lineRule="auto"/>
    </w:pPr>
    <w:rPr>
      <w:rFonts w:ascii="Times New Roman" w:eastAsia="Calibri" w:hAnsi="Times New Roman" w:cs="Times New Roman"/>
      <w:sz w:val="24"/>
    </w:rPr>
  </w:style>
  <w:style w:type="character" w:styleId="Sledovanodkaz">
    <w:name w:val="FollowedHyperlink"/>
    <w:uiPriority w:val="99"/>
    <w:semiHidden/>
    <w:unhideWhenUsed/>
    <w:rsid w:val="008430BD"/>
    <w:rPr>
      <w:color w:val="800080"/>
      <w:u w:val="single"/>
    </w:rPr>
  </w:style>
  <w:style w:type="paragraph" w:styleId="Rozloendokumentu">
    <w:name w:val="Document Map"/>
    <w:basedOn w:val="Normln"/>
    <w:link w:val="RozloendokumentuChar"/>
    <w:uiPriority w:val="99"/>
    <w:semiHidden/>
    <w:unhideWhenUsed/>
    <w:rsid w:val="008430BD"/>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8430BD"/>
    <w:rPr>
      <w:rFonts w:ascii="Tahoma" w:eastAsia="Calibri" w:hAnsi="Tahoma" w:cs="Tahoma"/>
      <w:sz w:val="16"/>
      <w:szCs w:val="16"/>
    </w:rPr>
  </w:style>
  <w:style w:type="paragraph" w:styleId="Prosttext">
    <w:name w:val="Plain Text"/>
    <w:basedOn w:val="Normln"/>
    <w:link w:val="ProsttextChar"/>
    <w:uiPriority w:val="99"/>
    <w:semiHidden/>
    <w:unhideWhenUsed/>
    <w:rsid w:val="008430BD"/>
    <w:pPr>
      <w:spacing w:line="240" w:lineRule="auto"/>
      <w:jc w:val="left"/>
    </w:pPr>
    <w:rPr>
      <w:rFonts w:ascii="Calibri" w:hAnsi="Calibri" w:cs="Consolas"/>
      <w:sz w:val="22"/>
      <w:szCs w:val="21"/>
    </w:rPr>
  </w:style>
  <w:style w:type="character" w:customStyle="1" w:styleId="ProsttextChar">
    <w:name w:val="Prostý text Char"/>
    <w:basedOn w:val="Standardnpsmoodstavce"/>
    <w:link w:val="Prosttext"/>
    <w:uiPriority w:val="99"/>
    <w:semiHidden/>
    <w:rsid w:val="008430BD"/>
    <w:rPr>
      <w:rFonts w:ascii="Calibri" w:eastAsia="Calibri" w:hAnsi="Calibri" w:cs="Consolas"/>
      <w:szCs w:val="21"/>
    </w:rPr>
  </w:style>
  <w:style w:type="paragraph" w:styleId="Textvysvtlivek">
    <w:name w:val="endnote text"/>
    <w:basedOn w:val="Normln"/>
    <w:link w:val="TextvysvtlivekChar"/>
    <w:uiPriority w:val="99"/>
    <w:semiHidden/>
    <w:unhideWhenUsed/>
    <w:rsid w:val="008430BD"/>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8430BD"/>
    <w:rPr>
      <w:rFonts w:ascii="Garamond" w:eastAsia="Calibri" w:hAnsi="Garamond" w:cs="Times New Roman"/>
      <w:sz w:val="20"/>
      <w:szCs w:val="20"/>
    </w:rPr>
  </w:style>
  <w:style w:type="character" w:styleId="Odkaznavysvtlivky">
    <w:name w:val="endnote reference"/>
    <w:uiPriority w:val="99"/>
    <w:semiHidden/>
    <w:unhideWhenUsed/>
    <w:rsid w:val="008430BD"/>
    <w:rPr>
      <w:vertAlign w:val="superscript"/>
    </w:rPr>
  </w:style>
  <w:style w:type="character" w:styleId="Odkazjemn">
    <w:name w:val="Subtle Reference"/>
    <w:basedOn w:val="Standardnpsmoodstavce"/>
    <w:uiPriority w:val="31"/>
    <w:qFormat/>
    <w:rsid w:val="008430BD"/>
    <w:rPr>
      <w:smallCaps/>
      <w:color w:val="5A5A5A" w:themeColor="text1" w:themeTint="A5"/>
    </w:rPr>
  </w:style>
  <w:style w:type="character" w:customStyle="1" w:styleId="Nevyeenzmnka1">
    <w:name w:val="Nevyřešená zmínka1"/>
    <w:basedOn w:val="Standardnpsmoodstavce"/>
    <w:uiPriority w:val="99"/>
    <w:semiHidden/>
    <w:unhideWhenUsed/>
    <w:rsid w:val="008430BD"/>
    <w:rPr>
      <w:color w:val="605E5C"/>
      <w:shd w:val="clear" w:color="auto" w:fill="E1DFDD"/>
    </w:rPr>
  </w:style>
  <w:style w:type="character" w:customStyle="1" w:styleId="Nevyeenzmnka2">
    <w:name w:val="Nevyřešená zmínka2"/>
    <w:basedOn w:val="Standardnpsmoodstavce"/>
    <w:uiPriority w:val="99"/>
    <w:semiHidden/>
    <w:unhideWhenUsed/>
    <w:rsid w:val="008430BD"/>
    <w:rPr>
      <w:color w:val="605E5C"/>
      <w:shd w:val="clear" w:color="auto" w:fill="E1DFDD"/>
    </w:rPr>
  </w:style>
  <w:style w:type="character" w:styleId="Zstupntext">
    <w:name w:val="Placeholder Text"/>
    <w:basedOn w:val="Standardnpsmoodstavce"/>
    <w:uiPriority w:val="99"/>
    <w:semiHidden/>
    <w:rsid w:val="008430BD"/>
    <w:rPr>
      <w:color w:val="808080"/>
    </w:rPr>
  </w:style>
  <w:style w:type="character" w:customStyle="1" w:styleId="Nevyeenzmnka3">
    <w:name w:val="Nevyřešená zmínka3"/>
    <w:basedOn w:val="Standardnpsmoodstavce"/>
    <w:uiPriority w:val="99"/>
    <w:semiHidden/>
    <w:unhideWhenUsed/>
    <w:rsid w:val="008430BD"/>
    <w:rPr>
      <w:color w:val="605E5C"/>
      <w:shd w:val="clear" w:color="auto" w:fill="E1DFDD"/>
    </w:rPr>
  </w:style>
  <w:style w:type="character" w:customStyle="1" w:styleId="Nevyeenzmnka4">
    <w:name w:val="Nevyřešená zmínka4"/>
    <w:basedOn w:val="Standardnpsmoodstavce"/>
    <w:uiPriority w:val="99"/>
    <w:semiHidden/>
    <w:unhideWhenUsed/>
    <w:rsid w:val="008430BD"/>
    <w:rPr>
      <w:color w:val="605E5C"/>
      <w:shd w:val="clear" w:color="auto" w:fill="E1DFDD"/>
    </w:rPr>
  </w:style>
  <w:style w:type="character" w:customStyle="1" w:styleId="Nevyeenzmnka5">
    <w:name w:val="Nevyřešená zmínka5"/>
    <w:basedOn w:val="Standardnpsmoodstavce"/>
    <w:uiPriority w:val="99"/>
    <w:semiHidden/>
    <w:unhideWhenUsed/>
    <w:rsid w:val="008430BD"/>
    <w:rPr>
      <w:color w:val="605E5C"/>
      <w:shd w:val="clear" w:color="auto" w:fill="E1DFDD"/>
    </w:rPr>
  </w:style>
  <w:style w:type="character" w:customStyle="1" w:styleId="Nevyeenzmnka6">
    <w:name w:val="Nevyřešená zmínka6"/>
    <w:basedOn w:val="Standardnpsmoodstavce"/>
    <w:uiPriority w:val="99"/>
    <w:semiHidden/>
    <w:unhideWhenUsed/>
    <w:rsid w:val="00EC44A7"/>
    <w:rPr>
      <w:color w:val="605E5C"/>
      <w:shd w:val="clear" w:color="auto" w:fill="E1DFDD"/>
    </w:rPr>
  </w:style>
  <w:style w:type="character" w:customStyle="1" w:styleId="Nevyeenzmnka60">
    <w:name w:val="Nevyřešená zmínka6"/>
    <w:basedOn w:val="Standardnpsmoodstavce"/>
    <w:uiPriority w:val="99"/>
    <w:semiHidden/>
    <w:unhideWhenUsed/>
    <w:rsid w:val="00B76DEB"/>
    <w:rPr>
      <w:color w:val="605E5C"/>
      <w:shd w:val="clear" w:color="auto" w:fill="E1DFDD"/>
    </w:rPr>
  </w:style>
  <w:style w:type="table" w:styleId="Mkatabulky">
    <w:name w:val="Table Grid"/>
    <w:basedOn w:val="Normlntabulka"/>
    <w:uiPriority w:val="39"/>
    <w:rsid w:val="00391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7">
    <w:name w:val="Nevyřešená zmínka7"/>
    <w:basedOn w:val="Standardnpsmoodstavce"/>
    <w:uiPriority w:val="99"/>
    <w:semiHidden/>
    <w:unhideWhenUsed/>
    <w:rsid w:val="0013286A"/>
    <w:rPr>
      <w:color w:val="605E5C"/>
      <w:shd w:val="clear" w:color="auto" w:fill="E1DFDD"/>
    </w:rPr>
  </w:style>
  <w:style w:type="character" w:styleId="Nevyeenzmnka">
    <w:name w:val="Unresolved Mention"/>
    <w:basedOn w:val="Standardnpsmoodstavce"/>
    <w:uiPriority w:val="99"/>
    <w:semiHidden/>
    <w:unhideWhenUsed/>
    <w:rsid w:val="00A1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640">
      <w:bodyDiv w:val="1"/>
      <w:marLeft w:val="0"/>
      <w:marRight w:val="0"/>
      <w:marTop w:val="0"/>
      <w:marBottom w:val="0"/>
      <w:divBdr>
        <w:top w:val="none" w:sz="0" w:space="0" w:color="auto"/>
        <w:left w:val="none" w:sz="0" w:space="0" w:color="auto"/>
        <w:bottom w:val="none" w:sz="0" w:space="0" w:color="auto"/>
        <w:right w:val="none" w:sz="0" w:space="0" w:color="auto"/>
      </w:divBdr>
    </w:div>
    <w:div w:id="1126545">
      <w:bodyDiv w:val="1"/>
      <w:marLeft w:val="0"/>
      <w:marRight w:val="0"/>
      <w:marTop w:val="0"/>
      <w:marBottom w:val="0"/>
      <w:divBdr>
        <w:top w:val="none" w:sz="0" w:space="0" w:color="auto"/>
        <w:left w:val="none" w:sz="0" w:space="0" w:color="auto"/>
        <w:bottom w:val="none" w:sz="0" w:space="0" w:color="auto"/>
        <w:right w:val="none" w:sz="0" w:space="0" w:color="auto"/>
      </w:divBdr>
    </w:div>
    <w:div w:id="1468846">
      <w:bodyDiv w:val="1"/>
      <w:marLeft w:val="0"/>
      <w:marRight w:val="0"/>
      <w:marTop w:val="0"/>
      <w:marBottom w:val="0"/>
      <w:divBdr>
        <w:top w:val="none" w:sz="0" w:space="0" w:color="auto"/>
        <w:left w:val="none" w:sz="0" w:space="0" w:color="auto"/>
        <w:bottom w:val="none" w:sz="0" w:space="0" w:color="auto"/>
        <w:right w:val="none" w:sz="0" w:space="0" w:color="auto"/>
      </w:divBdr>
    </w:div>
    <w:div w:id="13268235">
      <w:bodyDiv w:val="1"/>
      <w:marLeft w:val="0"/>
      <w:marRight w:val="0"/>
      <w:marTop w:val="0"/>
      <w:marBottom w:val="0"/>
      <w:divBdr>
        <w:top w:val="none" w:sz="0" w:space="0" w:color="auto"/>
        <w:left w:val="none" w:sz="0" w:space="0" w:color="auto"/>
        <w:bottom w:val="none" w:sz="0" w:space="0" w:color="auto"/>
        <w:right w:val="none" w:sz="0" w:space="0" w:color="auto"/>
      </w:divBdr>
    </w:div>
    <w:div w:id="17435390">
      <w:bodyDiv w:val="1"/>
      <w:marLeft w:val="0"/>
      <w:marRight w:val="0"/>
      <w:marTop w:val="0"/>
      <w:marBottom w:val="0"/>
      <w:divBdr>
        <w:top w:val="none" w:sz="0" w:space="0" w:color="auto"/>
        <w:left w:val="none" w:sz="0" w:space="0" w:color="auto"/>
        <w:bottom w:val="none" w:sz="0" w:space="0" w:color="auto"/>
        <w:right w:val="none" w:sz="0" w:space="0" w:color="auto"/>
      </w:divBdr>
    </w:div>
    <w:div w:id="28730201">
      <w:bodyDiv w:val="1"/>
      <w:marLeft w:val="0"/>
      <w:marRight w:val="0"/>
      <w:marTop w:val="0"/>
      <w:marBottom w:val="0"/>
      <w:divBdr>
        <w:top w:val="none" w:sz="0" w:space="0" w:color="auto"/>
        <w:left w:val="none" w:sz="0" w:space="0" w:color="auto"/>
        <w:bottom w:val="none" w:sz="0" w:space="0" w:color="auto"/>
        <w:right w:val="none" w:sz="0" w:space="0" w:color="auto"/>
      </w:divBdr>
    </w:div>
    <w:div w:id="29189541">
      <w:bodyDiv w:val="1"/>
      <w:marLeft w:val="0"/>
      <w:marRight w:val="0"/>
      <w:marTop w:val="0"/>
      <w:marBottom w:val="0"/>
      <w:divBdr>
        <w:top w:val="none" w:sz="0" w:space="0" w:color="auto"/>
        <w:left w:val="none" w:sz="0" w:space="0" w:color="auto"/>
        <w:bottom w:val="none" w:sz="0" w:space="0" w:color="auto"/>
        <w:right w:val="none" w:sz="0" w:space="0" w:color="auto"/>
      </w:divBdr>
    </w:div>
    <w:div w:id="29839073">
      <w:bodyDiv w:val="1"/>
      <w:marLeft w:val="0"/>
      <w:marRight w:val="0"/>
      <w:marTop w:val="0"/>
      <w:marBottom w:val="0"/>
      <w:divBdr>
        <w:top w:val="none" w:sz="0" w:space="0" w:color="auto"/>
        <w:left w:val="none" w:sz="0" w:space="0" w:color="auto"/>
        <w:bottom w:val="none" w:sz="0" w:space="0" w:color="auto"/>
        <w:right w:val="none" w:sz="0" w:space="0" w:color="auto"/>
      </w:divBdr>
    </w:div>
    <w:div w:id="41447473">
      <w:bodyDiv w:val="1"/>
      <w:marLeft w:val="0"/>
      <w:marRight w:val="0"/>
      <w:marTop w:val="0"/>
      <w:marBottom w:val="0"/>
      <w:divBdr>
        <w:top w:val="none" w:sz="0" w:space="0" w:color="auto"/>
        <w:left w:val="none" w:sz="0" w:space="0" w:color="auto"/>
        <w:bottom w:val="none" w:sz="0" w:space="0" w:color="auto"/>
        <w:right w:val="none" w:sz="0" w:space="0" w:color="auto"/>
      </w:divBdr>
    </w:div>
    <w:div w:id="52312117">
      <w:bodyDiv w:val="1"/>
      <w:marLeft w:val="0"/>
      <w:marRight w:val="0"/>
      <w:marTop w:val="0"/>
      <w:marBottom w:val="0"/>
      <w:divBdr>
        <w:top w:val="none" w:sz="0" w:space="0" w:color="auto"/>
        <w:left w:val="none" w:sz="0" w:space="0" w:color="auto"/>
        <w:bottom w:val="none" w:sz="0" w:space="0" w:color="auto"/>
        <w:right w:val="none" w:sz="0" w:space="0" w:color="auto"/>
      </w:divBdr>
    </w:div>
    <w:div w:id="53820293">
      <w:bodyDiv w:val="1"/>
      <w:marLeft w:val="0"/>
      <w:marRight w:val="0"/>
      <w:marTop w:val="0"/>
      <w:marBottom w:val="0"/>
      <w:divBdr>
        <w:top w:val="none" w:sz="0" w:space="0" w:color="auto"/>
        <w:left w:val="none" w:sz="0" w:space="0" w:color="auto"/>
        <w:bottom w:val="none" w:sz="0" w:space="0" w:color="auto"/>
        <w:right w:val="none" w:sz="0" w:space="0" w:color="auto"/>
      </w:divBdr>
    </w:div>
    <w:div w:id="54745711">
      <w:bodyDiv w:val="1"/>
      <w:marLeft w:val="0"/>
      <w:marRight w:val="0"/>
      <w:marTop w:val="0"/>
      <w:marBottom w:val="0"/>
      <w:divBdr>
        <w:top w:val="none" w:sz="0" w:space="0" w:color="auto"/>
        <w:left w:val="none" w:sz="0" w:space="0" w:color="auto"/>
        <w:bottom w:val="none" w:sz="0" w:space="0" w:color="auto"/>
        <w:right w:val="none" w:sz="0" w:space="0" w:color="auto"/>
      </w:divBdr>
    </w:div>
    <w:div w:id="72318402">
      <w:bodyDiv w:val="1"/>
      <w:marLeft w:val="0"/>
      <w:marRight w:val="0"/>
      <w:marTop w:val="0"/>
      <w:marBottom w:val="0"/>
      <w:divBdr>
        <w:top w:val="none" w:sz="0" w:space="0" w:color="auto"/>
        <w:left w:val="none" w:sz="0" w:space="0" w:color="auto"/>
        <w:bottom w:val="none" w:sz="0" w:space="0" w:color="auto"/>
        <w:right w:val="none" w:sz="0" w:space="0" w:color="auto"/>
      </w:divBdr>
    </w:div>
    <w:div w:id="74787376">
      <w:bodyDiv w:val="1"/>
      <w:marLeft w:val="0"/>
      <w:marRight w:val="0"/>
      <w:marTop w:val="0"/>
      <w:marBottom w:val="0"/>
      <w:divBdr>
        <w:top w:val="none" w:sz="0" w:space="0" w:color="auto"/>
        <w:left w:val="none" w:sz="0" w:space="0" w:color="auto"/>
        <w:bottom w:val="none" w:sz="0" w:space="0" w:color="auto"/>
        <w:right w:val="none" w:sz="0" w:space="0" w:color="auto"/>
      </w:divBdr>
    </w:div>
    <w:div w:id="84232032">
      <w:bodyDiv w:val="1"/>
      <w:marLeft w:val="0"/>
      <w:marRight w:val="0"/>
      <w:marTop w:val="0"/>
      <w:marBottom w:val="0"/>
      <w:divBdr>
        <w:top w:val="none" w:sz="0" w:space="0" w:color="auto"/>
        <w:left w:val="none" w:sz="0" w:space="0" w:color="auto"/>
        <w:bottom w:val="none" w:sz="0" w:space="0" w:color="auto"/>
        <w:right w:val="none" w:sz="0" w:space="0" w:color="auto"/>
      </w:divBdr>
    </w:div>
    <w:div w:id="96289986">
      <w:bodyDiv w:val="1"/>
      <w:marLeft w:val="0"/>
      <w:marRight w:val="0"/>
      <w:marTop w:val="0"/>
      <w:marBottom w:val="0"/>
      <w:divBdr>
        <w:top w:val="none" w:sz="0" w:space="0" w:color="auto"/>
        <w:left w:val="none" w:sz="0" w:space="0" w:color="auto"/>
        <w:bottom w:val="none" w:sz="0" w:space="0" w:color="auto"/>
        <w:right w:val="none" w:sz="0" w:space="0" w:color="auto"/>
      </w:divBdr>
    </w:div>
    <w:div w:id="100035629">
      <w:bodyDiv w:val="1"/>
      <w:marLeft w:val="0"/>
      <w:marRight w:val="0"/>
      <w:marTop w:val="0"/>
      <w:marBottom w:val="0"/>
      <w:divBdr>
        <w:top w:val="none" w:sz="0" w:space="0" w:color="auto"/>
        <w:left w:val="none" w:sz="0" w:space="0" w:color="auto"/>
        <w:bottom w:val="none" w:sz="0" w:space="0" w:color="auto"/>
        <w:right w:val="none" w:sz="0" w:space="0" w:color="auto"/>
      </w:divBdr>
    </w:div>
    <w:div w:id="100758516">
      <w:bodyDiv w:val="1"/>
      <w:marLeft w:val="0"/>
      <w:marRight w:val="0"/>
      <w:marTop w:val="0"/>
      <w:marBottom w:val="0"/>
      <w:divBdr>
        <w:top w:val="none" w:sz="0" w:space="0" w:color="auto"/>
        <w:left w:val="none" w:sz="0" w:space="0" w:color="auto"/>
        <w:bottom w:val="none" w:sz="0" w:space="0" w:color="auto"/>
        <w:right w:val="none" w:sz="0" w:space="0" w:color="auto"/>
      </w:divBdr>
    </w:div>
    <w:div w:id="111555573">
      <w:bodyDiv w:val="1"/>
      <w:marLeft w:val="0"/>
      <w:marRight w:val="0"/>
      <w:marTop w:val="0"/>
      <w:marBottom w:val="0"/>
      <w:divBdr>
        <w:top w:val="none" w:sz="0" w:space="0" w:color="auto"/>
        <w:left w:val="none" w:sz="0" w:space="0" w:color="auto"/>
        <w:bottom w:val="none" w:sz="0" w:space="0" w:color="auto"/>
        <w:right w:val="none" w:sz="0" w:space="0" w:color="auto"/>
      </w:divBdr>
    </w:div>
    <w:div w:id="116920350">
      <w:bodyDiv w:val="1"/>
      <w:marLeft w:val="0"/>
      <w:marRight w:val="0"/>
      <w:marTop w:val="0"/>
      <w:marBottom w:val="0"/>
      <w:divBdr>
        <w:top w:val="none" w:sz="0" w:space="0" w:color="auto"/>
        <w:left w:val="none" w:sz="0" w:space="0" w:color="auto"/>
        <w:bottom w:val="none" w:sz="0" w:space="0" w:color="auto"/>
        <w:right w:val="none" w:sz="0" w:space="0" w:color="auto"/>
      </w:divBdr>
    </w:div>
    <w:div w:id="119232718">
      <w:bodyDiv w:val="1"/>
      <w:marLeft w:val="0"/>
      <w:marRight w:val="0"/>
      <w:marTop w:val="0"/>
      <w:marBottom w:val="0"/>
      <w:divBdr>
        <w:top w:val="none" w:sz="0" w:space="0" w:color="auto"/>
        <w:left w:val="none" w:sz="0" w:space="0" w:color="auto"/>
        <w:bottom w:val="none" w:sz="0" w:space="0" w:color="auto"/>
        <w:right w:val="none" w:sz="0" w:space="0" w:color="auto"/>
      </w:divBdr>
    </w:div>
    <w:div w:id="126749227">
      <w:bodyDiv w:val="1"/>
      <w:marLeft w:val="0"/>
      <w:marRight w:val="0"/>
      <w:marTop w:val="0"/>
      <w:marBottom w:val="0"/>
      <w:divBdr>
        <w:top w:val="none" w:sz="0" w:space="0" w:color="auto"/>
        <w:left w:val="none" w:sz="0" w:space="0" w:color="auto"/>
        <w:bottom w:val="none" w:sz="0" w:space="0" w:color="auto"/>
        <w:right w:val="none" w:sz="0" w:space="0" w:color="auto"/>
      </w:divBdr>
    </w:div>
    <w:div w:id="132453399">
      <w:bodyDiv w:val="1"/>
      <w:marLeft w:val="0"/>
      <w:marRight w:val="0"/>
      <w:marTop w:val="0"/>
      <w:marBottom w:val="0"/>
      <w:divBdr>
        <w:top w:val="none" w:sz="0" w:space="0" w:color="auto"/>
        <w:left w:val="none" w:sz="0" w:space="0" w:color="auto"/>
        <w:bottom w:val="none" w:sz="0" w:space="0" w:color="auto"/>
        <w:right w:val="none" w:sz="0" w:space="0" w:color="auto"/>
      </w:divBdr>
    </w:div>
    <w:div w:id="137693433">
      <w:bodyDiv w:val="1"/>
      <w:marLeft w:val="0"/>
      <w:marRight w:val="0"/>
      <w:marTop w:val="0"/>
      <w:marBottom w:val="0"/>
      <w:divBdr>
        <w:top w:val="none" w:sz="0" w:space="0" w:color="auto"/>
        <w:left w:val="none" w:sz="0" w:space="0" w:color="auto"/>
        <w:bottom w:val="none" w:sz="0" w:space="0" w:color="auto"/>
        <w:right w:val="none" w:sz="0" w:space="0" w:color="auto"/>
      </w:divBdr>
    </w:div>
    <w:div w:id="146744910">
      <w:bodyDiv w:val="1"/>
      <w:marLeft w:val="0"/>
      <w:marRight w:val="0"/>
      <w:marTop w:val="0"/>
      <w:marBottom w:val="0"/>
      <w:divBdr>
        <w:top w:val="none" w:sz="0" w:space="0" w:color="auto"/>
        <w:left w:val="none" w:sz="0" w:space="0" w:color="auto"/>
        <w:bottom w:val="none" w:sz="0" w:space="0" w:color="auto"/>
        <w:right w:val="none" w:sz="0" w:space="0" w:color="auto"/>
      </w:divBdr>
    </w:div>
    <w:div w:id="154154956">
      <w:bodyDiv w:val="1"/>
      <w:marLeft w:val="0"/>
      <w:marRight w:val="0"/>
      <w:marTop w:val="0"/>
      <w:marBottom w:val="0"/>
      <w:divBdr>
        <w:top w:val="none" w:sz="0" w:space="0" w:color="auto"/>
        <w:left w:val="none" w:sz="0" w:space="0" w:color="auto"/>
        <w:bottom w:val="none" w:sz="0" w:space="0" w:color="auto"/>
        <w:right w:val="none" w:sz="0" w:space="0" w:color="auto"/>
      </w:divBdr>
    </w:div>
    <w:div w:id="157617729">
      <w:bodyDiv w:val="1"/>
      <w:marLeft w:val="0"/>
      <w:marRight w:val="0"/>
      <w:marTop w:val="0"/>
      <w:marBottom w:val="0"/>
      <w:divBdr>
        <w:top w:val="none" w:sz="0" w:space="0" w:color="auto"/>
        <w:left w:val="none" w:sz="0" w:space="0" w:color="auto"/>
        <w:bottom w:val="none" w:sz="0" w:space="0" w:color="auto"/>
        <w:right w:val="none" w:sz="0" w:space="0" w:color="auto"/>
      </w:divBdr>
    </w:div>
    <w:div w:id="170722066">
      <w:bodyDiv w:val="1"/>
      <w:marLeft w:val="0"/>
      <w:marRight w:val="0"/>
      <w:marTop w:val="0"/>
      <w:marBottom w:val="0"/>
      <w:divBdr>
        <w:top w:val="none" w:sz="0" w:space="0" w:color="auto"/>
        <w:left w:val="none" w:sz="0" w:space="0" w:color="auto"/>
        <w:bottom w:val="none" w:sz="0" w:space="0" w:color="auto"/>
        <w:right w:val="none" w:sz="0" w:space="0" w:color="auto"/>
      </w:divBdr>
    </w:div>
    <w:div w:id="182785725">
      <w:bodyDiv w:val="1"/>
      <w:marLeft w:val="0"/>
      <w:marRight w:val="0"/>
      <w:marTop w:val="0"/>
      <w:marBottom w:val="0"/>
      <w:divBdr>
        <w:top w:val="none" w:sz="0" w:space="0" w:color="auto"/>
        <w:left w:val="none" w:sz="0" w:space="0" w:color="auto"/>
        <w:bottom w:val="none" w:sz="0" w:space="0" w:color="auto"/>
        <w:right w:val="none" w:sz="0" w:space="0" w:color="auto"/>
      </w:divBdr>
    </w:div>
    <w:div w:id="187761475">
      <w:bodyDiv w:val="1"/>
      <w:marLeft w:val="0"/>
      <w:marRight w:val="0"/>
      <w:marTop w:val="0"/>
      <w:marBottom w:val="0"/>
      <w:divBdr>
        <w:top w:val="none" w:sz="0" w:space="0" w:color="auto"/>
        <w:left w:val="none" w:sz="0" w:space="0" w:color="auto"/>
        <w:bottom w:val="none" w:sz="0" w:space="0" w:color="auto"/>
        <w:right w:val="none" w:sz="0" w:space="0" w:color="auto"/>
      </w:divBdr>
    </w:div>
    <w:div w:id="206187476">
      <w:bodyDiv w:val="1"/>
      <w:marLeft w:val="0"/>
      <w:marRight w:val="0"/>
      <w:marTop w:val="0"/>
      <w:marBottom w:val="0"/>
      <w:divBdr>
        <w:top w:val="none" w:sz="0" w:space="0" w:color="auto"/>
        <w:left w:val="none" w:sz="0" w:space="0" w:color="auto"/>
        <w:bottom w:val="none" w:sz="0" w:space="0" w:color="auto"/>
        <w:right w:val="none" w:sz="0" w:space="0" w:color="auto"/>
      </w:divBdr>
    </w:div>
    <w:div w:id="208759567">
      <w:bodyDiv w:val="1"/>
      <w:marLeft w:val="0"/>
      <w:marRight w:val="0"/>
      <w:marTop w:val="0"/>
      <w:marBottom w:val="0"/>
      <w:divBdr>
        <w:top w:val="none" w:sz="0" w:space="0" w:color="auto"/>
        <w:left w:val="none" w:sz="0" w:space="0" w:color="auto"/>
        <w:bottom w:val="none" w:sz="0" w:space="0" w:color="auto"/>
        <w:right w:val="none" w:sz="0" w:space="0" w:color="auto"/>
      </w:divBdr>
    </w:div>
    <w:div w:id="215161985">
      <w:bodyDiv w:val="1"/>
      <w:marLeft w:val="0"/>
      <w:marRight w:val="0"/>
      <w:marTop w:val="0"/>
      <w:marBottom w:val="0"/>
      <w:divBdr>
        <w:top w:val="none" w:sz="0" w:space="0" w:color="auto"/>
        <w:left w:val="none" w:sz="0" w:space="0" w:color="auto"/>
        <w:bottom w:val="none" w:sz="0" w:space="0" w:color="auto"/>
        <w:right w:val="none" w:sz="0" w:space="0" w:color="auto"/>
      </w:divBdr>
    </w:div>
    <w:div w:id="224993338">
      <w:bodyDiv w:val="1"/>
      <w:marLeft w:val="0"/>
      <w:marRight w:val="0"/>
      <w:marTop w:val="0"/>
      <w:marBottom w:val="0"/>
      <w:divBdr>
        <w:top w:val="none" w:sz="0" w:space="0" w:color="auto"/>
        <w:left w:val="none" w:sz="0" w:space="0" w:color="auto"/>
        <w:bottom w:val="none" w:sz="0" w:space="0" w:color="auto"/>
        <w:right w:val="none" w:sz="0" w:space="0" w:color="auto"/>
      </w:divBdr>
    </w:div>
    <w:div w:id="236786691">
      <w:bodyDiv w:val="1"/>
      <w:marLeft w:val="0"/>
      <w:marRight w:val="0"/>
      <w:marTop w:val="0"/>
      <w:marBottom w:val="0"/>
      <w:divBdr>
        <w:top w:val="none" w:sz="0" w:space="0" w:color="auto"/>
        <w:left w:val="none" w:sz="0" w:space="0" w:color="auto"/>
        <w:bottom w:val="none" w:sz="0" w:space="0" w:color="auto"/>
        <w:right w:val="none" w:sz="0" w:space="0" w:color="auto"/>
      </w:divBdr>
    </w:div>
    <w:div w:id="245265949">
      <w:bodyDiv w:val="1"/>
      <w:marLeft w:val="0"/>
      <w:marRight w:val="0"/>
      <w:marTop w:val="0"/>
      <w:marBottom w:val="0"/>
      <w:divBdr>
        <w:top w:val="none" w:sz="0" w:space="0" w:color="auto"/>
        <w:left w:val="none" w:sz="0" w:space="0" w:color="auto"/>
        <w:bottom w:val="none" w:sz="0" w:space="0" w:color="auto"/>
        <w:right w:val="none" w:sz="0" w:space="0" w:color="auto"/>
      </w:divBdr>
    </w:div>
    <w:div w:id="247538711">
      <w:bodyDiv w:val="1"/>
      <w:marLeft w:val="0"/>
      <w:marRight w:val="0"/>
      <w:marTop w:val="0"/>
      <w:marBottom w:val="0"/>
      <w:divBdr>
        <w:top w:val="none" w:sz="0" w:space="0" w:color="auto"/>
        <w:left w:val="none" w:sz="0" w:space="0" w:color="auto"/>
        <w:bottom w:val="none" w:sz="0" w:space="0" w:color="auto"/>
        <w:right w:val="none" w:sz="0" w:space="0" w:color="auto"/>
      </w:divBdr>
    </w:div>
    <w:div w:id="252200807">
      <w:bodyDiv w:val="1"/>
      <w:marLeft w:val="0"/>
      <w:marRight w:val="0"/>
      <w:marTop w:val="0"/>
      <w:marBottom w:val="0"/>
      <w:divBdr>
        <w:top w:val="none" w:sz="0" w:space="0" w:color="auto"/>
        <w:left w:val="none" w:sz="0" w:space="0" w:color="auto"/>
        <w:bottom w:val="none" w:sz="0" w:space="0" w:color="auto"/>
        <w:right w:val="none" w:sz="0" w:space="0" w:color="auto"/>
      </w:divBdr>
    </w:div>
    <w:div w:id="265384981">
      <w:bodyDiv w:val="1"/>
      <w:marLeft w:val="0"/>
      <w:marRight w:val="0"/>
      <w:marTop w:val="0"/>
      <w:marBottom w:val="0"/>
      <w:divBdr>
        <w:top w:val="none" w:sz="0" w:space="0" w:color="auto"/>
        <w:left w:val="none" w:sz="0" w:space="0" w:color="auto"/>
        <w:bottom w:val="none" w:sz="0" w:space="0" w:color="auto"/>
        <w:right w:val="none" w:sz="0" w:space="0" w:color="auto"/>
      </w:divBdr>
    </w:div>
    <w:div w:id="268509253">
      <w:bodyDiv w:val="1"/>
      <w:marLeft w:val="0"/>
      <w:marRight w:val="0"/>
      <w:marTop w:val="0"/>
      <w:marBottom w:val="0"/>
      <w:divBdr>
        <w:top w:val="none" w:sz="0" w:space="0" w:color="auto"/>
        <w:left w:val="none" w:sz="0" w:space="0" w:color="auto"/>
        <w:bottom w:val="none" w:sz="0" w:space="0" w:color="auto"/>
        <w:right w:val="none" w:sz="0" w:space="0" w:color="auto"/>
      </w:divBdr>
    </w:div>
    <w:div w:id="279073480">
      <w:bodyDiv w:val="1"/>
      <w:marLeft w:val="0"/>
      <w:marRight w:val="0"/>
      <w:marTop w:val="0"/>
      <w:marBottom w:val="0"/>
      <w:divBdr>
        <w:top w:val="none" w:sz="0" w:space="0" w:color="auto"/>
        <w:left w:val="none" w:sz="0" w:space="0" w:color="auto"/>
        <w:bottom w:val="none" w:sz="0" w:space="0" w:color="auto"/>
        <w:right w:val="none" w:sz="0" w:space="0" w:color="auto"/>
      </w:divBdr>
    </w:div>
    <w:div w:id="292322749">
      <w:bodyDiv w:val="1"/>
      <w:marLeft w:val="0"/>
      <w:marRight w:val="0"/>
      <w:marTop w:val="0"/>
      <w:marBottom w:val="0"/>
      <w:divBdr>
        <w:top w:val="none" w:sz="0" w:space="0" w:color="auto"/>
        <w:left w:val="none" w:sz="0" w:space="0" w:color="auto"/>
        <w:bottom w:val="none" w:sz="0" w:space="0" w:color="auto"/>
        <w:right w:val="none" w:sz="0" w:space="0" w:color="auto"/>
      </w:divBdr>
    </w:div>
    <w:div w:id="298534269">
      <w:bodyDiv w:val="1"/>
      <w:marLeft w:val="0"/>
      <w:marRight w:val="0"/>
      <w:marTop w:val="0"/>
      <w:marBottom w:val="0"/>
      <w:divBdr>
        <w:top w:val="none" w:sz="0" w:space="0" w:color="auto"/>
        <w:left w:val="none" w:sz="0" w:space="0" w:color="auto"/>
        <w:bottom w:val="none" w:sz="0" w:space="0" w:color="auto"/>
        <w:right w:val="none" w:sz="0" w:space="0" w:color="auto"/>
      </w:divBdr>
    </w:div>
    <w:div w:id="300842977">
      <w:bodyDiv w:val="1"/>
      <w:marLeft w:val="0"/>
      <w:marRight w:val="0"/>
      <w:marTop w:val="0"/>
      <w:marBottom w:val="0"/>
      <w:divBdr>
        <w:top w:val="none" w:sz="0" w:space="0" w:color="auto"/>
        <w:left w:val="none" w:sz="0" w:space="0" w:color="auto"/>
        <w:bottom w:val="none" w:sz="0" w:space="0" w:color="auto"/>
        <w:right w:val="none" w:sz="0" w:space="0" w:color="auto"/>
      </w:divBdr>
    </w:div>
    <w:div w:id="319500734">
      <w:bodyDiv w:val="1"/>
      <w:marLeft w:val="0"/>
      <w:marRight w:val="0"/>
      <w:marTop w:val="0"/>
      <w:marBottom w:val="0"/>
      <w:divBdr>
        <w:top w:val="none" w:sz="0" w:space="0" w:color="auto"/>
        <w:left w:val="none" w:sz="0" w:space="0" w:color="auto"/>
        <w:bottom w:val="none" w:sz="0" w:space="0" w:color="auto"/>
        <w:right w:val="none" w:sz="0" w:space="0" w:color="auto"/>
      </w:divBdr>
    </w:div>
    <w:div w:id="320618274">
      <w:bodyDiv w:val="1"/>
      <w:marLeft w:val="0"/>
      <w:marRight w:val="0"/>
      <w:marTop w:val="0"/>
      <w:marBottom w:val="0"/>
      <w:divBdr>
        <w:top w:val="none" w:sz="0" w:space="0" w:color="auto"/>
        <w:left w:val="none" w:sz="0" w:space="0" w:color="auto"/>
        <w:bottom w:val="none" w:sz="0" w:space="0" w:color="auto"/>
        <w:right w:val="none" w:sz="0" w:space="0" w:color="auto"/>
      </w:divBdr>
    </w:div>
    <w:div w:id="322658465">
      <w:bodyDiv w:val="1"/>
      <w:marLeft w:val="0"/>
      <w:marRight w:val="0"/>
      <w:marTop w:val="0"/>
      <w:marBottom w:val="0"/>
      <w:divBdr>
        <w:top w:val="none" w:sz="0" w:space="0" w:color="auto"/>
        <w:left w:val="none" w:sz="0" w:space="0" w:color="auto"/>
        <w:bottom w:val="none" w:sz="0" w:space="0" w:color="auto"/>
        <w:right w:val="none" w:sz="0" w:space="0" w:color="auto"/>
      </w:divBdr>
    </w:div>
    <w:div w:id="326133371">
      <w:bodyDiv w:val="1"/>
      <w:marLeft w:val="0"/>
      <w:marRight w:val="0"/>
      <w:marTop w:val="0"/>
      <w:marBottom w:val="0"/>
      <w:divBdr>
        <w:top w:val="none" w:sz="0" w:space="0" w:color="auto"/>
        <w:left w:val="none" w:sz="0" w:space="0" w:color="auto"/>
        <w:bottom w:val="none" w:sz="0" w:space="0" w:color="auto"/>
        <w:right w:val="none" w:sz="0" w:space="0" w:color="auto"/>
      </w:divBdr>
    </w:div>
    <w:div w:id="328363122">
      <w:bodyDiv w:val="1"/>
      <w:marLeft w:val="0"/>
      <w:marRight w:val="0"/>
      <w:marTop w:val="0"/>
      <w:marBottom w:val="0"/>
      <w:divBdr>
        <w:top w:val="none" w:sz="0" w:space="0" w:color="auto"/>
        <w:left w:val="none" w:sz="0" w:space="0" w:color="auto"/>
        <w:bottom w:val="none" w:sz="0" w:space="0" w:color="auto"/>
        <w:right w:val="none" w:sz="0" w:space="0" w:color="auto"/>
      </w:divBdr>
    </w:div>
    <w:div w:id="330958998">
      <w:bodyDiv w:val="1"/>
      <w:marLeft w:val="0"/>
      <w:marRight w:val="0"/>
      <w:marTop w:val="0"/>
      <w:marBottom w:val="0"/>
      <w:divBdr>
        <w:top w:val="none" w:sz="0" w:space="0" w:color="auto"/>
        <w:left w:val="none" w:sz="0" w:space="0" w:color="auto"/>
        <w:bottom w:val="none" w:sz="0" w:space="0" w:color="auto"/>
        <w:right w:val="none" w:sz="0" w:space="0" w:color="auto"/>
      </w:divBdr>
    </w:div>
    <w:div w:id="342510628">
      <w:bodyDiv w:val="1"/>
      <w:marLeft w:val="0"/>
      <w:marRight w:val="0"/>
      <w:marTop w:val="0"/>
      <w:marBottom w:val="0"/>
      <w:divBdr>
        <w:top w:val="none" w:sz="0" w:space="0" w:color="auto"/>
        <w:left w:val="none" w:sz="0" w:space="0" w:color="auto"/>
        <w:bottom w:val="none" w:sz="0" w:space="0" w:color="auto"/>
        <w:right w:val="none" w:sz="0" w:space="0" w:color="auto"/>
      </w:divBdr>
    </w:div>
    <w:div w:id="356319434">
      <w:bodyDiv w:val="1"/>
      <w:marLeft w:val="0"/>
      <w:marRight w:val="0"/>
      <w:marTop w:val="0"/>
      <w:marBottom w:val="0"/>
      <w:divBdr>
        <w:top w:val="none" w:sz="0" w:space="0" w:color="auto"/>
        <w:left w:val="none" w:sz="0" w:space="0" w:color="auto"/>
        <w:bottom w:val="none" w:sz="0" w:space="0" w:color="auto"/>
        <w:right w:val="none" w:sz="0" w:space="0" w:color="auto"/>
      </w:divBdr>
    </w:div>
    <w:div w:id="363945245">
      <w:bodyDiv w:val="1"/>
      <w:marLeft w:val="0"/>
      <w:marRight w:val="0"/>
      <w:marTop w:val="0"/>
      <w:marBottom w:val="0"/>
      <w:divBdr>
        <w:top w:val="none" w:sz="0" w:space="0" w:color="auto"/>
        <w:left w:val="none" w:sz="0" w:space="0" w:color="auto"/>
        <w:bottom w:val="none" w:sz="0" w:space="0" w:color="auto"/>
        <w:right w:val="none" w:sz="0" w:space="0" w:color="auto"/>
      </w:divBdr>
    </w:div>
    <w:div w:id="367337957">
      <w:bodyDiv w:val="1"/>
      <w:marLeft w:val="0"/>
      <w:marRight w:val="0"/>
      <w:marTop w:val="0"/>
      <w:marBottom w:val="0"/>
      <w:divBdr>
        <w:top w:val="none" w:sz="0" w:space="0" w:color="auto"/>
        <w:left w:val="none" w:sz="0" w:space="0" w:color="auto"/>
        <w:bottom w:val="none" w:sz="0" w:space="0" w:color="auto"/>
        <w:right w:val="none" w:sz="0" w:space="0" w:color="auto"/>
      </w:divBdr>
    </w:div>
    <w:div w:id="369652618">
      <w:bodyDiv w:val="1"/>
      <w:marLeft w:val="0"/>
      <w:marRight w:val="0"/>
      <w:marTop w:val="0"/>
      <w:marBottom w:val="0"/>
      <w:divBdr>
        <w:top w:val="none" w:sz="0" w:space="0" w:color="auto"/>
        <w:left w:val="none" w:sz="0" w:space="0" w:color="auto"/>
        <w:bottom w:val="none" w:sz="0" w:space="0" w:color="auto"/>
        <w:right w:val="none" w:sz="0" w:space="0" w:color="auto"/>
      </w:divBdr>
    </w:div>
    <w:div w:id="372850210">
      <w:bodyDiv w:val="1"/>
      <w:marLeft w:val="0"/>
      <w:marRight w:val="0"/>
      <w:marTop w:val="0"/>
      <w:marBottom w:val="0"/>
      <w:divBdr>
        <w:top w:val="none" w:sz="0" w:space="0" w:color="auto"/>
        <w:left w:val="none" w:sz="0" w:space="0" w:color="auto"/>
        <w:bottom w:val="none" w:sz="0" w:space="0" w:color="auto"/>
        <w:right w:val="none" w:sz="0" w:space="0" w:color="auto"/>
      </w:divBdr>
    </w:div>
    <w:div w:id="380323068">
      <w:bodyDiv w:val="1"/>
      <w:marLeft w:val="0"/>
      <w:marRight w:val="0"/>
      <w:marTop w:val="0"/>
      <w:marBottom w:val="0"/>
      <w:divBdr>
        <w:top w:val="none" w:sz="0" w:space="0" w:color="auto"/>
        <w:left w:val="none" w:sz="0" w:space="0" w:color="auto"/>
        <w:bottom w:val="none" w:sz="0" w:space="0" w:color="auto"/>
        <w:right w:val="none" w:sz="0" w:space="0" w:color="auto"/>
      </w:divBdr>
    </w:div>
    <w:div w:id="388577704">
      <w:bodyDiv w:val="1"/>
      <w:marLeft w:val="0"/>
      <w:marRight w:val="0"/>
      <w:marTop w:val="0"/>
      <w:marBottom w:val="0"/>
      <w:divBdr>
        <w:top w:val="none" w:sz="0" w:space="0" w:color="auto"/>
        <w:left w:val="none" w:sz="0" w:space="0" w:color="auto"/>
        <w:bottom w:val="none" w:sz="0" w:space="0" w:color="auto"/>
        <w:right w:val="none" w:sz="0" w:space="0" w:color="auto"/>
      </w:divBdr>
    </w:div>
    <w:div w:id="390544199">
      <w:bodyDiv w:val="1"/>
      <w:marLeft w:val="0"/>
      <w:marRight w:val="0"/>
      <w:marTop w:val="0"/>
      <w:marBottom w:val="0"/>
      <w:divBdr>
        <w:top w:val="none" w:sz="0" w:space="0" w:color="auto"/>
        <w:left w:val="none" w:sz="0" w:space="0" w:color="auto"/>
        <w:bottom w:val="none" w:sz="0" w:space="0" w:color="auto"/>
        <w:right w:val="none" w:sz="0" w:space="0" w:color="auto"/>
      </w:divBdr>
    </w:div>
    <w:div w:id="393890643">
      <w:bodyDiv w:val="1"/>
      <w:marLeft w:val="0"/>
      <w:marRight w:val="0"/>
      <w:marTop w:val="0"/>
      <w:marBottom w:val="0"/>
      <w:divBdr>
        <w:top w:val="none" w:sz="0" w:space="0" w:color="auto"/>
        <w:left w:val="none" w:sz="0" w:space="0" w:color="auto"/>
        <w:bottom w:val="none" w:sz="0" w:space="0" w:color="auto"/>
        <w:right w:val="none" w:sz="0" w:space="0" w:color="auto"/>
      </w:divBdr>
    </w:div>
    <w:div w:id="395665292">
      <w:bodyDiv w:val="1"/>
      <w:marLeft w:val="0"/>
      <w:marRight w:val="0"/>
      <w:marTop w:val="0"/>
      <w:marBottom w:val="0"/>
      <w:divBdr>
        <w:top w:val="none" w:sz="0" w:space="0" w:color="auto"/>
        <w:left w:val="none" w:sz="0" w:space="0" w:color="auto"/>
        <w:bottom w:val="none" w:sz="0" w:space="0" w:color="auto"/>
        <w:right w:val="none" w:sz="0" w:space="0" w:color="auto"/>
      </w:divBdr>
    </w:div>
    <w:div w:id="398747886">
      <w:bodyDiv w:val="1"/>
      <w:marLeft w:val="0"/>
      <w:marRight w:val="0"/>
      <w:marTop w:val="0"/>
      <w:marBottom w:val="0"/>
      <w:divBdr>
        <w:top w:val="none" w:sz="0" w:space="0" w:color="auto"/>
        <w:left w:val="none" w:sz="0" w:space="0" w:color="auto"/>
        <w:bottom w:val="none" w:sz="0" w:space="0" w:color="auto"/>
        <w:right w:val="none" w:sz="0" w:space="0" w:color="auto"/>
      </w:divBdr>
    </w:div>
    <w:div w:id="403917778">
      <w:bodyDiv w:val="1"/>
      <w:marLeft w:val="0"/>
      <w:marRight w:val="0"/>
      <w:marTop w:val="0"/>
      <w:marBottom w:val="0"/>
      <w:divBdr>
        <w:top w:val="none" w:sz="0" w:space="0" w:color="auto"/>
        <w:left w:val="none" w:sz="0" w:space="0" w:color="auto"/>
        <w:bottom w:val="none" w:sz="0" w:space="0" w:color="auto"/>
        <w:right w:val="none" w:sz="0" w:space="0" w:color="auto"/>
      </w:divBdr>
    </w:div>
    <w:div w:id="408964128">
      <w:bodyDiv w:val="1"/>
      <w:marLeft w:val="0"/>
      <w:marRight w:val="0"/>
      <w:marTop w:val="0"/>
      <w:marBottom w:val="0"/>
      <w:divBdr>
        <w:top w:val="none" w:sz="0" w:space="0" w:color="auto"/>
        <w:left w:val="none" w:sz="0" w:space="0" w:color="auto"/>
        <w:bottom w:val="none" w:sz="0" w:space="0" w:color="auto"/>
        <w:right w:val="none" w:sz="0" w:space="0" w:color="auto"/>
      </w:divBdr>
    </w:div>
    <w:div w:id="413433395">
      <w:bodyDiv w:val="1"/>
      <w:marLeft w:val="0"/>
      <w:marRight w:val="0"/>
      <w:marTop w:val="0"/>
      <w:marBottom w:val="0"/>
      <w:divBdr>
        <w:top w:val="none" w:sz="0" w:space="0" w:color="auto"/>
        <w:left w:val="none" w:sz="0" w:space="0" w:color="auto"/>
        <w:bottom w:val="none" w:sz="0" w:space="0" w:color="auto"/>
        <w:right w:val="none" w:sz="0" w:space="0" w:color="auto"/>
      </w:divBdr>
    </w:div>
    <w:div w:id="425267114">
      <w:bodyDiv w:val="1"/>
      <w:marLeft w:val="0"/>
      <w:marRight w:val="0"/>
      <w:marTop w:val="0"/>
      <w:marBottom w:val="0"/>
      <w:divBdr>
        <w:top w:val="none" w:sz="0" w:space="0" w:color="auto"/>
        <w:left w:val="none" w:sz="0" w:space="0" w:color="auto"/>
        <w:bottom w:val="none" w:sz="0" w:space="0" w:color="auto"/>
        <w:right w:val="none" w:sz="0" w:space="0" w:color="auto"/>
      </w:divBdr>
    </w:div>
    <w:div w:id="434910313">
      <w:bodyDiv w:val="1"/>
      <w:marLeft w:val="0"/>
      <w:marRight w:val="0"/>
      <w:marTop w:val="0"/>
      <w:marBottom w:val="0"/>
      <w:divBdr>
        <w:top w:val="none" w:sz="0" w:space="0" w:color="auto"/>
        <w:left w:val="none" w:sz="0" w:space="0" w:color="auto"/>
        <w:bottom w:val="none" w:sz="0" w:space="0" w:color="auto"/>
        <w:right w:val="none" w:sz="0" w:space="0" w:color="auto"/>
      </w:divBdr>
    </w:div>
    <w:div w:id="441345716">
      <w:bodyDiv w:val="1"/>
      <w:marLeft w:val="0"/>
      <w:marRight w:val="0"/>
      <w:marTop w:val="0"/>
      <w:marBottom w:val="0"/>
      <w:divBdr>
        <w:top w:val="none" w:sz="0" w:space="0" w:color="auto"/>
        <w:left w:val="none" w:sz="0" w:space="0" w:color="auto"/>
        <w:bottom w:val="none" w:sz="0" w:space="0" w:color="auto"/>
        <w:right w:val="none" w:sz="0" w:space="0" w:color="auto"/>
      </w:divBdr>
    </w:div>
    <w:div w:id="445395733">
      <w:bodyDiv w:val="1"/>
      <w:marLeft w:val="0"/>
      <w:marRight w:val="0"/>
      <w:marTop w:val="0"/>
      <w:marBottom w:val="0"/>
      <w:divBdr>
        <w:top w:val="none" w:sz="0" w:space="0" w:color="auto"/>
        <w:left w:val="none" w:sz="0" w:space="0" w:color="auto"/>
        <w:bottom w:val="none" w:sz="0" w:space="0" w:color="auto"/>
        <w:right w:val="none" w:sz="0" w:space="0" w:color="auto"/>
      </w:divBdr>
    </w:div>
    <w:div w:id="452408745">
      <w:bodyDiv w:val="1"/>
      <w:marLeft w:val="0"/>
      <w:marRight w:val="0"/>
      <w:marTop w:val="0"/>
      <w:marBottom w:val="0"/>
      <w:divBdr>
        <w:top w:val="none" w:sz="0" w:space="0" w:color="auto"/>
        <w:left w:val="none" w:sz="0" w:space="0" w:color="auto"/>
        <w:bottom w:val="none" w:sz="0" w:space="0" w:color="auto"/>
        <w:right w:val="none" w:sz="0" w:space="0" w:color="auto"/>
      </w:divBdr>
    </w:div>
    <w:div w:id="454300222">
      <w:bodyDiv w:val="1"/>
      <w:marLeft w:val="0"/>
      <w:marRight w:val="0"/>
      <w:marTop w:val="0"/>
      <w:marBottom w:val="0"/>
      <w:divBdr>
        <w:top w:val="none" w:sz="0" w:space="0" w:color="auto"/>
        <w:left w:val="none" w:sz="0" w:space="0" w:color="auto"/>
        <w:bottom w:val="none" w:sz="0" w:space="0" w:color="auto"/>
        <w:right w:val="none" w:sz="0" w:space="0" w:color="auto"/>
      </w:divBdr>
    </w:div>
    <w:div w:id="454523145">
      <w:bodyDiv w:val="1"/>
      <w:marLeft w:val="0"/>
      <w:marRight w:val="0"/>
      <w:marTop w:val="0"/>
      <w:marBottom w:val="0"/>
      <w:divBdr>
        <w:top w:val="none" w:sz="0" w:space="0" w:color="auto"/>
        <w:left w:val="none" w:sz="0" w:space="0" w:color="auto"/>
        <w:bottom w:val="none" w:sz="0" w:space="0" w:color="auto"/>
        <w:right w:val="none" w:sz="0" w:space="0" w:color="auto"/>
      </w:divBdr>
    </w:div>
    <w:div w:id="456222343">
      <w:bodyDiv w:val="1"/>
      <w:marLeft w:val="0"/>
      <w:marRight w:val="0"/>
      <w:marTop w:val="0"/>
      <w:marBottom w:val="0"/>
      <w:divBdr>
        <w:top w:val="none" w:sz="0" w:space="0" w:color="auto"/>
        <w:left w:val="none" w:sz="0" w:space="0" w:color="auto"/>
        <w:bottom w:val="none" w:sz="0" w:space="0" w:color="auto"/>
        <w:right w:val="none" w:sz="0" w:space="0" w:color="auto"/>
      </w:divBdr>
    </w:div>
    <w:div w:id="466246141">
      <w:bodyDiv w:val="1"/>
      <w:marLeft w:val="0"/>
      <w:marRight w:val="0"/>
      <w:marTop w:val="0"/>
      <w:marBottom w:val="0"/>
      <w:divBdr>
        <w:top w:val="none" w:sz="0" w:space="0" w:color="auto"/>
        <w:left w:val="none" w:sz="0" w:space="0" w:color="auto"/>
        <w:bottom w:val="none" w:sz="0" w:space="0" w:color="auto"/>
        <w:right w:val="none" w:sz="0" w:space="0" w:color="auto"/>
      </w:divBdr>
    </w:div>
    <w:div w:id="482818712">
      <w:bodyDiv w:val="1"/>
      <w:marLeft w:val="0"/>
      <w:marRight w:val="0"/>
      <w:marTop w:val="0"/>
      <w:marBottom w:val="0"/>
      <w:divBdr>
        <w:top w:val="none" w:sz="0" w:space="0" w:color="auto"/>
        <w:left w:val="none" w:sz="0" w:space="0" w:color="auto"/>
        <w:bottom w:val="none" w:sz="0" w:space="0" w:color="auto"/>
        <w:right w:val="none" w:sz="0" w:space="0" w:color="auto"/>
      </w:divBdr>
    </w:div>
    <w:div w:id="484126460">
      <w:bodyDiv w:val="1"/>
      <w:marLeft w:val="0"/>
      <w:marRight w:val="0"/>
      <w:marTop w:val="0"/>
      <w:marBottom w:val="0"/>
      <w:divBdr>
        <w:top w:val="none" w:sz="0" w:space="0" w:color="auto"/>
        <w:left w:val="none" w:sz="0" w:space="0" w:color="auto"/>
        <w:bottom w:val="none" w:sz="0" w:space="0" w:color="auto"/>
        <w:right w:val="none" w:sz="0" w:space="0" w:color="auto"/>
      </w:divBdr>
    </w:div>
    <w:div w:id="499659045">
      <w:bodyDiv w:val="1"/>
      <w:marLeft w:val="0"/>
      <w:marRight w:val="0"/>
      <w:marTop w:val="0"/>
      <w:marBottom w:val="0"/>
      <w:divBdr>
        <w:top w:val="none" w:sz="0" w:space="0" w:color="auto"/>
        <w:left w:val="none" w:sz="0" w:space="0" w:color="auto"/>
        <w:bottom w:val="none" w:sz="0" w:space="0" w:color="auto"/>
        <w:right w:val="none" w:sz="0" w:space="0" w:color="auto"/>
      </w:divBdr>
    </w:div>
    <w:div w:id="515460964">
      <w:bodyDiv w:val="1"/>
      <w:marLeft w:val="0"/>
      <w:marRight w:val="0"/>
      <w:marTop w:val="0"/>
      <w:marBottom w:val="0"/>
      <w:divBdr>
        <w:top w:val="none" w:sz="0" w:space="0" w:color="auto"/>
        <w:left w:val="none" w:sz="0" w:space="0" w:color="auto"/>
        <w:bottom w:val="none" w:sz="0" w:space="0" w:color="auto"/>
        <w:right w:val="none" w:sz="0" w:space="0" w:color="auto"/>
      </w:divBdr>
    </w:div>
    <w:div w:id="518348986">
      <w:bodyDiv w:val="1"/>
      <w:marLeft w:val="0"/>
      <w:marRight w:val="0"/>
      <w:marTop w:val="0"/>
      <w:marBottom w:val="0"/>
      <w:divBdr>
        <w:top w:val="none" w:sz="0" w:space="0" w:color="auto"/>
        <w:left w:val="none" w:sz="0" w:space="0" w:color="auto"/>
        <w:bottom w:val="none" w:sz="0" w:space="0" w:color="auto"/>
        <w:right w:val="none" w:sz="0" w:space="0" w:color="auto"/>
      </w:divBdr>
    </w:div>
    <w:div w:id="519583463">
      <w:bodyDiv w:val="1"/>
      <w:marLeft w:val="0"/>
      <w:marRight w:val="0"/>
      <w:marTop w:val="0"/>
      <w:marBottom w:val="0"/>
      <w:divBdr>
        <w:top w:val="none" w:sz="0" w:space="0" w:color="auto"/>
        <w:left w:val="none" w:sz="0" w:space="0" w:color="auto"/>
        <w:bottom w:val="none" w:sz="0" w:space="0" w:color="auto"/>
        <w:right w:val="none" w:sz="0" w:space="0" w:color="auto"/>
      </w:divBdr>
    </w:div>
    <w:div w:id="525020402">
      <w:bodyDiv w:val="1"/>
      <w:marLeft w:val="0"/>
      <w:marRight w:val="0"/>
      <w:marTop w:val="0"/>
      <w:marBottom w:val="0"/>
      <w:divBdr>
        <w:top w:val="none" w:sz="0" w:space="0" w:color="auto"/>
        <w:left w:val="none" w:sz="0" w:space="0" w:color="auto"/>
        <w:bottom w:val="none" w:sz="0" w:space="0" w:color="auto"/>
        <w:right w:val="none" w:sz="0" w:space="0" w:color="auto"/>
      </w:divBdr>
      <w:divsChild>
        <w:div w:id="36592946">
          <w:marLeft w:val="0"/>
          <w:marRight w:val="0"/>
          <w:marTop w:val="0"/>
          <w:marBottom w:val="0"/>
          <w:divBdr>
            <w:top w:val="none" w:sz="0" w:space="0" w:color="auto"/>
            <w:left w:val="none" w:sz="0" w:space="0" w:color="auto"/>
            <w:bottom w:val="none" w:sz="0" w:space="0" w:color="auto"/>
            <w:right w:val="none" w:sz="0" w:space="0" w:color="auto"/>
          </w:divBdr>
          <w:divsChild>
            <w:div w:id="14987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59994">
      <w:bodyDiv w:val="1"/>
      <w:marLeft w:val="0"/>
      <w:marRight w:val="0"/>
      <w:marTop w:val="0"/>
      <w:marBottom w:val="0"/>
      <w:divBdr>
        <w:top w:val="none" w:sz="0" w:space="0" w:color="auto"/>
        <w:left w:val="none" w:sz="0" w:space="0" w:color="auto"/>
        <w:bottom w:val="none" w:sz="0" w:space="0" w:color="auto"/>
        <w:right w:val="none" w:sz="0" w:space="0" w:color="auto"/>
      </w:divBdr>
    </w:div>
    <w:div w:id="536549885">
      <w:bodyDiv w:val="1"/>
      <w:marLeft w:val="0"/>
      <w:marRight w:val="0"/>
      <w:marTop w:val="0"/>
      <w:marBottom w:val="0"/>
      <w:divBdr>
        <w:top w:val="none" w:sz="0" w:space="0" w:color="auto"/>
        <w:left w:val="none" w:sz="0" w:space="0" w:color="auto"/>
        <w:bottom w:val="none" w:sz="0" w:space="0" w:color="auto"/>
        <w:right w:val="none" w:sz="0" w:space="0" w:color="auto"/>
      </w:divBdr>
    </w:div>
    <w:div w:id="547110195">
      <w:bodyDiv w:val="1"/>
      <w:marLeft w:val="0"/>
      <w:marRight w:val="0"/>
      <w:marTop w:val="0"/>
      <w:marBottom w:val="0"/>
      <w:divBdr>
        <w:top w:val="none" w:sz="0" w:space="0" w:color="auto"/>
        <w:left w:val="none" w:sz="0" w:space="0" w:color="auto"/>
        <w:bottom w:val="none" w:sz="0" w:space="0" w:color="auto"/>
        <w:right w:val="none" w:sz="0" w:space="0" w:color="auto"/>
      </w:divBdr>
    </w:div>
    <w:div w:id="553009701">
      <w:bodyDiv w:val="1"/>
      <w:marLeft w:val="0"/>
      <w:marRight w:val="0"/>
      <w:marTop w:val="0"/>
      <w:marBottom w:val="0"/>
      <w:divBdr>
        <w:top w:val="none" w:sz="0" w:space="0" w:color="auto"/>
        <w:left w:val="none" w:sz="0" w:space="0" w:color="auto"/>
        <w:bottom w:val="none" w:sz="0" w:space="0" w:color="auto"/>
        <w:right w:val="none" w:sz="0" w:space="0" w:color="auto"/>
      </w:divBdr>
    </w:div>
    <w:div w:id="565185440">
      <w:bodyDiv w:val="1"/>
      <w:marLeft w:val="0"/>
      <w:marRight w:val="0"/>
      <w:marTop w:val="0"/>
      <w:marBottom w:val="0"/>
      <w:divBdr>
        <w:top w:val="none" w:sz="0" w:space="0" w:color="auto"/>
        <w:left w:val="none" w:sz="0" w:space="0" w:color="auto"/>
        <w:bottom w:val="none" w:sz="0" w:space="0" w:color="auto"/>
        <w:right w:val="none" w:sz="0" w:space="0" w:color="auto"/>
      </w:divBdr>
    </w:div>
    <w:div w:id="576592095">
      <w:bodyDiv w:val="1"/>
      <w:marLeft w:val="0"/>
      <w:marRight w:val="0"/>
      <w:marTop w:val="0"/>
      <w:marBottom w:val="0"/>
      <w:divBdr>
        <w:top w:val="none" w:sz="0" w:space="0" w:color="auto"/>
        <w:left w:val="none" w:sz="0" w:space="0" w:color="auto"/>
        <w:bottom w:val="none" w:sz="0" w:space="0" w:color="auto"/>
        <w:right w:val="none" w:sz="0" w:space="0" w:color="auto"/>
      </w:divBdr>
    </w:div>
    <w:div w:id="591551590">
      <w:bodyDiv w:val="1"/>
      <w:marLeft w:val="0"/>
      <w:marRight w:val="0"/>
      <w:marTop w:val="0"/>
      <w:marBottom w:val="0"/>
      <w:divBdr>
        <w:top w:val="none" w:sz="0" w:space="0" w:color="auto"/>
        <w:left w:val="none" w:sz="0" w:space="0" w:color="auto"/>
        <w:bottom w:val="none" w:sz="0" w:space="0" w:color="auto"/>
        <w:right w:val="none" w:sz="0" w:space="0" w:color="auto"/>
      </w:divBdr>
    </w:div>
    <w:div w:id="592512211">
      <w:bodyDiv w:val="1"/>
      <w:marLeft w:val="0"/>
      <w:marRight w:val="0"/>
      <w:marTop w:val="0"/>
      <w:marBottom w:val="0"/>
      <w:divBdr>
        <w:top w:val="none" w:sz="0" w:space="0" w:color="auto"/>
        <w:left w:val="none" w:sz="0" w:space="0" w:color="auto"/>
        <w:bottom w:val="none" w:sz="0" w:space="0" w:color="auto"/>
        <w:right w:val="none" w:sz="0" w:space="0" w:color="auto"/>
      </w:divBdr>
    </w:div>
    <w:div w:id="594167075">
      <w:bodyDiv w:val="1"/>
      <w:marLeft w:val="0"/>
      <w:marRight w:val="0"/>
      <w:marTop w:val="0"/>
      <w:marBottom w:val="0"/>
      <w:divBdr>
        <w:top w:val="none" w:sz="0" w:space="0" w:color="auto"/>
        <w:left w:val="none" w:sz="0" w:space="0" w:color="auto"/>
        <w:bottom w:val="none" w:sz="0" w:space="0" w:color="auto"/>
        <w:right w:val="none" w:sz="0" w:space="0" w:color="auto"/>
      </w:divBdr>
    </w:div>
    <w:div w:id="595793997">
      <w:bodyDiv w:val="1"/>
      <w:marLeft w:val="0"/>
      <w:marRight w:val="0"/>
      <w:marTop w:val="0"/>
      <w:marBottom w:val="0"/>
      <w:divBdr>
        <w:top w:val="none" w:sz="0" w:space="0" w:color="auto"/>
        <w:left w:val="none" w:sz="0" w:space="0" w:color="auto"/>
        <w:bottom w:val="none" w:sz="0" w:space="0" w:color="auto"/>
        <w:right w:val="none" w:sz="0" w:space="0" w:color="auto"/>
      </w:divBdr>
    </w:div>
    <w:div w:id="596451886">
      <w:bodyDiv w:val="1"/>
      <w:marLeft w:val="0"/>
      <w:marRight w:val="0"/>
      <w:marTop w:val="0"/>
      <w:marBottom w:val="0"/>
      <w:divBdr>
        <w:top w:val="none" w:sz="0" w:space="0" w:color="auto"/>
        <w:left w:val="none" w:sz="0" w:space="0" w:color="auto"/>
        <w:bottom w:val="none" w:sz="0" w:space="0" w:color="auto"/>
        <w:right w:val="none" w:sz="0" w:space="0" w:color="auto"/>
      </w:divBdr>
    </w:div>
    <w:div w:id="599606073">
      <w:bodyDiv w:val="1"/>
      <w:marLeft w:val="0"/>
      <w:marRight w:val="0"/>
      <w:marTop w:val="0"/>
      <w:marBottom w:val="0"/>
      <w:divBdr>
        <w:top w:val="none" w:sz="0" w:space="0" w:color="auto"/>
        <w:left w:val="none" w:sz="0" w:space="0" w:color="auto"/>
        <w:bottom w:val="none" w:sz="0" w:space="0" w:color="auto"/>
        <w:right w:val="none" w:sz="0" w:space="0" w:color="auto"/>
      </w:divBdr>
    </w:div>
    <w:div w:id="614140269">
      <w:bodyDiv w:val="1"/>
      <w:marLeft w:val="0"/>
      <w:marRight w:val="0"/>
      <w:marTop w:val="0"/>
      <w:marBottom w:val="0"/>
      <w:divBdr>
        <w:top w:val="none" w:sz="0" w:space="0" w:color="auto"/>
        <w:left w:val="none" w:sz="0" w:space="0" w:color="auto"/>
        <w:bottom w:val="none" w:sz="0" w:space="0" w:color="auto"/>
        <w:right w:val="none" w:sz="0" w:space="0" w:color="auto"/>
      </w:divBdr>
    </w:div>
    <w:div w:id="618222852">
      <w:bodyDiv w:val="1"/>
      <w:marLeft w:val="0"/>
      <w:marRight w:val="0"/>
      <w:marTop w:val="0"/>
      <w:marBottom w:val="0"/>
      <w:divBdr>
        <w:top w:val="none" w:sz="0" w:space="0" w:color="auto"/>
        <w:left w:val="none" w:sz="0" w:space="0" w:color="auto"/>
        <w:bottom w:val="none" w:sz="0" w:space="0" w:color="auto"/>
        <w:right w:val="none" w:sz="0" w:space="0" w:color="auto"/>
      </w:divBdr>
    </w:div>
    <w:div w:id="628435058">
      <w:bodyDiv w:val="1"/>
      <w:marLeft w:val="0"/>
      <w:marRight w:val="0"/>
      <w:marTop w:val="0"/>
      <w:marBottom w:val="0"/>
      <w:divBdr>
        <w:top w:val="none" w:sz="0" w:space="0" w:color="auto"/>
        <w:left w:val="none" w:sz="0" w:space="0" w:color="auto"/>
        <w:bottom w:val="none" w:sz="0" w:space="0" w:color="auto"/>
        <w:right w:val="none" w:sz="0" w:space="0" w:color="auto"/>
      </w:divBdr>
    </w:div>
    <w:div w:id="630282448">
      <w:bodyDiv w:val="1"/>
      <w:marLeft w:val="0"/>
      <w:marRight w:val="0"/>
      <w:marTop w:val="0"/>
      <w:marBottom w:val="0"/>
      <w:divBdr>
        <w:top w:val="none" w:sz="0" w:space="0" w:color="auto"/>
        <w:left w:val="none" w:sz="0" w:space="0" w:color="auto"/>
        <w:bottom w:val="none" w:sz="0" w:space="0" w:color="auto"/>
        <w:right w:val="none" w:sz="0" w:space="0" w:color="auto"/>
      </w:divBdr>
    </w:div>
    <w:div w:id="631248924">
      <w:bodyDiv w:val="1"/>
      <w:marLeft w:val="0"/>
      <w:marRight w:val="0"/>
      <w:marTop w:val="0"/>
      <w:marBottom w:val="0"/>
      <w:divBdr>
        <w:top w:val="none" w:sz="0" w:space="0" w:color="auto"/>
        <w:left w:val="none" w:sz="0" w:space="0" w:color="auto"/>
        <w:bottom w:val="none" w:sz="0" w:space="0" w:color="auto"/>
        <w:right w:val="none" w:sz="0" w:space="0" w:color="auto"/>
      </w:divBdr>
    </w:div>
    <w:div w:id="641926460">
      <w:bodyDiv w:val="1"/>
      <w:marLeft w:val="0"/>
      <w:marRight w:val="0"/>
      <w:marTop w:val="0"/>
      <w:marBottom w:val="0"/>
      <w:divBdr>
        <w:top w:val="none" w:sz="0" w:space="0" w:color="auto"/>
        <w:left w:val="none" w:sz="0" w:space="0" w:color="auto"/>
        <w:bottom w:val="none" w:sz="0" w:space="0" w:color="auto"/>
        <w:right w:val="none" w:sz="0" w:space="0" w:color="auto"/>
      </w:divBdr>
    </w:div>
    <w:div w:id="643703857">
      <w:bodyDiv w:val="1"/>
      <w:marLeft w:val="0"/>
      <w:marRight w:val="0"/>
      <w:marTop w:val="0"/>
      <w:marBottom w:val="0"/>
      <w:divBdr>
        <w:top w:val="none" w:sz="0" w:space="0" w:color="auto"/>
        <w:left w:val="none" w:sz="0" w:space="0" w:color="auto"/>
        <w:bottom w:val="none" w:sz="0" w:space="0" w:color="auto"/>
        <w:right w:val="none" w:sz="0" w:space="0" w:color="auto"/>
      </w:divBdr>
    </w:div>
    <w:div w:id="647436771">
      <w:bodyDiv w:val="1"/>
      <w:marLeft w:val="0"/>
      <w:marRight w:val="0"/>
      <w:marTop w:val="0"/>
      <w:marBottom w:val="0"/>
      <w:divBdr>
        <w:top w:val="none" w:sz="0" w:space="0" w:color="auto"/>
        <w:left w:val="none" w:sz="0" w:space="0" w:color="auto"/>
        <w:bottom w:val="none" w:sz="0" w:space="0" w:color="auto"/>
        <w:right w:val="none" w:sz="0" w:space="0" w:color="auto"/>
      </w:divBdr>
    </w:div>
    <w:div w:id="647589981">
      <w:bodyDiv w:val="1"/>
      <w:marLeft w:val="0"/>
      <w:marRight w:val="0"/>
      <w:marTop w:val="0"/>
      <w:marBottom w:val="0"/>
      <w:divBdr>
        <w:top w:val="none" w:sz="0" w:space="0" w:color="auto"/>
        <w:left w:val="none" w:sz="0" w:space="0" w:color="auto"/>
        <w:bottom w:val="none" w:sz="0" w:space="0" w:color="auto"/>
        <w:right w:val="none" w:sz="0" w:space="0" w:color="auto"/>
      </w:divBdr>
    </w:div>
    <w:div w:id="650141879">
      <w:bodyDiv w:val="1"/>
      <w:marLeft w:val="0"/>
      <w:marRight w:val="0"/>
      <w:marTop w:val="0"/>
      <w:marBottom w:val="0"/>
      <w:divBdr>
        <w:top w:val="none" w:sz="0" w:space="0" w:color="auto"/>
        <w:left w:val="none" w:sz="0" w:space="0" w:color="auto"/>
        <w:bottom w:val="none" w:sz="0" w:space="0" w:color="auto"/>
        <w:right w:val="none" w:sz="0" w:space="0" w:color="auto"/>
      </w:divBdr>
    </w:div>
    <w:div w:id="656349022">
      <w:bodyDiv w:val="1"/>
      <w:marLeft w:val="0"/>
      <w:marRight w:val="0"/>
      <w:marTop w:val="0"/>
      <w:marBottom w:val="0"/>
      <w:divBdr>
        <w:top w:val="none" w:sz="0" w:space="0" w:color="auto"/>
        <w:left w:val="none" w:sz="0" w:space="0" w:color="auto"/>
        <w:bottom w:val="none" w:sz="0" w:space="0" w:color="auto"/>
        <w:right w:val="none" w:sz="0" w:space="0" w:color="auto"/>
      </w:divBdr>
    </w:div>
    <w:div w:id="656961443">
      <w:bodyDiv w:val="1"/>
      <w:marLeft w:val="0"/>
      <w:marRight w:val="0"/>
      <w:marTop w:val="0"/>
      <w:marBottom w:val="0"/>
      <w:divBdr>
        <w:top w:val="none" w:sz="0" w:space="0" w:color="auto"/>
        <w:left w:val="none" w:sz="0" w:space="0" w:color="auto"/>
        <w:bottom w:val="none" w:sz="0" w:space="0" w:color="auto"/>
        <w:right w:val="none" w:sz="0" w:space="0" w:color="auto"/>
      </w:divBdr>
    </w:div>
    <w:div w:id="663363600">
      <w:bodyDiv w:val="1"/>
      <w:marLeft w:val="0"/>
      <w:marRight w:val="0"/>
      <w:marTop w:val="0"/>
      <w:marBottom w:val="0"/>
      <w:divBdr>
        <w:top w:val="none" w:sz="0" w:space="0" w:color="auto"/>
        <w:left w:val="none" w:sz="0" w:space="0" w:color="auto"/>
        <w:bottom w:val="none" w:sz="0" w:space="0" w:color="auto"/>
        <w:right w:val="none" w:sz="0" w:space="0" w:color="auto"/>
      </w:divBdr>
    </w:div>
    <w:div w:id="676738738">
      <w:bodyDiv w:val="1"/>
      <w:marLeft w:val="0"/>
      <w:marRight w:val="0"/>
      <w:marTop w:val="0"/>
      <w:marBottom w:val="0"/>
      <w:divBdr>
        <w:top w:val="none" w:sz="0" w:space="0" w:color="auto"/>
        <w:left w:val="none" w:sz="0" w:space="0" w:color="auto"/>
        <w:bottom w:val="none" w:sz="0" w:space="0" w:color="auto"/>
        <w:right w:val="none" w:sz="0" w:space="0" w:color="auto"/>
      </w:divBdr>
    </w:div>
    <w:div w:id="686564334">
      <w:bodyDiv w:val="1"/>
      <w:marLeft w:val="0"/>
      <w:marRight w:val="0"/>
      <w:marTop w:val="0"/>
      <w:marBottom w:val="0"/>
      <w:divBdr>
        <w:top w:val="none" w:sz="0" w:space="0" w:color="auto"/>
        <w:left w:val="none" w:sz="0" w:space="0" w:color="auto"/>
        <w:bottom w:val="none" w:sz="0" w:space="0" w:color="auto"/>
        <w:right w:val="none" w:sz="0" w:space="0" w:color="auto"/>
      </w:divBdr>
    </w:div>
    <w:div w:id="691224607">
      <w:bodyDiv w:val="1"/>
      <w:marLeft w:val="0"/>
      <w:marRight w:val="0"/>
      <w:marTop w:val="0"/>
      <w:marBottom w:val="0"/>
      <w:divBdr>
        <w:top w:val="none" w:sz="0" w:space="0" w:color="auto"/>
        <w:left w:val="none" w:sz="0" w:space="0" w:color="auto"/>
        <w:bottom w:val="none" w:sz="0" w:space="0" w:color="auto"/>
        <w:right w:val="none" w:sz="0" w:space="0" w:color="auto"/>
      </w:divBdr>
    </w:div>
    <w:div w:id="693574937">
      <w:bodyDiv w:val="1"/>
      <w:marLeft w:val="0"/>
      <w:marRight w:val="0"/>
      <w:marTop w:val="0"/>
      <w:marBottom w:val="0"/>
      <w:divBdr>
        <w:top w:val="none" w:sz="0" w:space="0" w:color="auto"/>
        <w:left w:val="none" w:sz="0" w:space="0" w:color="auto"/>
        <w:bottom w:val="none" w:sz="0" w:space="0" w:color="auto"/>
        <w:right w:val="none" w:sz="0" w:space="0" w:color="auto"/>
      </w:divBdr>
    </w:div>
    <w:div w:id="696008425">
      <w:bodyDiv w:val="1"/>
      <w:marLeft w:val="0"/>
      <w:marRight w:val="0"/>
      <w:marTop w:val="0"/>
      <w:marBottom w:val="0"/>
      <w:divBdr>
        <w:top w:val="none" w:sz="0" w:space="0" w:color="auto"/>
        <w:left w:val="none" w:sz="0" w:space="0" w:color="auto"/>
        <w:bottom w:val="none" w:sz="0" w:space="0" w:color="auto"/>
        <w:right w:val="none" w:sz="0" w:space="0" w:color="auto"/>
      </w:divBdr>
    </w:div>
    <w:div w:id="697852549">
      <w:bodyDiv w:val="1"/>
      <w:marLeft w:val="0"/>
      <w:marRight w:val="0"/>
      <w:marTop w:val="0"/>
      <w:marBottom w:val="0"/>
      <w:divBdr>
        <w:top w:val="none" w:sz="0" w:space="0" w:color="auto"/>
        <w:left w:val="none" w:sz="0" w:space="0" w:color="auto"/>
        <w:bottom w:val="none" w:sz="0" w:space="0" w:color="auto"/>
        <w:right w:val="none" w:sz="0" w:space="0" w:color="auto"/>
      </w:divBdr>
    </w:div>
    <w:div w:id="698166614">
      <w:bodyDiv w:val="1"/>
      <w:marLeft w:val="0"/>
      <w:marRight w:val="0"/>
      <w:marTop w:val="0"/>
      <w:marBottom w:val="0"/>
      <w:divBdr>
        <w:top w:val="none" w:sz="0" w:space="0" w:color="auto"/>
        <w:left w:val="none" w:sz="0" w:space="0" w:color="auto"/>
        <w:bottom w:val="none" w:sz="0" w:space="0" w:color="auto"/>
        <w:right w:val="none" w:sz="0" w:space="0" w:color="auto"/>
      </w:divBdr>
    </w:div>
    <w:div w:id="700546756">
      <w:bodyDiv w:val="1"/>
      <w:marLeft w:val="0"/>
      <w:marRight w:val="0"/>
      <w:marTop w:val="0"/>
      <w:marBottom w:val="0"/>
      <w:divBdr>
        <w:top w:val="none" w:sz="0" w:space="0" w:color="auto"/>
        <w:left w:val="none" w:sz="0" w:space="0" w:color="auto"/>
        <w:bottom w:val="none" w:sz="0" w:space="0" w:color="auto"/>
        <w:right w:val="none" w:sz="0" w:space="0" w:color="auto"/>
      </w:divBdr>
    </w:div>
    <w:div w:id="700859336">
      <w:bodyDiv w:val="1"/>
      <w:marLeft w:val="0"/>
      <w:marRight w:val="0"/>
      <w:marTop w:val="0"/>
      <w:marBottom w:val="0"/>
      <w:divBdr>
        <w:top w:val="none" w:sz="0" w:space="0" w:color="auto"/>
        <w:left w:val="none" w:sz="0" w:space="0" w:color="auto"/>
        <w:bottom w:val="none" w:sz="0" w:space="0" w:color="auto"/>
        <w:right w:val="none" w:sz="0" w:space="0" w:color="auto"/>
      </w:divBdr>
    </w:div>
    <w:div w:id="709107522">
      <w:bodyDiv w:val="1"/>
      <w:marLeft w:val="0"/>
      <w:marRight w:val="0"/>
      <w:marTop w:val="0"/>
      <w:marBottom w:val="0"/>
      <w:divBdr>
        <w:top w:val="none" w:sz="0" w:space="0" w:color="auto"/>
        <w:left w:val="none" w:sz="0" w:space="0" w:color="auto"/>
        <w:bottom w:val="none" w:sz="0" w:space="0" w:color="auto"/>
        <w:right w:val="none" w:sz="0" w:space="0" w:color="auto"/>
      </w:divBdr>
    </w:div>
    <w:div w:id="711273392">
      <w:bodyDiv w:val="1"/>
      <w:marLeft w:val="0"/>
      <w:marRight w:val="0"/>
      <w:marTop w:val="0"/>
      <w:marBottom w:val="0"/>
      <w:divBdr>
        <w:top w:val="none" w:sz="0" w:space="0" w:color="auto"/>
        <w:left w:val="none" w:sz="0" w:space="0" w:color="auto"/>
        <w:bottom w:val="none" w:sz="0" w:space="0" w:color="auto"/>
        <w:right w:val="none" w:sz="0" w:space="0" w:color="auto"/>
      </w:divBdr>
    </w:div>
    <w:div w:id="712195016">
      <w:bodyDiv w:val="1"/>
      <w:marLeft w:val="0"/>
      <w:marRight w:val="0"/>
      <w:marTop w:val="0"/>
      <w:marBottom w:val="0"/>
      <w:divBdr>
        <w:top w:val="none" w:sz="0" w:space="0" w:color="auto"/>
        <w:left w:val="none" w:sz="0" w:space="0" w:color="auto"/>
        <w:bottom w:val="none" w:sz="0" w:space="0" w:color="auto"/>
        <w:right w:val="none" w:sz="0" w:space="0" w:color="auto"/>
      </w:divBdr>
    </w:div>
    <w:div w:id="715742952">
      <w:bodyDiv w:val="1"/>
      <w:marLeft w:val="0"/>
      <w:marRight w:val="0"/>
      <w:marTop w:val="0"/>
      <w:marBottom w:val="0"/>
      <w:divBdr>
        <w:top w:val="none" w:sz="0" w:space="0" w:color="auto"/>
        <w:left w:val="none" w:sz="0" w:space="0" w:color="auto"/>
        <w:bottom w:val="none" w:sz="0" w:space="0" w:color="auto"/>
        <w:right w:val="none" w:sz="0" w:space="0" w:color="auto"/>
      </w:divBdr>
    </w:div>
    <w:div w:id="717431899">
      <w:bodyDiv w:val="1"/>
      <w:marLeft w:val="0"/>
      <w:marRight w:val="0"/>
      <w:marTop w:val="0"/>
      <w:marBottom w:val="0"/>
      <w:divBdr>
        <w:top w:val="none" w:sz="0" w:space="0" w:color="auto"/>
        <w:left w:val="none" w:sz="0" w:space="0" w:color="auto"/>
        <w:bottom w:val="none" w:sz="0" w:space="0" w:color="auto"/>
        <w:right w:val="none" w:sz="0" w:space="0" w:color="auto"/>
      </w:divBdr>
    </w:div>
    <w:div w:id="717706078">
      <w:bodyDiv w:val="1"/>
      <w:marLeft w:val="0"/>
      <w:marRight w:val="0"/>
      <w:marTop w:val="0"/>
      <w:marBottom w:val="0"/>
      <w:divBdr>
        <w:top w:val="none" w:sz="0" w:space="0" w:color="auto"/>
        <w:left w:val="none" w:sz="0" w:space="0" w:color="auto"/>
        <w:bottom w:val="none" w:sz="0" w:space="0" w:color="auto"/>
        <w:right w:val="none" w:sz="0" w:space="0" w:color="auto"/>
      </w:divBdr>
    </w:div>
    <w:div w:id="723675016">
      <w:bodyDiv w:val="1"/>
      <w:marLeft w:val="0"/>
      <w:marRight w:val="0"/>
      <w:marTop w:val="0"/>
      <w:marBottom w:val="0"/>
      <w:divBdr>
        <w:top w:val="none" w:sz="0" w:space="0" w:color="auto"/>
        <w:left w:val="none" w:sz="0" w:space="0" w:color="auto"/>
        <w:bottom w:val="none" w:sz="0" w:space="0" w:color="auto"/>
        <w:right w:val="none" w:sz="0" w:space="0" w:color="auto"/>
      </w:divBdr>
    </w:div>
    <w:div w:id="743795114">
      <w:bodyDiv w:val="1"/>
      <w:marLeft w:val="0"/>
      <w:marRight w:val="0"/>
      <w:marTop w:val="0"/>
      <w:marBottom w:val="0"/>
      <w:divBdr>
        <w:top w:val="none" w:sz="0" w:space="0" w:color="auto"/>
        <w:left w:val="none" w:sz="0" w:space="0" w:color="auto"/>
        <w:bottom w:val="none" w:sz="0" w:space="0" w:color="auto"/>
        <w:right w:val="none" w:sz="0" w:space="0" w:color="auto"/>
      </w:divBdr>
    </w:div>
    <w:div w:id="755175163">
      <w:bodyDiv w:val="1"/>
      <w:marLeft w:val="0"/>
      <w:marRight w:val="0"/>
      <w:marTop w:val="0"/>
      <w:marBottom w:val="0"/>
      <w:divBdr>
        <w:top w:val="none" w:sz="0" w:space="0" w:color="auto"/>
        <w:left w:val="none" w:sz="0" w:space="0" w:color="auto"/>
        <w:bottom w:val="none" w:sz="0" w:space="0" w:color="auto"/>
        <w:right w:val="none" w:sz="0" w:space="0" w:color="auto"/>
      </w:divBdr>
    </w:div>
    <w:div w:id="767848268">
      <w:bodyDiv w:val="1"/>
      <w:marLeft w:val="0"/>
      <w:marRight w:val="0"/>
      <w:marTop w:val="0"/>
      <w:marBottom w:val="0"/>
      <w:divBdr>
        <w:top w:val="none" w:sz="0" w:space="0" w:color="auto"/>
        <w:left w:val="none" w:sz="0" w:space="0" w:color="auto"/>
        <w:bottom w:val="none" w:sz="0" w:space="0" w:color="auto"/>
        <w:right w:val="none" w:sz="0" w:space="0" w:color="auto"/>
      </w:divBdr>
    </w:div>
    <w:div w:id="778064539">
      <w:bodyDiv w:val="1"/>
      <w:marLeft w:val="0"/>
      <w:marRight w:val="0"/>
      <w:marTop w:val="0"/>
      <w:marBottom w:val="0"/>
      <w:divBdr>
        <w:top w:val="none" w:sz="0" w:space="0" w:color="auto"/>
        <w:left w:val="none" w:sz="0" w:space="0" w:color="auto"/>
        <w:bottom w:val="none" w:sz="0" w:space="0" w:color="auto"/>
        <w:right w:val="none" w:sz="0" w:space="0" w:color="auto"/>
      </w:divBdr>
    </w:div>
    <w:div w:id="785269330">
      <w:bodyDiv w:val="1"/>
      <w:marLeft w:val="0"/>
      <w:marRight w:val="0"/>
      <w:marTop w:val="0"/>
      <w:marBottom w:val="0"/>
      <w:divBdr>
        <w:top w:val="none" w:sz="0" w:space="0" w:color="auto"/>
        <w:left w:val="none" w:sz="0" w:space="0" w:color="auto"/>
        <w:bottom w:val="none" w:sz="0" w:space="0" w:color="auto"/>
        <w:right w:val="none" w:sz="0" w:space="0" w:color="auto"/>
      </w:divBdr>
    </w:div>
    <w:div w:id="789980175">
      <w:bodyDiv w:val="1"/>
      <w:marLeft w:val="0"/>
      <w:marRight w:val="0"/>
      <w:marTop w:val="0"/>
      <w:marBottom w:val="0"/>
      <w:divBdr>
        <w:top w:val="none" w:sz="0" w:space="0" w:color="auto"/>
        <w:left w:val="none" w:sz="0" w:space="0" w:color="auto"/>
        <w:bottom w:val="none" w:sz="0" w:space="0" w:color="auto"/>
        <w:right w:val="none" w:sz="0" w:space="0" w:color="auto"/>
      </w:divBdr>
    </w:div>
    <w:div w:id="793253834">
      <w:bodyDiv w:val="1"/>
      <w:marLeft w:val="0"/>
      <w:marRight w:val="0"/>
      <w:marTop w:val="0"/>
      <w:marBottom w:val="0"/>
      <w:divBdr>
        <w:top w:val="none" w:sz="0" w:space="0" w:color="auto"/>
        <w:left w:val="none" w:sz="0" w:space="0" w:color="auto"/>
        <w:bottom w:val="none" w:sz="0" w:space="0" w:color="auto"/>
        <w:right w:val="none" w:sz="0" w:space="0" w:color="auto"/>
      </w:divBdr>
    </w:div>
    <w:div w:id="796534129">
      <w:bodyDiv w:val="1"/>
      <w:marLeft w:val="0"/>
      <w:marRight w:val="0"/>
      <w:marTop w:val="0"/>
      <w:marBottom w:val="0"/>
      <w:divBdr>
        <w:top w:val="none" w:sz="0" w:space="0" w:color="auto"/>
        <w:left w:val="none" w:sz="0" w:space="0" w:color="auto"/>
        <w:bottom w:val="none" w:sz="0" w:space="0" w:color="auto"/>
        <w:right w:val="none" w:sz="0" w:space="0" w:color="auto"/>
      </w:divBdr>
    </w:div>
    <w:div w:id="815681805">
      <w:bodyDiv w:val="1"/>
      <w:marLeft w:val="0"/>
      <w:marRight w:val="0"/>
      <w:marTop w:val="0"/>
      <w:marBottom w:val="0"/>
      <w:divBdr>
        <w:top w:val="none" w:sz="0" w:space="0" w:color="auto"/>
        <w:left w:val="none" w:sz="0" w:space="0" w:color="auto"/>
        <w:bottom w:val="none" w:sz="0" w:space="0" w:color="auto"/>
        <w:right w:val="none" w:sz="0" w:space="0" w:color="auto"/>
      </w:divBdr>
    </w:div>
    <w:div w:id="831219895">
      <w:bodyDiv w:val="1"/>
      <w:marLeft w:val="0"/>
      <w:marRight w:val="0"/>
      <w:marTop w:val="0"/>
      <w:marBottom w:val="0"/>
      <w:divBdr>
        <w:top w:val="none" w:sz="0" w:space="0" w:color="auto"/>
        <w:left w:val="none" w:sz="0" w:space="0" w:color="auto"/>
        <w:bottom w:val="none" w:sz="0" w:space="0" w:color="auto"/>
        <w:right w:val="none" w:sz="0" w:space="0" w:color="auto"/>
      </w:divBdr>
    </w:div>
    <w:div w:id="832798178">
      <w:bodyDiv w:val="1"/>
      <w:marLeft w:val="0"/>
      <w:marRight w:val="0"/>
      <w:marTop w:val="0"/>
      <w:marBottom w:val="0"/>
      <w:divBdr>
        <w:top w:val="none" w:sz="0" w:space="0" w:color="auto"/>
        <w:left w:val="none" w:sz="0" w:space="0" w:color="auto"/>
        <w:bottom w:val="none" w:sz="0" w:space="0" w:color="auto"/>
        <w:right w:val="none" w:sz="0" w:space="0" w:color="auto"/>
      </w:divBdr>
    </w:div>
    <w:div w:id="850266609">
      <w:bodyDiv w:val="1"/>
      <w:marLeft w:val="0"/>
      <w:marRight w:val="0"/>
      <w:marTop w:val="0"/>
      <w:marBottom w:val="0"/>
      <w:divBdr>
        <w:top w:val="none" w:sz="0" w:space="0" w:color="auto"/>
        <w:left w:val="none" w:sz="0" w:space="0" w:color="auto"/>
        <w:bottom w:val="none" w:sz="0" w:space="0" w:color="auto"/>
        <w:right w:val="none" w:sz="0" w:space="0" w:color="auto"/>
      </w:divBdr>
    </w:div>
    <w:div w:id="851451213">
      <w:bodyDiv w:val="1"/>
      <w:marLeft w:val="0"/>
      <w:marRight w:val="0"/>
      <w:marTop w:val="0"/>
      <w:marBottom w:val="0"/>
      <w:divBdr>
        <w:top w:val="none" w:sz="0" w:space="0" w:color="auto"/>
        <w:left w:val="none" w:sz="0" w:space="0" w:color="auto"/>
        <w:bottom w:val="none" w:sz="0" w:space="0" w:color="auto"/>
        <w:right w:val="none" w:sz="0" w:space="0" w:color="auto"/>
      </w:divBdr>
    </w:div>
    <w:div w:id="854733571">
      <w:bodyDiv w:val="1"/>
      <w:marLeft w:val="0"/>
      <w:marRight w:val="0"/>
      <w:marTop w:val="0"/>
      <w:marBottom w:val="0"/>
      <w:divBdr>
        <w:top w:val="none" w:sz="0" w:space="0" w:color="auto"/>
        <w:left w:val="none" w:sz="0" w:space="0" w:color="auto"/>
        <w:bottom w:val="none" w:sz="0" w:space="0" w:color="auto"/>
        <w:right w:val="none" w:sz="0" w:space="0" w:color="auto"/>
      </w:divBdr>
    </w:div>
    <w:div w:id="854734483">
      <w:bodyDiv w:val="1"/>
      <w:marLeft w:val="0"/>
      <w:marRight w:val="0"/>
      <w:marTop w:val="0"/>
      <w:marBottom w:val="0"/>
      <w:divBdr>
        <w:top w:val="none" w:sz="0" w:space="0" w:color="auto"/>
        <w:left w:val="none" w:sz="0" w:space="0" w:color="auto"/>
        <w:bottom w:val="none" w:sz="0" w:space="0" w:color="auto"/>
        <w:right w:val="none" w:sz="0" w:space="0" w:color="auto"/>
      </w:divBdr>
    </w:div>
    <w:div w:id="875308780">
      <w:bodyDiv w:val="1"/>
      <w:marLeft w:val="0"/>
      <w:marRight w:val="0"/>
      <w:marTop w:val="0"/>
      <w:marBottom w:val="0"/>
      <w:divBdr>
        <w:top w:val="none" w:sz="0" w:space="0" w:color="auto"/>
        <w:left w:val="none" w:sz="0" w:space="0" w:color="auto"/>
        <w:bottom w:val="none" w:sz="0" w:space="0" w:color="auto"/>
        <w:right w:val="none" w:sz="0" w:space="0" w:color="auto"/>
      </w:divBdr>
    </w:div>
    <w:div w:id="877006695">
      <w:bodyDiv w:val="1"/>
      <w:marLeft w:val="0"/>
      <w:marRight w:val="0"/>
      <w:marTop w:val="0"/>
      <w:marBottom w:val="0"/>
      <w:divBdr>
        <w:top w:val="none" w:sz="0" w:space="0" w:color="auto"/>
        <w:left w:val="none" w:sz="0" w:space="0" w:color="auto"/>
        <w:bottom w:val="none" w:sz="0" w:space="0" w:color="auto"/>
        <w:right w:val="none" w:sz="0" w:space="0" w:color="auto"/>
      </w:divBdr>
    </w:div>
    <w:div w:id="886646247">
      <w:bodyDiv w:val="1"/>
      <w:marLeft w:val="0"/>
      <w:marRight w:val="0"/>
      <w:marTop w:val="0"/>
      <w:marBottom w:val="0"/>
      <w:divBdr>
        <w:top w:val="none" w:sz="0" w:space="0" w:color="auto"/>
        <w:left w:val="none" w:sz="0" w:space="0" w:color="auto"/>
        <w:bottom w:val="none" w:sz="0" w:space="0" w:color="auto"/>
        <w:right w:val="none" w:sz="0" w:space="0" w:color="auto"/>
      </w:divBdr>
    </w:div>
    <w:div w:id="895241705">
      <w:bodyDiv w:val="1"/>
      <w:marLeft w:val="0"/>
      <w:marRight w:val="0"/>
      <w:marTop w:val="0"/>
      <w:marBottom w:val="0"/>
      <w:divBdr>
        <w:top w:val="none" w:sz="0" w:space="0" w:color="auto"/>
        <w:left w:val="none" w:sz="0" w:space="0" w:color="auto"/>
        <w:bottom w:val="none" w:sz="0" w:space="0" w:color="auto"/>
        <w:right w:val="none" w:sz="0" w:space="0" w:color="auto"/>
      </w:divBdr>
    </w:div>
    <w:div w:id="904875000">
      <w:bodyDiv w:val="1"/>
      <w:marLeft w:val="0"/>
      <w:marRight w:val="0"/>
      <w:marTop w:val="0"/>
      <w:marBottom w:val="0"/>
      <w:divBdr>
        <w:top w:val="none" w:sz="0" w:space="0" w:color="auto"/>
        <w:left w:val="none" w:sz="0" w:space="0" w:color="auto"/>
        <w:bottom w:val="none" w:sz="0" w:space="0" w:color="auto"/>
        <w:right w:val="none" w:sz="0" w:space="0" w:color="auto"/>
      </w:divBdr>
    </w:div>
    <w:div w:id="910892323">
      <w:bodyDiv w:val="1"/>
      <w:marLeft w:val="0"/>
      <w:marRight w:val="0"/>
      <w:marTop w:val="0"/>
      <w:marBottom w:val="0"/>
      <w:divBdr>
        <w:top w:val="none" w:sz="0" w:space="0" w:color="auto"/>
        <w:left w:val="none" w:sz="0" w:space="0" w:color="auto"/>
        <w:bottom w:val="none" w:sz="0" w:space="0" w:color="auto"/>
        <w:right w:val="none" w:sz="0" w:space="0" w:color="auto"/>
      </w:divBdr>
    </w:div>
    <w:div w:id="913007100">
      <w:bodyDiv w:val="1"/>
      <w:marLeft w:val="0"/>
      <w:marRight w:val="0"/>
      <w:marTop w:val="0"/>
      <w:marBottom w:val="0"/>
      <w:divBdr>
        <w:top w:val="none" w:sz="0" w:space="0" w:color="auto"/>
        <w:left w:val="none" w:sz="0" w:space="0" w:color="auto"/>
        <w:bottom w:val="none" w:sz="0" w:space="0" w:color="auto"/>
        <w:right w:val="none" w:sz="0" w:space="0" w:color="auto"/>
      </w:divBdr>
    </w:div>
    <w:div w:id="916286478">
      <w:bodyDiv w:val="1"/>
      <w:marLeft w:val="0"/>
      <w:marRight w:val="0"/>
      <w:marTop w:val="0"/>
      <w:marBottom w:val="0"/>
      <w:divBdr>
        <w:top w:val="none" w:sz="0" w:space="0" w:color="auto"/>
        <w:left w:val="none" w:sz="0" w:space="0" w:color="auto"/>
        <w:bottom w:val="none" w:sz="0" w:space="0" w:color="auto"/>
        <w:right w:val="none" w:sz="0" w:space="0" w:color="auto"/>
      </w:divBdr>
    </w:div>
    <w:div w:id="920259184">
      <w:bodyDiv w:val="1"/>
      <w:marLeft w:val="0"/>
      <w:marRight w:val="0"/>
      <w:marTop w:val="0"/>
      <w:marBottom w:val="0"/>
      <w:divBdr>
        <w:top w:val="none" w:sz="0" w:space="0" w:color="auto"/>
        <w:left w:val="none" w:sz="0" w:space="0" w:color="auto"/>
        <w:bottom w:val="none" w:sz="0" w:space="0" w:color="auto"/>
        <w:right w:val="none" w:sz="0" w:space="0" w:color="auto"/>
      </w:divBdr>
    </w:div>
    <w:div w:id="920531775">
      <w:bodyDiv w:val="1"/>
      <w:marLeft w:val="0"/>
      <w:marRight w:val="0"/>
      <w:marTop w:val="0"/>
      <w:marBottom w:val="0"/>
      <w:divBdr>
        <w:top w:val="none" w:sz="0" w:space="0" w:color="auto"/>
        <w:left w:val="none" w:sz="0" w:space="0" w:color="auto"/>
        <w:bottom w:val="none" w:sz="0" w:space="0" w:color="auto"/>
        <w:right w:val="none" w:sz="0" w:space="0" w:color="auto"/>
      </w:divBdr>
    </w:div>
    <w:div w:id="927272621">
      <w:bodyDiv w:val="1"/>
      <w:marLeft w:val="0"/>
      <w:marRight w:val="0"/>
      <w:marTop w:val="0"/>
      <w:marBottom w:val="0"/>
      <w:divBdr>
        <w:top w:val="none" w:sz="0" w:space="0" w:color="auto"/>
        <w:left w:val="none" w:sz="0" w:space="0" w:color="auto"/>
        <w:bottom w:val="none" w:sz="0" w:space="0" w:color="auto"/>
        <w:right w:val="none" w:sz="0" w:space="0" w:color="auto"/>
      </w:divBdr>
    </w:div>
    <w:div w:id="932010382">
      <w:bodyDiv w:val="1"/>
      <w:marLeft w:val="0"/>
      <w:marRight w:val="0"/>
      <w:marTop w:val="0"/>
      <w:marBottom w:val="0"/>
      <w:divBdr>
        <w:top w:val="none" w:sz="0" w:space="0" w:color="auto"/>
        <w:left w:val="none" w:sz="0" w:space="0" w:color="auto"/>
        <w:bottom w:val="none" w:sz="0" w:space="0" w:color="auto"/>
        <w:right w:val="none" w:sz="0" w:space="0" w:color="auto"/>
      </w:divBdr>
    </w:div>
    <w:div w:id="936906570">
      <w:bodyDiv w:val="1"/>
      <w:marLeft w:val="0"/>
      <w:marRight w:val="0"/>
      <w:marTop w:val="0"/>
      <w:marBottom w:val="0"/>
      <w:divBdr>
        <w:top w:val="none" w:sz="0" w:space="0" w:color="auto"/>
        <w:left w:val="none" w:sz="0" w:space="0" w:color="auto"/>
        <w:bottom w:val="none" w:sz="0" w:space="0" w:color="auto"/>
        <w:right w:val="none" w:sz="0" w:space="0" w:color="auto"/>
      </w:divBdr>
    </w:div>
    <w:div w:id="938830802">
      <w:bodyDiv w:val="1"/>
      <w:marLeft w:val="0"/>
      <w:marRight w:val="0"/>
      <w:marTop w:val="0"/>
      <w:marBottom w:val="0"/>
      <w:divBdr>
        <w:top w:val="none" w:sz="0" w:space="0" w:color="auto"/>
        <w:left w:val="none" w:sz="0" w:space="0" w:color="auto"/>
        <w:bottom w:val="none" w:sz="0" w:space="0" w:color="auto"/>
        <w:right w:val="none" w:sz="0" w:space="0" w:color="auto"/>
      </w:divBdr>
    </w:div>
    <w:div w:id="939027010">
      <w:bodyDiv w:val="1"/>
      <w:marLeft w:val="0"/>
      <w:marRight w:val="0"/>
      <w:marTop w:val="0"/>
      <w:marBottom w:val="0"/>
      <w:divBdr>
        <w:top w:val="none" w:sz="0" w:space="0" w:color="auto"/>
        <w:left w:val="none" w:sz="0" w:space="0" w:color="auto"/>
        <w:bottom w:val="none" w:sz="0" w:space="0" w:color="auto"/>
        <w:right w:val="none" w:sz="0" w:space="0" w:color="auto"/>
      </w:divBdr>
    </w:div>
    <w:div w:id="939030240">
      <w:bodyDiv w:val="1"/>
      <w:marLeft w:val="0"/>
      <w:marRight w:val="0"/>
      <w:marTop w:val="0"/>
      <w:marBottom w:val="0"/>
      <w:divBdr>
        <w:top w:val="none" w:sz="0" w:space="0" w:color="auto"/>
        <w:left w:val="none" w:sz="0" w:space="0" w:color="auto"/>
        <w:bottom w:val="none" w:sz="0" w:space="0" w:color="auto"/>
        <w:right w:val="none" w:sz="0" w:space="0" w:color="auto"/>
      </w:divBdr>
    </w:div>
    <w:div w:id="942031662">
      <w:bodyDiv w:val="1"/>
      <w:marLeft w:val="0"/>
      <w:marRight w:val="0"/>
      <w:marTop w:val="0"/>
      <w:marBottom w:val="0"/>
      <w:divBdr>
        <w:top w:val="none" w:sz="0" w:space="0" w:color="auto"/>
        <w:left w:val="none" w:sz="0" w:space="0" w:color="auto"/>
        <w:bottom w:val="none" w:sz="0" w:space="0" w:color="auto"/>
        <w:right w:val="none" w:sz="0" w:space="0" w:color="auto"/>
      </w:divBdr>
    </w:div>
    <w:div w:id="946355651">
      <w:bodyDiv w:val="1"/>
      <w:marLeft w:val="0"/>
      <w:marRight w:val="0"/>
      <w:marTop w:val="0"/>
      <w:marBottom w:val="0"/>
      <w:divBdr>
        <w:top w:val="none" w:sz="0" w:space="0" w:color="auto"/>
        <w:left w:val="none" w:sz="0" w:space="0" w:color="auto"/>
        <w:bottom w:val="none" w:sz="0" w:space="0" w:color="auto"/>
        <w:right w:val="none" w:sz="0" w:space="0" w:color="auto"/>
      </w:divBdr>
    </w:div>
    <w:div w:id="949165650">
      <w:bodyDiv w:val="1"/>
      <w:marLeft w:val="0"/>
      <w:marRight w:val="0"/>
      <w:marTop w:val="0"/>
      <w:marBottom w:val="0"/>
      <w:divBdr>
        <w:top w:val="none" w:sz="0" w:space="0" w:color="auto"/>
        <w:left w:val="none" w:sz="0" w:space="0" w:color="auto"/>
        <w:bottom w:val="none" w:sz="0" w:space="0" w:color="auto"/>
        <w:right w:val="none" w:sz="0" w:space="0" w:color="auto"/>
      </w:divBdr>
    </w:div>
    <w:div w:id="950092732">
      <w:bodyDiv w:val="1"/>
      <w:marLeft w:val="0"/>
      <w:marRight w:val="0"/>
      <w:marTop w:val="0"/>
      <w:marBottom w:val="0"/>
      <w:divBdr>
        <w:top w:val="none" w:sz="0" w:space="0" w:color="auto"/>
        <w:left w:val="none" w:sz="0" w:space="0" w:color="auto"/>
        <w:bottom w:val="none" w:sz="0" w:space="0" w:color="auto"/>
        <w:right w:val="none" w:sz="0" w:space="0" w:color="auto"/>
      </w:divBdr>
    </w:div>
    <w:div w:id="953170060">
      <w:bodyDiv w:val="1"/>
      <w:marLeft w:val="0"/>
      <w:marRight w:val="0"/>
      <w:marTop w:val="0"/>
      <w:marBottom w:val="0"/>
      <w:divBdr>
        <w:top w:val="none" w:sz="0" w:space="0" w:color="auto"/>
        <w:left w:val="none" w:sz="0" w:space="0" w:color="auto"/>
        <w:bottom w:val="none" w:sz="0" w:space="0" w:color="auto"/>
        <w:right w:val="none" w:sz="0" w:space="0" w:color="auto"/>
      </w:divBdr>
    </w:div>
    <w:div w:id="955528897">
      <w:bodyDiv w:val="1"/>
      <w:marLeft w:val="0"/>
      <w:marRight w:val="0"/>
      <w:marTop w:val="0"/>
      <w:marBottom w:val="0"/>
      <w:divBdr>
        <w:top w:val="none" w:sz="0" w:space="0" w:color="auto"/>
        <w:left w:val="none" w:sz="0" w:space="0" w:color="auto"/>
        <w:bottom w:val="none" w:sz="0" w:space="0" w:color="auto"/>
        <w:right w:val="none" w:sz="0" w:space="0" w:color="auto"/>
      </w:divBdr>
    </w:div>
    <w:div w:id="958727667">
      <w:bodyDiv w:val="1"/>
      <w:marLeft w:val="0"/>
      <w:marRight w:val="0"/>
      <w:marTop w:val="0"/>
      <w:marBottom w:val="0"/>
      <w:divBdr>
        <w:top w:val="none" w:sz="0" w:space="0" w:color="auto"/>
        <w:left w:val="none" w:sz="0" w:space="0" w:color="auto"/>
        <w:bottom w:val="none" w:sz="0" w:space="0" w:color="auto"/>
        <w:right w:val="none" w:sz="0" w:space="0" w:color="auto"/>
      </w:divBdr>
    </w:div>
    <w:div w:id="962619771">
      <w:bodyDiv w:val="1"/>
      <w:marLeft w:val="0"/>
      <w:marRight w:val="0"/>
      <w:marTop w:val="0"/>
      <w:marBottom w:val="0"/>
      <w:divBdr>
        <w:top w:val="none" w:sz="0" w:space="0" w:color="auto"/>
        <w:left w:val="none" w:sz="0" w:space="0" w:color="auto"/>
        <w:bottom w:val="none" w:sz="0" w:space="0" w:color="auto"/>
        <w:right w:val="none" w:sz="0" w:space="0" w:color="auto"/>
      </w:divBdr>
    </w:div>
    <w:div w:id="963734117">
      <w:bodyDiv w:val="1"/>
      <w:marLeft w:val="0"/>
      <w:marRight w:val="0"/>
      <w:marTop w:val="0"/>
      <w:marBottom w:val="0"/>
      <w:divBdr>
        <w:top w:val="none" w:sz="0" w:space="0" w:color="auto"/>
        <w:left w:val="none" w:sz="0" w:space="0" w:color="auto"/>
        <w:bottom w:val="none" w:sz="0" w:space="0" w:color="auto"/>
        <w:right w:val="none" w:sz="0" w:space="0" w:color="auto"/>
      </w:divBdr>
    </w:div>
    <w:div w:id="988442338">
      <w:bodyDiv w:val="1"/>
      <w:marLeft w:val="0"/>
      <w:marRight w:val="0"/>
      <w:marTop w:val="0"/>
      <w:marBottom w:val="0"/>
      <w:divBdr>
        <w:top w:val="none" w:sz="0" w:space="0" w:color="auto"/>
        <w:left w:val="none" w:sz="0" w:space="0" w:color="auto"/>
        <w:bottom w:val="none" w:sz="0" w:space="0" w:color="auto"/>
        <w:right w:val="none" w:sz="0" w:space="0" w:color="auto"/>
      </w:divBdr>
    </w:div>
    <w:div w:id="993485724">
      <w:bodyDiv w:val="1"/>
      <w:marLeft w:val="0"/>
      <w:marRight w:val="0"/>
      <w:marTop w:val="0"/>
      <w:marBottom w:val="0"/>
      <w:divBdr>
        <w:top w:val="none" w:sz="0" w:space="0" w:color="auto"/>
        <w:left w:val="none" w:sz="0" w:space="0" w:color="auto"/>
        <w:bottom w:val="none" w:sz="0" w:space="0" w:color="auto"/>
        <w:right w:val="none" w:sz="0" w:space="0" w:color="auto"/>
      </w:divBdr>
    </w:div>
    <w:div w:id="993528089">
      <w:bodyDiv w:val="1"/>
      <w:marLeft w:val="0"/>
      <w:marRight w:val="0"/>
      <w:marTop w:val="0"/>
      <w:marBottom w:val="0"/>
      <w:divBdr>
        <w:top w:val="none" w:sz="0" w:space="0" w:color="auto"/>
        <w:left w:val="none" w:sz="0" w:space="0" w:color="auto"/>
        <w:bottom w:val="none" w:sz="0" w:space="0" w:color="auto"/>
        <w:right w:val="none" w:sz="0" w:space="0" w:color="auto"/>
      </w:divBdr>
    </w:div>
    <w:div w:id="996491753">
      <w:bodyDiv w:val="1"/>
      <w:marLeft w:val="0"/>
      <w:marRight w:val="0"/>
      <w:marTop w:val="0"/>
      <w:marBottom w:val="0"/>
      <w:divBdr>
        <w:top w:val="none" w:sz="0" w:space="0" w:color="auto"/>
        <w:left w:val="none" w:sz="0" w:space="0" w:color="auto"/>
        <w:bottom w:val="none" w:sz="0" w:space="0" w:color="auto"/>
        <w:right w:val="none" w:sz="0" w:space="0" w:color="auto"/>
      </w:divBdr>
    </w:div>
    <w:div w:id="998458345">
      <w:bodyDiv w:val="1"/>
      <w:marLeft w:val="0"/>
      <w:marRight w:val="0"/>
      <w:marTop w:val="0"/>
      <w:marBottom w:val="0"/>
      <w:divBdr>
        <w:top w:val="none" w:sz="0" w:space="0" w:color="auto"/>
        <w:left w:val="none" w:sz="0" w:space="0" w:color="auto"/>
        <w:bottom w:val="none" w:sz="0" w:space="0" w:color="auto"/>
        <w:right w:val="none" w:sz="0" w:space="0" w:color="auto"/>
      </w:divBdr>
    </w:div>
    <w:div w:id="999576798">
      <w:bodyDiv w:val="1"/>
      <w:marLeft w:val="0"/>
      <w:marRight w:val="0"/>
      <w:marTop w:val="0"/>
      <w:marBottom w:val="0"/>
      <w:divBdr>
        <w:top w:val="none" w:sz="0" w:space="0" w:color="auto"/>
        <w:left w:val="none" w:sz="0" w:space="0" w:color="auto"/>
        <w:bottom w:val="none" w:sz="0" w:space="0" w:color="auto"/>
        <w:right w:val="none" w:sz="0" w:space="0" w:color="auto"/>
      </w:divBdr>
    </w:div>
    <w:div w:id="999579369">
      <w:bodyDiv w:val="1"/>
      <w:marLeft w:val="0"/>
      <w:marRight w:val="0"/>
      <w:marTop w:val="0"/>
      <w:marBottom w:val="0"/>
      <w:divBdr>
        <w:top w:val="none" w:sz="0" w:space="0" w:color="auto"/>
        <w:left w:val="none" w:sz="0" w:space="0" w:color="auto"/>
        <w:bottom w:val="none" w:sz="0" w:space="0" w:color="auto"/>
        <w:right w:val="none" w:sz="0" w:space="0" w:color="auto"/>
      </w:divBdr>
    </w:div>
    <w:div w:id="1029993928">
      <w:bodyDiv w:val="1"/>
      <w:marLeft w:val="0"/>
      <w:marRight w:val="0"/>
      <w:marTop w:val="0"/>
      <w:marBottom w:val="0"/>
      <w:divBdr>
        <w:top w:val="none" w:sz="0" w:space="0" w:color="auto"/>
        <w:left w:val="none" w:sz="0" w:space="0" w:color="auto"/>
        <w:bottom w:val="none" w:sz="0" w:space="0" w:color="auto"/>
        <w:right w:val="none" w:sz="0" w:space="0" w:color="auto"/>
      </w:divBdr>
    </w:div>
    <w:div w:id="1032000277">
      <w:bodyDiv w:val="1"/>
      <w:marLeft w:val="0"/>
      <w:marRight w:val="0"/>
      <w:marTop w:val="0"/>
      <w:marBottom w:val="0"/>
      <w:divBdr>
        <w:top w:val="none" w:sz="0" w:space="0" w:color="auto"/>
        <w:left w:val="none" w:sz="0" w:space="0" w:color="auto"/>
        <w:bottom w:val="none" w:sz="0" w:space="0" w:color="auto"/>
        <w:right w:val="none" w:sz="0" w:space="0" w:color="auto"/>
      </w:divBdr>
    </w:div>
    <w:div w:id="1034110898">
      <w:bodyDiv w:val="1"/>
      <w:marLeft w:val="0"/>
      <w:marRight w:val="0"/>
      <w:marTop w:val="0"/>
      <w:marBottom w:val="0"/>
      <w:divBdr>
        <w:top w:val="none" w:sz="0" w:space="0" w:color="auto"/>
        <w:left w:val="none" w:sz="0" w:space="0" w:color="auto"/>
        <w:bottom w:val="none" w:sz="0" w:space="0" w:color="auto"/>
        <w:right w:val="none" w:sz="0" w:space="0" w:color="auto"/>
      </w:divBdr>
    </w:div>
    <w:div w:id="1034504114">
      <w:bodyDiv w:val="1"/>
      <w:marLeft w:val="0"/>
      <w:marRight w:val="0"/>
      <w:marTop w:val="0"/>
      <w:marBottom w:val="0"/>
      <w:divBdr>
        <w:top w:val="none" w:sz="0" w:space="0" w:color="auto"/>
        <w:left w:val="none" w:sz="0" w:space="0" w:color="auto"/>
        <w:bottom w:val="none" w:sz="0" w:space="0" w:color="auto"/>
        <w:right w:val="none" w:sz="0" w:space="0" w:color="auto"/>
      </w:divBdr>
    </w:div>
    <w:div w:id="1036155823">
      <w:bodyDiv w:val="1"/>
      <w:marLeft w:val="0"/>
      <w:marRight w:val="0"/>
      <w:marTop w:val="0"/>
      <w:marBottom w:val="0"/>
      <w:divBdr>
        <w:top w:val="none" w:sz="0" w:space="0" w:color="auto"/>
        <w:left w:val="none" w:sz="0" w:space="0" w:color="auto"/>
        <w:bottom w:val="none" w:sz="0" w:space="0" w:color="auto"/>
        <w:right w:val="none" w:sz="0" w:space="0" w:color="auto"/>
      </w:divBdr>
    </w:div>
    <w:div w:id="1037466192">
      <w:bodyDiv w:val="1"/>
      <w:marLeft w:val="0"/>
      <w:marRight w:val="0"/>
      <w:marTop w:val="0"/>
      <w:marBottom w:val="0"/>
      <w:divBdr>
        <w:top w:val="none" w:sz="0" w:space="0" w:color="auto"/>
        <w:left w:val="none" w:sz="0" w:space="0" w:color="auto"/>
        <w:bottom w:val="none" w:sz="0" w:space="0" w:color="auto"/>
        <w:right w:val="none" w:sz="0" w:space="0" w:color="auto"/>
      </w:divBdr>
    </w:div>
    <w:div w:id="1038699279">
      <w:bodyDiv w:val="1"/>
      <w:marLeft w:val="0"/>
      <w:marRight w:val="0"/>
      <w:marTop w:val="0"/>
      <w:marBottom w:val="0"/>
      <w:divBdr>
        <w:top w:val="none" w:sz="0" w:space="0" w:color="auto"/>
        <w:left w:val="none" w:sz="0" w:space="0" w:color="auto"/>
        <w:bottom w:val="none" w:sz="0" w:space="0" w:color="auto"/>
        <w:right w:val="none" w:sz="0" w:space="0" w:color="auto"/>
      </w:divBdr>
    </w:div>
    <w:div w:id="1042823599">
      <w:bodyDiv w:val="1"/>
      <w:marLeft w:val="0"/>
      <w:marRight w:val="0"/>
      <w:marTop w:val="0"/>
      <w:marBottom w:val="0"/>
      <w:divBdr>
        <w:top w:val="none" w:sz="0" w:space="0" w:color="auto"/>
        <w:left w:val="none" w:sz="0" w:space="0" w:color="auto"/>
        <w:bottom w:val="none" w:sz="0" w:space="0" w:color="auto"/>
        <w:right w:val="none" w:sz="0" w:space="0" w:color="auto"/>
      </w:divBdr>
    </w:div>
    <w:div w:id="1079013200">
      <w:bodyDiv w:val="1"/>
      <w:marLeft w:val="0"/>
      <w:marRight w:val="0"/>
      <w:marTop w:val="0"/>
      <w:marBottom w:val="0"/>
      <w:divBdr>
        <w:top w:val="none" w:sz="0" w:space="0" w:color="auto"/>
        <w:left w:val="none" w:sz="0" w:space="0" w:color="auto"/>
        <w:bottom w:val="none" w:sz="0" w:space="0" w:color="auto"/>
        <w:right w:val="none" w:sz="0" w:space="0" w:color="auto"/>
      </w:divBdr>
    </w:div>
    <w:div w:id="1080326356">
      <w:bodyDiv w:val="1"/>
      <w:marLeft w:val="0"/>
      <w:marRight w:val="0"/>
      <w:marTop w:val="0"/>
      <w:marBottom w:val="0"/>
      <w:divBdr>
        <w:top w:val="none" w:sz="0" w:space="0" w:color="auto"/>
        <w:left w:val="none" w:sz="0" w:space="0" w:color="auto"/>
        <w:bottom w:val="none" w:sz="0" w:space="0" w:color="auto"/>
        <w:right w:val="none" w:sz="0" w:space="0" w:color="auto"/>
      </w:divBdr>
    </w:div>
    <w:div w:id="1082722277">
      <w:bodyDiv w:val="1"/>
      <w:marLeft w:val="0"/>
      <w:marRight w:val="0"/>
      <w:marTop w:val="0"/>
      <w:marBottom w:val="0"/>
      <w:divBdr>
        <w:top w:val="none" w:sz="0" w:space="0" w:color="auto"/>
        <w:left w:val="none" w:sz="0" w:space="0" w:color="auto"/>
        <w:bottom w:val="none" w:sz="0" w:space="0" w:color="auto"/>
        <w:right w:val="none" w:sz="0" w:space="0" w:color="auto"/>
      </w:divBdr>
    </w:div>
    <w:div w:id="1085489993">
      <w:bodyDiv w:val="1"/>
      <w:marLeft w:val="0"/>
      <w:marRight w:val="0"/>
      <w:marTop w:val="0"/>
      <w:marBottom w:val="0"/>
      <w:divBdr>
        <w:top w:val="none" w:sz="0" w:space="0" w:color="auto"/>
        <w:left w:val="none" w:sz="0" w:space="0" w:color="auto"/>
        <w:bottom w:val="none" w:sz="0" w:space="0" w:color="auto"/>
        <w:right w:val="none" w:sz="0" w:space="0" w:color="auto"/>
      </w:divBdr>
    </w:div>
    <w:div w:id="1088229923">
      <w:bodyDiv w:val="1"/>
      <w:marLeft w:val="0"/>
      <w:marRight w:val="0"/>
      <w:marTop w:val="0"/>
      <w:marBottom w:val="0"/>
      <w:divBdr>
        <w:top w:val="none" w:sz="0" w:space="0" w:color="auto"/>
        <w:left w:val="none" w:sz="0" w:space="0" w:color="auto"/>
        <w:bottom w:val="none" w:sz="0" w:space="0" w:color="auto"/>
        <w:right w:val="none" w:sz="0" w:space="0" w:color="auto"/>
      </w:divBdr>
    </w:div>
    <w:div w:id="1096176649">
      <w:bodyDiv w:val="1"/>
      <w:marLeft w:val="0"/>
      <w:marRight w:val="0"/>
      <w:marTop w:val="0"/>
      <w:marBottom w:val="0"/>
      <w:divBdr>
        <w:top w:val="none" w:sz="0" w:space="0" w:color="auto"/>
        <w:left w:val="none" w:sz="0" w:space="0" w:color="auto"/>
        <w:bottom w:val="none" w:sz="0" w:space="0" w:color="auto"/>
        <w:right w:val="none" w:sz="0" w:space="0" w:color="auto"/>
      </w:divBdr>
    </w:div>
    <w:div w:id="1097940498">
      <w:bodyDiv w:val="1"/>
      <w:marLeft w:val="0"/>
      <w:marRight w:val="0"/>
      <w:marTop w:val="0"/>
      <w:marBottom w:val="0"/>
      <w:divBdr>
        <w:top w:val="none" w:sz="0" w:space="0" w:color="auto"/>
        <w:left w:val="none" w:sz="0" w:space="0" w:color="auto"/>
        <w:bottom w:val="none" w:sz="0" w:space="0" w:color="auto"/>
        <w:right w:val="none" w:sz="0" w:space="0" w:color="auto"/>
      </w:divBdr>
    </w:div>
    <w:div w:id="1101417266">
      <w:bodyDiv w:val="1"/>
      <w:marLeft w:val="0"/>
      <w:marRight w:val="0"/>
      <w:marTop w:val="0"/>
      <w:marBottom w:val="0"/>
      <w:divBdr>
        <w:top w:val="none" w:sz="0" w:space="0" w:color="auto"/>
        <w:left w:val="none" w:sz="0" w:space="0" w:color="auto"/>
        <w:bottom w:val="none" w:sz="0" w:space="0" w:color="auto"/>
        <w:right w:val="none" w:sz="0" w:space="0" w:color="auto"/>
      </w:divBdr>
    </w:div>
    <w:div w:id="1111046997">
      <w:bodyDiv w:val="1"/>
      <w:marLeft w:val="0"/>
      <w:marRight w:val="0"/>
      <w:marTop w:val="0"/>
      <w:marBottom w:val="0"/>
      <w:divBdr>
        <w:top w:val="none" w:sz="0" w:space="0" w:color="auto"/>
        <w:left w:val="none" w:sz="0" w:space="0" w:color="auto"/>
        <w:bottom w:val="none" w:sz="0" w:space="0" w:color="auto"/>
        <w:right w:val="none" w:sz="0" w:space="0" w:color="auto"/>
      </w:divBdr>
    </w:div>
    <w:div w:id="1116019147">
      <w:bodyDiv w:val="1"/>
      <w:marLeft w:val="0"/>
      <w:marRight w:val="0"/>
      <w:marTop w:val="0"/>
      <w:marBottom w:val="0"/>
      <w:divBdr>
        <w:top w:val="none" w:sz="0" w:space="0" w:color="auto"/>
        <w:left w:val="none" w:sz="0" w:space="0" w:color="auto"/>
        <w:bottom w:val="none" w:sz="0" w:space="0" w:color="auto"/>
        <w:right w:val="none" w:sz="0" w:space="0" w:color="auto"/>
      </w:divBdr>
    </w:div>
    <w:div w:id="1127240733">
      <w:bodyDiv w:val="1"/>
      <w:marLeft w:val="0"/>
      <w:marRight w:val="0"/>
      <w:marTop w:val="0"/>
      <w:marBottom w:val="0"/>
      <w:divBdr>
        <w:top w:val="none" w:sz="0" w:space="0" w:color="auto"/>
        <w:left w:val="none" w:sz="0" w:space="0" w:color="auto"/>
        <w:bottom w:val="none" w:sz="0" w:space="0" w:color="auto"/>
        <w:right w:val="none" w:sz="0" w:space="0" w:color="auto"/>
      </w:divBdr>
    </w:div>
    <w:div w:id="1128939653">
      <w:bodyDiv w:val="1"/>
      <w:marLeft w:val="0"/>
      <w:marRight w:val="0"/>
      <w:marTop w:val="0"/>
      <w:marBottom w:val="0"/>
      <w:divBdr>
        <w:top w:val="none" w:sz="0" w:space="0" w:color="auto"/>
        <w:left w:val="none" w:sz="0" w:space="0" w:color="auto"/>
        <w:bottom w:val="none" w:sz="0" w:space="0" w:color="auto"/>
        <w:right w:val="none" w:sz="0" w:space="0" w:color="auto"/>
      </w:divBdr>
    </w:div>
    <w:div w:id="1146320496">
      <w:bodyDiv w:val="1"/>
      <w:marLeft w:val="0"/>
      <w:marRight w:val="0"/>
      <w:marTop w:val="0"/>
      <w:marBottom w:val="0"/>
      <w:divBdr>
        <w:top w:val="none" w:sz="0" w:space="0" w:color="auto"/>
        <w:left w:val="none" w:sz="0" w:space="0" w:color="auto"/>
        <w:bottom w:val="none" w:sz="0" w:space="0" w:color="auto"/>
        <w:right w:val="none" w:sz="0" w:space="0" w:color="auto"/>
      </w:divBdr>
    </w:div>
    <w:div w:id="1154880322">
      <w:bodyDiv w:val="1"/>
      <w:marLeft w:val="0"/>
      <w:marRight w:val="0"/>
      <w:marTop w:val="0"/>
      <w:marBottom w:val="0"/>
      <w:divBdr>
        <w:top w:val="none" w:sz="0" w:space="0" w:color="auto"/>
        <w:left w:val="none" w:sz="0" w:space="0" w:color="auto"/>
        <w:bottom w:val="none" w:sz="0" w:space="0" w:color="auto"/>
        <w:right w:val="none" w:sz="0" w:space="0" w:color="auto"/>
      </w:divBdr>
    </w:div>
    <w:div w:id="1160003621">
      <w:bodyDiv w:val="1"/>
      <w:marLeft w:val="0"/>
      <w:marRight w:val="0"/>
      <w:marTop w:val="0"/>
      <w:marBottom w:val="0"/>
      <w:divBdr>
        <w:top w:val="none" w:sz="0" w:space="0" w:color="auto"/>
        <w:left w:val="none" w:sz="0" w:space="0" w:color="auto"/>
        <w:bottom w:val="none" w:sz="0" w:space="0" w:color="auto"/>
        <w:right w:val="none" w:sz="0" w:space="0" w:color="auto"/>
      </w:divBdr>
    </w:div>
    <w:div w:id="1163619436">
      <w:bodyDiv w:val="1"/>
      <w:marLeft w:val="0"/>
      <w:marRight w:val="0"/>
      <w:marTop w:val="0"/>
      <w:marBottom w:val="0"/>
      <w:divBdr>
        <w:top w:val="none" w:sz="0" w:space="0" w:color="auto"/>
        <w:left w:val="none" w:sz="0" w:space="0" w:color="auto"/>
        <w:bottom w:val="none" w:sz="0" w:space="0" w:color="auto"/>
        <w:right w:val="none" w:sz="0" w:space="0" w:color="auto"/>
      </w:divBdr>
    </w:div>
    <w:div w:id="1169255277">
      <w:bodyDiv w:val="1"/>
      <w:marLeft w:val="0"/>
      <w:marRight w:val="0"/>
      <w:marTop w:val="0"/>
      <w:marBottom w:val="0"/>
      <w:divBdr>
        <w:top w:val="none" w:sz="0" w:space="0" w:color="auto"/>
        <w:left w:val="none" w:sz="0" w:space="0" w:color="auto"/>
        <w:bottom w:val="none" w:sz="0" w:space="0" w:color="auto"/>
        <w:right w:val="none" w:sz="0" w:space="0" w:color="auto"/>
      </w:divBdr>
    </w:div>
    <w:div w:id="1174763909">
      <w:bodyDiv w:val="1"/>
      <w:marLeft w:val="0"/>
      <w:marRight w:val="0"/>
      <w:marTop w:val="0"/>
      <w:marBottom w:val="0"/>
      <w:divBdr>
        <w:top w:val="none" w:sz="0" w:space="0" w:color="auto"/>
        <w:left w:val="none" w:sz="0" w:space="0" w:color="auto"/>
        <w:bottom w:val="none" w:sz="0" w:space="0" w:color="auto"/>
        <w:right w:val="none" w:sz="0" w:space="0" w:color="auto"/>
      </w:divBdr>
    </w:div>
    <w:div w:id="1178227947">
      <w:bodyDiv w:val="1"/>
      <w:marLeft w:val="0"/>
      <w:marRight w:val="0"/>
      <w:marTop w:val="0"/>
      <w:marBottom w:val="0"/>
      <w:divBdr>
        <w:top w:val="none" w:sz="0" w:space="0" w:color="auto"/>
        <w:left w:val="none" w:sz="0" w:space="0" w:color="auto"/>
        <w:bottom w:val="none" w:sz="0" w:space="0" w:color="auto"/>
        <w:right w:val="none" w:sz="0" w:space="0" w:color="auto"/>
      </w:divBdr>
    </w:div>
    <w:div w:id="1178538980">
      <w:bodyDiv w:val="1"/>
      <w:marLeft w:val="0"/>
      <w:marRight w:val="0"/>
      <w:marTop w:val="0"/>
      <w:marBottom w:val="0"/>
      <w:divBdr>
        <w:top w:val="none" w:sz="0" w:space="0" w:color="auto"/>
        <w:left w:val="none" w:sz="0" w:space="0" w:color="auto"/>
        <w:bottom w:val="none" w:sz="0" w:space="0" w:color="auto"/>
        <w:right w:val="none" w:sz="0" w:space="0" w:color="auto"/>
      </w:divBdr>
    </w:div>
    <w:div w:id="1186670700">
      <w:bodyDiv w:val="1"/>
      <w:marLeft w:val="0"/>
      <w:marRight w:val="0"/>
      <w:marTop w:val="0"/>
      <w:marBottom w:val="0"/>
      <w:divBdr>
        <w:top w:val="none" w:sz="0" w:space="0" w:color="auto"/>
        <w:left w:val="none" w:sz="0" w:space="0" w:color="auto"/>
        <w:bottom w:val="none" w:sz="0" w:space="0" w:color="auto"/>
        <w:right w:val="none" w:sz="0" w:space="0" w:color="auto"/>
      </w:divBdr>
    </w:div>
    <w:div w:id="1195268913">
      <w:bodyDiv w:val="1"/>
      <w:marLeft w:val="0"/>
      <w:marRight w:val="0"/>
      <w:marTop w:val="0"/>
      <w:marBottom w:val="0"/>
      <w:divBdr>
        <w:top w:val="none" w:sz="0" w:space="0" w:color="auto"/>
        <w:left w:val="none" w:sz="0" w:space="0" w:color="auto"/>
        <w:bottom w:val="none" w:sz="0" w:space="0" w:color="auto"/>
        <w:right w:val="none" w:sz="0" w:space="0" w:color="auto"/>
      </w:divBdr>
    </w:div>
    <w:div w:id="1198010499">
      <w:bodyDiv w:val="1"/>
      <w:marLeft w:val="0"/>
      <w:marRight w:val="0"/>
      <w:marTop w:val="0"/>
      <w:marBottom w:val="0"/>
      <w:divBdr>
        <w:top w:val="none" w:sz="0" w:space="0" w:color="auto"/>
        <w:left w:val="none" w:sz="0" w:space="0" w:color="auto"/>
        <w:bottom w:val="none" w:sz="0" w:space="0" w:color="auto"/>
        <w:right w:val="none" w:sz="0" w:space="0" w:color="auto"/>
      </w:divBdr>
    </w:div>
    <w:div w:id="1198855864">
      <w:bodyDiv w:val="1"/>
      <w:marLeft w:val="0"/>
      <w:marRight w:val="0"/>
      <w:marTop w:val="0"/>
      <w:marBottom w:val="0"/>
      <w:divBdr>
        <w:top w:val="none" w:sz="0" w:space="0" w:color="auto"/>
        <w:left w:val="none" w:sz="0" w:space="0" w:color="auto"/>
        <w:bottom w:val="none" w:sz="0" w:space="0" w:color="auto"/>
        <w:right w:val="none" w:sz="0" w:space="0" w:color="auto"/>
      </w:divBdr>
    </w:div>
    <w:div w:id="1199663529">
      <w:bodyDiv w:val="1"/>
      <w:marLeft w:val="0"/>
      <w:marRight w:val="0"/>
      <w:marTop w:val="0"/>
      <w:marBottom w:val="0"/>
      <w:divBdr>
        <w:top w:val="none" w:sz="0" w:space="0" w:color="auto"/>
        <w:left w:val="none" w:sz="0" w:space="0" w:color="auto"/>
        <w:bottom w:val="none" w:sz="0" w:space="0" w:color="auto"/>
        <w:right w:val="none" w:sz="0" w:space="0" w:color="auto"/>
      </w:divBdr>
    </w:div>
    <w:div w:id="1206984897">
      <w:bodyDiv w:val="1"/>
      <w:marLeft w:val="0"/>
      <w:marRight w:val="0"/>
      <w:marTop w:val="0"/>
      <w:marBottom w:val="0"/>
      <w:divBdr>
        <w:top w:val="none" w:sz="0" w:space="0" w:color="auto"/>
        <w:left w:val="none" w:sz="0" w:space="0" w:color="auto"/>
        <w:bottom w:val="none" w:sz="0" w:space="0" w:color="auto"/>
        <w:right w:val="none" w:sz="0" w:space="0" w:color="auto"/>
      </w:divBdr>
    </w:div>
    <w:div w:id="1221215340">
      <w:bodyDiv w:val="1"/>
      <w:marLeft w:val="0"/>
      <w:marRight w:val="0"/>
      <w:marTop w:val="0"/>
      <w:marBottom w:val="0"/>
      <w:divBdr>
        <w:top w:val="none" w:sz="0" w:space="0" w:color="auto"/>
        <w:left w:val="none" w:sz="0" w:space="0" w:color="auto"/>
        <w:bottom w:val="none" w:sz="0" w:space="0" w:color="auto"/>
        <w:right w:val="none" w:sz="0" w:space="0" w:color="auto"/>
      </w:divBdr>
    </w:div>
    <w:div w:id="1227033641">
      <w:bodyDiv w:val="1"/>
      <w:marLeft w:val="0"/>
      <w:marRight w:val="0"/>
      <w:marTop w:val="0"/>
      <w:marBottom w:val="0"/>
      <w:divBdr>
        <w:top w:val="none" w:sz="0" w:space="0" w:color="auto"/>
        <w:left w:val="none" w:sz="0" w:space="0" w:color="auto"/>
        <w:bottom w:val="none" w:sz="0" w:space="0" w:color="auto"/>
        <w:right w:val="none" w:sz="0" w:space="0" w:color="auto"/>
      </w:divBdr>
    </w:div>
    <w:div w:id="1236160924">
      <w:bodyDiv w:val="1"/>
      <w:marLeft w:val="0"/>
      <w:marRight w:val="0"/>
      <w:marTop w:val="0"/>
      <w:marBottom w:val="0"/>
      <w:divBdr>
        <w:top w:val="none" w:sz="0" w:space="0" w:color="auto"/>
        <w:left w:val="none" w:sz="0" w:space="0" w:color="auto"/>
        <w:bottom w:val="none" w:sz="0" w:space="0" w:color="auto"/>
        <w:right w:val="none" w:sz="0" w:space="0" w:color="auto"/>
      </w:divBdr>
    </w:div>
    <w:div w:id="1239823615">
      <w:bodyDiv w:val="1"/>
      <w:marLeft w:val="0"/>
      <w:marRight w:val="0"/>
      <w:marTop w:val="0"/>
      <w:marBottom w:val="0"/>
      <w:divBdr>
        <w:top w:val="none" w:sz="0" w:space="0" w:color="auto"/>
        <w:left w:val="none" w:sz="0" w:space="0" w:color="auto"/>
        <w:bottom w:val="none" w:sz="0" w:space="0" w:color="auto"/>
        <w:right w:val="none" w:sz="0" w:space="0" w:color="auto"/>
      </w:divBdr>
    </w:div>
    <w:div w:id="1241939218">
      <w:bodyDiv w:val="1"/>
      <w:marLeft w:val="0"/>
      <w:marRight w:val="0"/>
      <w:marTop w:val="0"/>
      <w:marBottom w:val="0"/>
      <w:divBdr>
        <w:top w:val="none" w:sz="0" w:space="0" w:color="auto"/>
        <w:left w:val="none" w:sz="0" w:space="0" w:color="auto"/>
        <w:bottom w:val="none" w:sz="0" w:space="0" w:color="auto"/>
        <w:right w:val="none" w:sz="0" w:space="0" w:color="auto"/>
      </w:divBdr>
    </w:div>
    <w:div w:id="1243373095">
      <w:bodyDiv w:val="1"/>
      <w:marLeft w:val="0"/>
      <w:marRight w:val="0"/>
      <w:marTop w:val="0"/>
      <w:marBottom w:val="0"/>
      <w:divBdr>
        <w:top w:val="none" w:sz="0" w:space="0" w:color="auto"/>
        <w:left w:val="none" w:sz="0" w:space="0" w:color="auto"/>
        <w:bottom w:val="none" w:sz="0" w:space="0" w:color="auto"/>
        <w:right w:val="none" w:sz="0" w:space="0" w:color="auto"/>
      </w:divBdr>
    </w:div>
    <w:div w:id="1245995209">
      <w:bodyDiv w:val="1"/>
      <w:marLeft w:val="0"/>
      <w:marRight w:val="0"/>
      <w:marTop w:val="0"/>
      <w:marBottom w:val="0"/>
      <w:divBdr>
        <w:top w:val="none" w:sz="0" w:space="0" w:color="auto"/>
        <w:left w:val="none" w:sz="0" w:space="0" w:color="auto"/>
        <w:bottom w:val="none" w:sz="0" w:space="0" w:color="auto"/>
        <w:right w:val="none" w:sz="0" w:space="0" w:color="auto"/>
      </w:divBdr>
    </w:div>
    <w:div w:id="1270890343">
      <w:bodyDiv w:val="1"/>
      <w:marLeft w:val="0"/>
      <w:marRight w:val="0"/>
      <w:marTop w:val="0"/>
      <w:marBottom w:val="0"/>
      <w:divBdr>
        <w:top w:val="none" w:sz="0" w:space="0" w:color="auto"/>
        <w:left w:val="none" w:sz="0" w:space="0" w:color="auto"/>
        <w:bottom w:val="none" w:sz="0" w:space="0" w:color="auto"/>
        <w:right w:val="none" w:sz="0" w:space="0" w:color="auto"/>
      </w:divBdr>
    </w:div>
    <w:div w:id="1272124939">
      <w:bodyDiv w:val="1"/>
      <w:marLeft w:val="0"/>
      <w:marRight w:val="0"/>
      <w:marTop w:val="0"/>
      <w:marBottom w:val="0"/>
      <w:divBdr>
        <w:top w:val="none" w:sz="0" w:space="0" w:color="auto"/>
        <w:left w:val="none" w:sz="0" w:space="0" w:color="auto"/>
        <w:bottom w:val="none" w:sz="0" w:space="0" w:color="auto"/>
        <w:right w:val="none" w:sz="0" w:space="0" w:color="auto"/>
      </w:divBdr>
    </w:div>
    <w:div w:id="1277519543">
      <w:bodyDiv w:val="1"/>
      <w:marLeft w:val="0"/>
      <w:marRight w:val="0"/>
      <w:marTop w:val="0"/>
      <w:marBottom w:val="0"/>
      <w:divBdr>
        <w:top w:val="none" w:sz="0" w:space="0" w:color="auto"/>
        <w:left w:val="none" w:sz="0" w:space="0" w:color="auto"/>
        <w:bottom w:val="none" w:sz="0" w:space="0" w:color="auto"/>
        <w:right w:val="none" w:sz="0" w:space="0" w:color="auto"/>
      </w:divBdr>
    </w:div>
    <w:div w:id="1296984820">
      <w:bodyDiv w:val="1"/>
      <w:marLeft w:val="0"/>
      <w:marRight w:val="0"/>
      <w:marTop w:val="0"/>
      <w:marBottom w:val="0"/>
      <w:divBdr>
        <w:top w:val="none" w:sz="0" w:space="0" w:color="auto"/>
        <w:left w:val="none" w:sz="0" w:space="0" w:color="auto"/>
        <w:bottom w:val="none" w:sz="0" w:space="0" w:color="auto"/>
        <w:right w:val="none" w:sz="0" w:space="0" w:color="auto"/>
      </w:divBdr>
    </w:div>
    <w:div w:id="1300649127">
      <w:bodyDiv w:val="1"/>
      <w:marLeft w:val="0"/>
      <w:marRight w:val="0"/>
      <w:marTop w:val="0"/>
      <w:marBottom w:val="0"/>
      <w:divBdr>
        <w:top w:val="none" w:sz="0" w:space="0" w:color="auto"/>
        <w:left w:val="none" w:sz="0" w:space="0" w:color="auto"/>
        <w:bottom w:val="none" w:sz="0" w:space="0" w:color="auto"/>
        <w:right w:val="none" w:sz="0" w:space="0" w:color="auto"/>
      </w:divBdr>
    </w:div>
    <w:div w:id="1308196476">
      <w:bodyDiv w:val="1"/>
      <w:marLeft w:val="0"/>
      <w:marRight w:val="0"/>
      <w:marTop w:val="0"/>
      <w:marBottom w:val="0"/>
      <w:divBdr>
        <w:top w:val="none" w:sz="0" w:space="0" w:color="auto"/>
        <w:left w:val="none" w:sz="0" w:space="0" w:color="auto"/>
        <w:bottom w:val="none" w:sz="0" w:space="0" w:color="auto"/>
        <w:right w:val="none" w:sz="0" w:space="0" w:color="auto"/>
      </w:divBdr>
    </w:div>
    <w:div w:id="1310750942">
      <w:bodyDiv w:val="1"/>
      <w:marLeft w:val="0"/>
      <w:marRight w:val="0"/>
      <w:marTop w:val="0"/>
      <w:marBottom w:val="0"/>
      <w:divBdr>
        <w:top w:val="none" w:sz="0" w:space="0" w:color="auto"/>
        <w:left w:val="none" w:sz="0" w:space="0" w:color="auto"/>
        <w:bottom w:val="none" w:sz="0" w:space="0" w:color="auto"/>
        <w:right w:val="none" w:sz="0" w:space="0" w:color="auto"/>
      </w:divBdr>
    </w:div>
    <w:div w:id="1314213720">
      <w:bodyDiv w:val="1"/>
      <w:marLeft w:val="0"/>
      <w:marRight w:val="0"/>
      <w:marTop w:val="0"/>
      <w:marBottom w:val="0"/>
      <w:divBdr>
        <w:top w:val="none" w:sz="0" w:space="0" w:color="auto"/>
        <w:left w:val="none" w:sz="0" w:space="0" w:color="auto"/>
        <w:bottom w:val="none" w:sz="0" w:space="0" w:color="auto"/>
        <w:right w:val="none" w:sz="0" w:space="0" w:color="auto"/>
      </w:divBdr>
    </w:div>
    <w:div w:id="1318194220">
      <w:bodyDiv w:val="1"/>
      <w:marLeft w:val="0"/>
      <w:marRight w:val="0"/>
      <w:marTop w:val="0"/>
      <w:marBottom w:val="0"/>
      <w:divBdr>
        <w:top w:val="none" w:sz="0" w:space="0" w:color="auto"/>
        <w:left w:val="none" w:sz="0" w:space="0" w:color="auto"/>
        <w:bottom w:val="none" w:sz="0" w:space="0" w:color="auto"/>
        <w:right w:val="none" w:sz="0" w:space="0" w:color="auto"/>
      </w:divBdr>
    </w:div>
    <w:div w:id="1330449200">
      <w:bodyDiv w:val="1"/>
      <w:marLeft w:val="0"/>
      <w:marRight w:val="0"/>
      <w:marTop w:val="0"/>
      <w:marBottom w:val="0"/>
      <w:divBdr>
        <w:top w:val="none" w:sz="0" w:space="0" w:color="auto"/>
        <w:left w:val="none" w:sz="0" w:space="0" w:color="auto"/>
        <w:bottom w:val="none" w:sz="0" w:space="0" w:color="auto"/>
        <w:right w:val="none" w:sz="0" w:space="0" w:color="auto"/>
      </w:divBdr>
    </w:div>
    <w:div w:id="1330598947">
      <w:bodyDiv w:val="1"/>
      <w:marLeft w:val="0"/>
      <w:marRight w:val="0"/>
      <w:marTop w:val="0"/>
      <w:marBottom w:val="0"/>
      <w:divBdr>
        <w:top w:val="none" w:sz="0" w:space="0" w:color="auto"/>
        <w:left w:val="none" w:sz="0" w:space="0" w:color="auto"/>
        <w:bottom w:val="none" w:sz="0" w:space="0" w:color="auto"/>
        <w:right w:val="none" w:sz="0" w:space="0" w:color="auto"/>
      </w:divBdr>
    </w:div>
    <w:div w:id="1330600453">
      <w:bodyDiv w:val="1"/>
      <w:marLeft w:val="0"/>
      <w:marRight w:val="0"/>
      <w:marTop w:val="0"/>
      <w:marBottom w:val="0"/>
      <w:divBdr>
        <w:top w:val="none" w:sz="0" w:space="0" w:color="auto"/>
        <w:left w:val="none" w:sz="0" w:space="0" w:color="auto"/>
        <w:bottom w:val="none" w:sz="0" w:space="0" w:color="auto"/>
        <w:right w:val="none" w:sz="0" w:space="0" w:color="auto"/>
      </w:divBdr>
    </w:div>
    <w:div w:id="1336811269">
      <w:bodyDiv w:val="1"/>
      <w:marLeft w:val="0"/>
      <w:marRight w:val="0"/>
      <w:marTop w:val="0"/>
      <w:marBottom w:val="0"/>
      <w:divBdr>
        <w:top w:val="none" w:sz="0" w:space="0" w:color="auto"/>
        <w:left w:val="none" w:sz="0" w:space="0" w:color="auto"/>
        <w:bottom w:val="none" w:sz="0" w:space="0" w:color="auto"/>
        <w:right w:val="none" w:sz="0" w:space="0" w:color="auto"/>
      </w:divBdr>
    </w:div>
    <w:div w:id="1342469296">
      <w:bodyDiv w:val="1"/>
      <w:marLeft w:val="0"/>
      <w:marRight w:val="0"/>
      <w:marTop w:val="0"/>
      <w:marBottom w:val="0"/>
      <w:divBdr>
        <w:top w:val="none" w:sz="0" w:space="0" w:color="auto"/>
        <w:left w:val="none" w:sz="0" w:space="0" w:color="auto"/>
        <w:bottom w:val="none" w:sz="0" w:space="0" w:color="auto"/>
        <w:right w:val="none" w:sz="0" w:space="0" w:color="auto"/>
      </w:divBdr>
    </w:div>
    <w:div w:id="1347289907">
      <w:bodyDiv w:val="1"/>
      <w:marLeft w:val="0"/>
      <w:marRight w:val="0"/>
      <w:marTop w:val="0"/>
      <w:marBottom w:val="0"/>
      <w:divBdr>
        <w:top w:val="none" w:sz="0" w:space="0" w:color="auto"/>
        <w:left w:val="none" w:sz="0" w:space="0" w:color="auto"/>
        <w:bottom w:val="none" w:sz="0" w:space="0" w:color="auto"/>
        <w:right w:val="none" w:sz="0" w:space="0" w:color="auto"/>
      </w:divBdr>
    </w:div>
    <w:div w:id="1349480068">
      <w:bodyDiv w:val="1"/>
      <w:marLeft w:val="0"/>
      <w:marRight w:val="0"/>
      <w:marTop w:val="0"/>
      <w:marBottom w:val="0"/>
      <w:divBdr>
        <w:top w:val="none" w:sz="0" w:space="0" w:color="auto"/>
        <w:left w:val="none" w:sz="0" w:space="0" w:color="auto"/>
        <w:bottom w:val="none" w:sz="0" w:space="0" w:color="auto"/>
        <w:right w:val="none" w:sz="0" w:space="0" w:color="auto"/>
      </w:divBdr>
    </w:div>
    <w:div w:id="1361005332">
      <w:bodyDiv w:val="1"/>
      <w:marLeft w:val="0"/>
      <w:marRight w:val="0"/>
      <w:marTop w:val="0"/>
      <w:marBottom w:val="0"/>
      <w:divBdr>
        <w:top w:val="none" w:sz="0" w:space="0" w:color="auto"/>
        <w:left w:val="none" w:sz="0" w:space="0" w:color="auto"/>
        <w:bottom w:val="none" w:sz="0" w:space="0" w:color="auto"/>
        <w:right w:val="none" w:sz="0" w:space="0" w:color="auto"/>
      </w:divBdr>
    </w:div>
    <w:div w:id="1393383405">
      <w:bodyDiv w:val="1"/>
      <w:marLeft w:val="0"/>
      <w:marRight w:val="0"/>
      <w:marTop w:val="0"/>
      <w:marBottom w:val="0"/>
      <w:divBdr>
        <w:top w:val="none" w:sz="0" w:space="0" w:color="auto"/>
        <w:left w:val="none" w:sz="0" w:space="0" w:color="auto"/>
        <w:bottom w:val="none" w:sz="0" w:space="0" w:color="auto"/>
        <w:right w:val="none" w:sz="0" w:space="0" w:color="auto"/>
      </w:divBdr>
    </w:div>
    <w:div w:id="1411731589">
      <w:bodyDiv w:val="1"/>
      <w:marLeft w:val="0"/>
      <w:marRight w:val="0"/>
      <w:marTop w:val="0"/>
      <w:marBottom w:val="0"/>
      <w:divBdr>
        <w:top w:val="none" w:sz="0" w:space="0" w:color="auto"/>
        <w:left w:val="none" w:sz="0" w:space="0" w:color="auto"/>
        <w:bottom w:val="none" w:sz="0" w:space="0" w:color="auto"/>
        <w:right w:val="none" w:sz="0" w:space="0" w:color="auto"/>
      </w:divBdr>
    </w:div>
    <w:div w:id="1414158194">
      <w:bodyDiv w:val="1"/>
      <w:marLeft w:val="0"/>
      <w:marRight w:val="0"/>
      <w:marTop w:val="0"/>
      <w:marBottom w:val="0"/>
      <w:divBdr>
        <w:top w:val="none" w:sz="0" w:space="0" w:color="auto"/>
        <w:left w:val="none" w:sz="0" w:space="0" w:color="auto"/>
        <w:bottom w:val="none" w:sz="0" w:space="0" w:color="auto"/>
        <w:right w:val="none" w:sz="0" w:space="0" w:color="auto"/>
      </w:divBdr>
    </w:div>
    <w:div w:id="1417241509">
      <w:bodyDiv w:val="1"/>
      <w:marLeft w:val="0"/>
      <w:marRight w:val="0"/>
      <w:marTop w:val="0"/>
      <w:marBottom w:val="0"/>
      <w:divBdr>
        <w:top w:val="none" w:sz="0" w:space="0" w:color="auto"/>
        <w:left w:val="none" w:sz="0" w:space="0" w:color="auto"/>
        <w:bottom w:val="none" w:sz="0" w:space="0" w:color="auto"/>
        <w:right w:val="none" w:sz="0" w:space="0" w:color="auto"/>
      </w:divBdr>
    </w:div>
    <w:div w:id="1418818697">
      <w:bodyDiv w:val="1"/>
      <w:marLeft w:val="0"/>
      <w:marRight w:val="0"/>
      <w:marTop w:val="0"/>
      <w:marBottom w:val="0"/>
      <w:divBdr>
        <w:top w:val="none" w:sz="0" w:space="0" w:color="auto"/>
        <w:left w:val="none" w:sz="0" w:space="0" w:color="auto"/>
        <w:bottom w:val="none" w:sz="0" w:space="0" w:color="auto"/>
        <w:right w:val="none" w:sz="0" w:space="0" w:color="auto"/>
      </w:divBdr>
    </w:div>
    <w:div w:id="1423381016">
      <w:bodyDiv w:val="1"/>
      <w:marLeft w:val="0"/>
      <w:marRight w:val="0"/>
      <w:marTop w:val="0"/>
      <w:marBottom w:val="0"/>
      <w:divBdr>
        <w:top w:val="none" w:sz="0" w:space="0" w:color="auto"/>
        <w:left w:val="none" w:sz="0" w:space="0" w:color="auto"/>
        <w:bottom w:val="none" w:sz="0" w:space="0" w:color="auto"/>
        <w:right w:val="none" w:sz="0" w:space="0" w:color="auto"/>
      </w:divBdr>
    </w:div>
    <w:div w:id="1424182269">
      <w:bodyDiv w:val="1"/>
      <w:marLeft w:val="0"/>
      <w:marRight w:val="0"/>
      <w:marTop w:val="0"/>
      <w:marBottom w:val="0"/>
      <w:divBdr>
        <w:top w:val="none" w:sz="0" w:space="0" w:color="auto"/>
        <w:left w:val="none" w:sz="0" w:space="0" w:color="auto"/>
        <w:bottom w:val="none" w:sz="0" w:space="0" w:color="auto"/>
        <w:right w:val="none" w:sz="0" w:space="0" w:color="auto"/>
      </w:divBdr>
    </w:div>
    <w:div w:id="1429544834">
      <w:bodyDiv w:val="1"/>
      <w:marLeft w:val="0"/>
      <w:marRight w:val="0"/>
      <w:marTop w:val="0"/>
      <w:marBottom w:val="0"/>
      <w:divBdr>
        <w:top w:val="none" w:sz="0" w:space="0" w:color="auto"/>
        <w:left w:val="none" w:sz="0" w:space="0" w:color="auto"/>
        <w:bottom w:val="none" w:sz="0" w:space="0" w:color="auto"/>
        <w:right w:val="none" w:sz="0" w:space="0" w:color="auto"/>
      </w:divBdr>
    </w:div>
    <w:div w:id="1433277617">
      <w:bodyDiv w:val="1"/>
      <w:marLeft w:val="0"/>
      <w:marRight w:val="0"/>
      <w:marTop w:val="0"/>
      <w:marBottom w:val="0"/>
      <w:divBdr>
        <w:top w:val="none" w:sz="0" w:space="0" w:color="auto"/>
        <w:left w:val="none" w:sz="0" w:space="0" w:color="auto"/>
        <w:bottom w:val="none" w:sz="0" w:space="0" w:color="auto"/>
        <w:right w:val="none" w:sz="0" w:space="0" w:color="auto"/>
      </w:divBdr>
    </w:div>
    <w:div w:id="1452087177">
      <w:bodyDiv w:val="1"/>
      <w:marLeft w:val="0"/>
      <w:marRight w:val="0"/>
      <w:marTop w:val="0"/>
      <w:marBottom w:val="0"/>
      <w:divBdr>
        <w:top w:val="none" w:sz="0" w:space="0" w:color="auto"/>
        <w:left w:val="none" w:sz="0" w:space="0" w:color="auto"/>
        <w:bottom w:val="none" w:sz="0" w:space="0" w:color="auto"/>
        <w:right w:val="none" w:sz="0" w:space="0" w:color="auto"/>
      </w:divBdr>
    </w:div>
    <w:div w:id="1452743396">
      <w:bodyDiv w:val="1"/>
      <w:marLeft w:val="0"/>
      <w:marRight w:val="0"/>
      <w:marTop w:val="0"/>
      <w:marBottom w:val="0"/>
      <w:divBdr>
        <w:top w:val="none" w:sz="0" w:space="0" w:color="auto"/>
        <w:left w:val="none" w:sz="0" w:space="0" w:color="auto"/>
        <w:bottom w:val="none" w:sz="0" w:space="0" w:color="auto"/>
        <w:right w:val="none" w:sz="0" w:space="0" w:color="auto"/>
      </w:divBdr>
    </w:div>
    <w:div w:id="1453286919">
      <w:bodyDiv w:val="1"/>
      <w:marLeft w:val="0"/>
      <w:marRight w:val="0"/>
      <w:marTop w:val="0"/>
      <w:marBottom w:val="0"/>
      <w:divBdr>
        <w:top w:val="none" w:sz="0" w:space="0" w:color="auto"/>
        <w:left w:val="none" w:sz="0" w:space="0" w:color="auto"/>
        <w:bottom w:val="none" w:sz="0" w:space="0" w:color="auto"/>
        <w:right w:val="none" w:sz="0" w:space="0" w:color="auto"/>
      </w:divBdr>
    </w:div>
    <w:div w:id="1455296161">
      <w:bodyDiv w:val="1"/>
      <w:marLeft w:val="0"/>
      <w:marRight w:val="0"/>
      <w:marTop w:val="0"/>
      <w:marBottom w:val="0"/>
      <w:divBdr>
        <w:top w:val="none" w:sz="0" w:space="0" w:color="auto"/>
        <w:left w:val="none" w:sz="0" w:space="0" w:color="auto"/>
        <w:bottom w:val="none" w:sz="0" w:space="0" w:color="auto"/>
        <w:right w:val="none" w:sz="0" w:space="0" w:color="auto"/>
      </w:divBdr>
    </w:div>
    <w:div w:id="1455515186">
      <w:bodyDiv w:val="1"/>
      <w:marLeft w:val="0"/>
      <w:marRight w:val="0"/>
      <w:marTop w:val="0"/>
      <w:marBottom w:val="0"/>
      <w:divBdr>
        <w:top w:val="none" w:sz="0" w:space="0" w:color="auto"/>
        <w:left w:val="none" w:sz="0" w:space="0" w:color="auto"/>
        <w:bottom w:val="none" w:sz="0" w:space="0" w:color="auto"/>
        <w:right w:val="none" w:sz="0" w:space="0" w:color="auto"/>
      </w:divBdr>
    </w:div>
    <w:div w:id="1466854488">
      <w:bodyDiv w:val="1"/>
      <w:marLeft w:val="0"/>
      <w:marRight w:val="0"/>
      <w:marTop w:val="0"/>
      <w:marBottom w:val="0"/>
      <w:divBdr>
        <w:top w:val="none" w:sz="0" w:space="0" w:color="auto"/>
        <w:left w:val="none" w:sz="0" w:space="0" w:color="auto"/>
        <w:bottom w:val="none" w:sz="0" w:space="0" w:color="auto"/>
        <w:right w:val="none" w:sz="0" w:space="0" w:color="auto"/>
      </w:divBdr>
    </w:div>
    <w:div w:id="1470129205">
      <w:bodyDiv w:val="1"/>
      <w:marLeft w:val="0"/>
      <w:marRight w:val="0"/>
      <w:marTop w:val="0"/>
      <w:marBottom w:val="0"/>
      <w:divBdr>
        <w:top w:val="none" w:sz="0" w:space="0" w:color="auto"/>
        <w:left w:val="none" w:sz="0" w:space="0" w:color="auto"/>
        <w:bottom w:val="none" w:sz="0" w:space="0" w:color="auto"/>
        <w:right w:val="none" w:sz="0" w:space="0" w:color="auto"/>
      </w:divBdr>
    </w:div>
    <w:div w:id="1470630886">
      <w:bodyDiv w:val="1"/>
      <w:marLeft w:val="0"/>
      <w:marRight w:val="0"/>
      <w:marTop w:val="0"/>
      <w:marBottom w:val="0"/>
      <w:divBdr>
        <w:top w:val="none" w:sz="0" w:space="0" w:color="auto"/>
        <w:left w:val="none" w:sz="0" w:space="0" w:color="auto"/>
        <w:bottom w:val="none" w:sz="0" w:space="0" w:color="auto"/>
        <w:right w:val="none" w:sz="0" w:space="0" w:color="auto"/>
      </w:divBdr>
    </w:div>
    <w:div w:id="1476489253">
      <w:bodyDiv w:val="1"/>
      <w:marLeft w:val="0"/>
      <w:marRight w:val="0"/>
      <w:marTop w:val="0"/>
      <w:marBottom w:val="0"/>
      <w:divBdr>
        <w:top w:val="none" w:sz="0" w:space="0" w:color="auto"/>
        <w:left w:val="none" w:sz="0" w:space="0" w:color="auto"/>
        <w:bottom w:val="none" w:sz="0" w:space="0" w:color="auto"/>
        <w:right w:val="none" w:sz="0" w:space="0" w:color="auto"/>
      </w:divBdr>
    </w:div>
    <w:div w:id="1477987948">
      <w:bodyDiv w:val="1"/>
      <w:marLeft w:val="0"/>
      <w:marRight w:val="0"/>
      <w:marTop w:val="0"/>
      <w:marBottom w:val="0"/>
      <w:divBdr>
        <w:top w:val="none" w:sz="0" w:space="0" w:color="auto"/>
        <w:left w:val="none" w:sz="0" w:space="0" w:color="auto"/>
        <w:bottom w:val="none" w:sz="0" w:space="0" w:color="auto"/>
        <w:right w:val="none" w:sz="0" w:space="0" w:color="auto"/>
      </w:divBdr>
    </w:div>
    <w:div w:id="1481728403">
      <w:bodyDiv w:val="1"/>
      <w:marLeft w:val="0"/>
      <w:marRight w:val="0"/>
      <w:marTop w:val="0"/>
      <w:marBottom w:val="0"/>
      <w:divBdr>
        <w:top w:val="none" w:sz="0" w:space="0" w:color="auto"/>
        <w:left w:val="none" w:sz="0" w:space="0" w:color="auto"/>
        <w:bottom w:val="none" w:sz="0" w:space="0" w:color="auto"/>
        <w:right w:val="none" w:sz="0" w:space="0" w:color="auto"/>
      </w:divBdr>
    </w:div>
    <w:div w:id="1492481940">
      <w:bodyDiv w:val="1"/>
      <w:marLeft w:val="0"/>
      <w:marRight w:val="0"/>
      <w:marTop w:val="0"/>
      <w:marBottom w:val="0"/>
      <w:divBdr>
        <w:top w:val="none" w:sz="0" w:space="0" w:color="auto"/>
        <w:left w:val="none" w:sz="0" w:space="0" w:color="auto"/>
        <w:bottom w:val="none" w:sz="0" w:space="0" w:color="auto"/>
        <w:right w:val="none" w:sz="0" w:space="0" w:color="auto"/>
      </w:divBdr>
    </w:div>
    <w:div w:id="1495753958">
      <w:bodyDiv w:val="1"/>
      <w:marLeft w:val="0"/>
      <w:marRight w:val="0"/>
      <w:marTop w:val="0"/>
      <w:marBottom w:val="0"/>
      <w:divBdr>
        <w:top w:val="none" w:sz="0" w:space="0" w:color="auto"/>
        <w:left w:val="none" w:sz="0" w:space="0" w:color="auto"/>
        <w:bottom w:val="none" w:sz="0" w:space="0" w:color="auto"/>
        <w:right w:val="none" w:sz="0" w:space="0" w:color="auto"/>
      </w:divBdr>
    </w:div>
    <w:div w:id="1505632230">
      <w:bodyDiv w:val="1"/>
      <w:marLeft w:val="0"/>
      <w:marRight w:val="0"/>
      <w:marTop w:val="0"/>
      <w:marBottom w:val="0"/>
      <w:divBdr>
        <w:top w:val="none" w:sz="0" w:space="0" w:color="auto"/>
        <w:left w:val="none" w:sz="0" w:space="0" w:color="auto"/>
        <w:bottom w:val="none" w:sz="0" w:space="0" w:color="auto"/>
        <w:right w:val="none" w:sz="0" w:space="0" w:color="auto"/>
      </w:divBdr>
    </w:div>
    <w:div w:id="1509440105">
      <w:bodyDiv w:val="1"/>
      <w:marLeft w:val="0"/>
      <w:marRight w:val="0"/>
      <w:marTop w:val="0"/>
      <w:marBottom w:val="0"/>
      <w:divBdr>
        <w:top w:val="none" w:sz="0" w:space="0" w:color="auto"/>
        <w:left w:val="none" w:sz="0" w:space="0" w:color="auto"/>
        <w:bottom w:val="none" w:sz="0" w:space="0" w:color="auto"/>
        <w:right w:val="none" w:sz="0" w:space="0" w:color="auto"/>
      </w:divBdr>
    </w:div>
    <w:div w:id="1514219583">
      <w:bodyDiv w:val="1"/>
      <w:marLeft w:val="0"/>
      <w:marRight w:val="0"/>
      <w:marTop w:val="0"/>
      <w:marBottom w:val="0"/>
      <w:divBdr>
        <w:top w:val="none" w:sz="0" w:space="0" w:color="auto"/>
        <w:left w:val="none" w:sz="0" w:space="0" w:color="auto"/>
        <w:bottom w:val="none" w:sz="0" w:space="0" w:color="auto"/>
        <w:right w:val="none" w:sz="0" w:space="0" w:color="auto"/>
      </w:divBdr>
    </w:div>
    <w:div w:id="1517957886">
      <w:bodyDiv w:val="1"/>
      <w:marLeft w:val="0"/>
      <w:marRight w:val="0"/>
      <w:marTop w:val="0"/>
      <w:marBottom w:val="0"/>
      <w:divBdr>
        <w:top w:val="none" w:sz="0" w:space="0" w:color="auto"/>
        <w:left w:val="none" w:sz="0" w:space="0" w:color="auto"/>
        <w:bottom w:val="none" w:sz="0" w:space="0" w:color="auto"/>
        <w:right w:val="none" w:sz="0" w:space="0" w:color="auto"/>
      </w:divBdr>
    </w:div>
    <w:div w:id="1524980801">
      <w:bodyDiv w:val="1"/>
      <w:marLeft w:val="0"/>
      <w:marRight w:val="0"/>
      <w:marTop w:val="0"/>
      <w:marBottom w:val="0"/>
      <w:divBdr>
        <w:top w:val="none" w:sz="0" w:space="0" w:color="auto"/>
        <w:left w:val="none" w:sz="0" w:space="0" w:color="auto"/>
        <w:bottom w:val="none" w:sz="0" w:space="0" w:color="auto"/>
        <w:right w:val="none" w:sz="0" w:space="0" w:color="auto"/>
      </w:divBdr>
    </w:div>
    <w:div w:id="1531454694">
      <w:bodyDiv w:val="1"/>
      <w:marLeft w:val="0"/>
      <w:marRight w:val="0"/>
      <w:marTop w:val="0"/>
      <w:marBottom w:val="0"/>
      <w:divBdr>
        <w:top w:val="none" w:sz="0" w:space="0" w:color="auto"/>
        <w:left w:val="none" w:sz="0" w:space="0" w:color="auto"/>
        <w:bottom w:val="none" w:sz="0" w:space="0" w:color="auto"/>
        <w:right w:val="none" w:sz="0" w:space="0" w:color="auto"/>
      </w:divBdr>
    </w:div>
    <w:div w:id="1546335797">
      <w:bodyDiv w:val="1"/>
      <w:marLeft w:val="0"/>
      <w:marRight w:val="0"/>
      <w:marTop w:val="0"/>
      <w:marBottom w:val="0"/>
      <w:divBdr>
        <w:top w:val="none" w:sz="0" w:space="0" w:color="auto"/>
        <w:left w:val="none" w:sz="0" w:space="0" w:color="auto"/>
        <w:bottom w:val="none" w:sz="0" w:space="0" w:color="auto"/>
        <w:right w:val="none" w:sz="0" w:space="0" w:color="auto"/>
      </w:divBdr>
    </w:div>
    <w:div w:id="1547446499">
      <w:bodyDiv w:val="1"/>
      <w:marLeft w:val="0"/>
      <w:marRight w:val="0"/>
      <w:marTop w:val="0"/>
      <w:marBottom w:val="0"/>
      <w:divBdr>
        <w:top w:val="none" w:sz="0" w:space="0" w:color="auto"/>
        <w:left w:val="none" w:sz="0" w:space="0" w:color="auto"/>
        <w:bottom w:val="none" w:sz="0" w:space="0" w:color="auto"/>
        <w:right w:val="none" w:sz="0" w:space="0" w:color="auto"/>
      </w:divBdr>
    </w:div>
    <w:div w:id="1554347258">
      <w:bodyDiv w:val="1"/>
      <w:marLeft w:val="0"/>
      <w:marRight w:val="0"/>
      <w:marTop w:val="0"/>
      <w:marBottom w:val="0"/>
      <w:divBdr>
        <w:top w:val="none" w:sz="0" w:space="0" w:color="auto"/>
        <w:left w:val="none" w:sz="0" w:space="0" w:color="auto"/>
        <w:bottom w:val="none" w:sz="0" w:space="0" w:color="auto"/>
        <w:right w:val="none" w:sz="0" w:space="0" w:color="auto"/>
      </w:divBdr>
    </w:div>
    <w:div w:id="1558852900">
      <w:bodyDiv w:val="1"/>
      <w:marLeft w:val="0"/>
      <w:marRight w:val="0"/>
      <w:marTop w:val="0"/>
      <w:marBottom w:val="0"/>
      <w:divBdr>
        <w:top w:val="none" w:sz="0" w:space="0" w:color="auto"/>
        <w:left w:val="none" w:sz="0" w:space="0" w:color="auto"/>
        <w:bottom w:val="none" w:sz="0" w:space="0" w:color="auto"/>
        <w:right w:val="none" w:sz="0" w:space="0" w:color="auto"/>
      </w:divBdr>
    </w:div>
    <w:div w:id="1564868725">
      <w:bodyDiv w:val="1"/>
      <w:marLeft w:val="0"/>
      <w:marRight w:val="0"/>
      <w:marTop w:val="0"/>
      <w:marBottom w:val="0"/>
      <w:divBdr>
        <w:top w:val="none" w:sz="0" w:space="0" w:color="auto"/>
        <w:left w:val="none" w:sz="0" w:space="0" w:color="auto"/>
        <w:bottom w:val="none" w:sz="0" w:space="0" w:color="auto"/>
        <w:right w:val="none" w:sz="0" w:space="0" w:color="auto"/>
      </w:divBdr>
    </w:div>
    <w:div w:id="1573807244">
      <w:bodyDiv w:val="1"/>
      <w:marLeft w:val="0"/>
      <w:marRight w:val="0"/>
      <w:marTop w:val="0"/>
      <w:marBottom w:val="0"/>
      <w:divBdr>
        <w:top w:val="none" w:sz="0" w:space="0" w:color="auto"/>
        <w:left w:val="none" w:sz="0" w:space="0" w:color="auto"/>
        <w:bottom w:val="none" w:sz="0" w:space="0" w:color="auto"/>
        <w:right w:val="none" w:sz="0" w:space="0" w:color="auto"/>
      </w:divBdr>
    </w:div>
    <w:div w:id="1575315796">
      <w:bodyDiv w:val="1"/>
      <w:marLeft w:val="0"/>
      <w:marRight w:val="0"/>
      <w:marTop w:val="0"/>
      <w:marBottom w:val="0"/>
      <w:divBdr>
        <w:top w:val="none" w:sz="0" w:space="0" w:color="auto"/>
        <w:left w:val="none" w:sz="0" w:space="0" w:color="auto"/>
        <w:bottom w:val="none" w:sz="0" w:space="0" w:color="auto"/>
        <w:right w:val="none" w:sz="0" w:space="0" w:color="auto"/>
      </w:divBdr>
    </w:div>
    <w:div w:id="1579288016">
      <w:bodyDiv w:val="1"/>
      <w:marLeft w:val="0"/>
      <w:marRight w:val="0"/>
      <w:marTop w:val="0"/>
      <w:marBottom w:val="0"/>
      <w:divBdr>
        <w:top w:val="none" w:sz="0" w:space="0" w:color="auto"/>
        <w:left w:val="none" w:sz="0" w:space="0" w:color="auto"/>
        <w:bottom w:val="none" w:sz="0" w:space="0" w:color="auto"/>
        <w:right w:val="none" w:sz="0" w:space="0" w:color="auto"/>
      </w:divBdr>
    </w:div>
    <w:div w:id="1582324346">
      <w:bodyDiv w:val="1"/>
      <w:marLeft w:val="0"/>
      <w:marRight w:val="0"/>
      <w:marTop w:val="0"/>
      <w:marBottom w:val="0"/>
      <w:divBdr>
        <w:top w:val="none" w:sz="0" w:space="0" w:color="auto"/>
        <w:left w:val="none" w:sz="0" w:space="0" w:color="auto"/>
        <w:bottom w:val="none" w:sz="0" w:space="0" w:color="auto"/>
        <w:right w:val="none" w:sz="0" w:space="0" w:color="auto"/>
      </w:divBdr>
    </w:div>
    <w:div w:id="1584416192">
      <w:bodyDiv w:val="1"/>
      <w:marLeft w:val="0"/>
      <w:marRight w:val="0"/>
      <w:marTop w:val="0"/>
      <w:marBottom w:val="0"/>
      <w:divBdr>
        <w:top w:val="none" w:sz="0" w:space="0" w:color="auto"/>
        <w:left w:val="none" w:sz="0" w:space="0" w:color="auto"/>
        <w:bottom w:val="none" w:sz="0" w:space="0" w:color="auto"/>
        <w:right w:val="none" w:sz="0" w:space="0" w:color="auto"/>
      </w:divBdr>
    </w:div>
    <w:div w:id="1595161244">
      <w:bodyDiv w:val="1"/>
      <w:marLeft w:val="0"/>
      <w:marRight w:val="0"/>
      <w:marTop w:val="0"/>
      <w:marBottom w:val="0"/>
      <w:divBdr>
        <w:top w:val="none" w:sz="0" w:space="0" w:color="auto"/>
        <w:left w:val="none" w:sz="0" w:space="0" w:color="auto"/>
        <w:bottom w:val="none" w:sz="0" w:space="0" w:color="auto"/>
        <w:right w:val="none" w:sz="0" w:space="0" w:color="auto"/>
      </w:divBdr>
    </w:div>
    <w:div w:id="1599756803">
      <w:bodyDiv w:val="1"/>
      <w:marLeft w:val="0"/>
      <w:marRight w:val="0"/>
      <w:marTop w:val="0"/>
      <w:marBottom w:val="0"/>
      <w:divBdr>
        <w:top w:val="none" w:sz="0" w:space="0" w:color="auto"/>
        <w:left w:val="none" w:sz="0" w:space="0" w:color="auto"/>
        <w:bottom w:val="none" w:sz="0" w:space="0" w:color="auto"/>
        <w:right w:val="none" w:sz="0" w:space="0" w:color="auto"/>
      </w:divBdr>
    </w:div>
    <w:div w:id="1601988428">
      <w:bodyDiv w:val="1"/>
      <w:marLeft w:val="0"/>
      <w:marRight w:val="0"/>
      <w:marTop w:val="0"/>
      <w:marBottom w:val="0"/>
      <w:divBdr>
        <w:top w:val="none" w:sz="0" w:space="0" w:color="auto"/>
        <w:left w:val="none" w:sz="0" w:space="0" w:color="auto"/>
        <w:bottom w:val="none" w:sz="0" w:space="0" w:color="auto"/>
        <w:right w:val="none" w:sz="0" w:space="0" w:color="auto"/>
      </w:divBdr>
    </w:div>
    <w:div w:id="1602108654">
      <w:bodyDiv w:val="1"/>
      <w:marLeft w:val="0"/>
      <w:marRight w:val="0"/>
      <w:marTop w:val="0"/>
      <w:marBottom w:val="0"/>
      <w:divBdr>
        <w:top w:val="none" w:sz="0" w:space="0" w:color="auto"/>
        <w:left w:val="none" w:sz="0" w:space="0" w:color="auto"/>
        <w:bottom w:val="none" w:sz="0" w:space="0" w:color="auto"/>
        <w:right w:val="none" w:sz="0" w:space="0" w:color="auto"/>
      </w:divBdr>
    </w:div>
    <w:div w:id="1607420570">
      <w:bodyDiv w:val="1"/>
      <w:marLeft w:val="0"/>
      <w:marRight w:val="0"/>
      <w:marTop w:val="0"/>
      <w:marBottom w:val="0"/>
      <w:divBdr>
        <w:top w:val="none" w:sz="0" w:space="0" w:color="auto"/>
        <w:left w:val="none" w:sz="0" w:space="0" w:color="auto"/>
        <w:bottom w:val="none" w:sz="0" w:space="0" w:color="auto"/>
        <w:right w:val="none" w:sz="0" w:space="0" w:color="auto"/>
      </w:divBdr>
    </w:div>
    <w:div w:id="1616013010">
      <w:bodyDiv w:val="1"/>
      <w:marLeft w:val="0"/>
      <w:marRight w:val="0"/>
      <w:marTop w:val="0"/>
      <w:marBottom w:val="0"/>
      <w:divBdr>
        <w:top w:val="none" w:sz="0" w:space="0" w:color="auto"/>
        <w:left w:val="none" w:sz="0" w:space="0" w:color="auto"/>
        <w:bottom w:val="none" w:sz="0" w:space="0" w:color="auto"/>
        <w:right w:val="none" w:sz="0" w:space="0" w:color="auto"/>
      </w:divBdr>
    </w:div>
    <w:div w:id="1620335125">
      <w:bodyDiv w:val="1"/>
      <w:marLeft w:val="0"/>
      <w:marRight w:val="0"/>
      <w:marTop w:val="0"/>
      <w:marBottom w:val="0"/>
      <w:divBdr>
        <w:top w:val="none" w:sz="0" w:space="0" w:color="auto"/>
        <w:left w:val="none" w:sz="0" w:space="0" w:color="auto"/>
        <w:bottom w:val="none" w:sz="0" w:space="0" w:color="auto"/>
        <w:right w:val="none" w:sz="0" w:space="0" w:color="auto"/>
      </w:divBdr>
    </w:div>
    <w:div w:id="1624340741">
      <w:bodyDiv w:val="1"/>
      <w:marLeft w:val="0"/>
      <w:marRight w:val="0"/>
      <w:marTop w:val="0"/>
      <w:marBottom w:val="0"/>
      <w:divBdr>
        <w:top w:val="none" w:sz="0" w:space="0" w:color="auto"/>
        <w:left w:val="none" w:sz="0" w:space="0" w:color="auto"/>
        <w:bottom w:val="none" w:sz="0" w:space="0" w:color="auto"/>
        <w:right w:val="none" w:sz="0" w:space="0" w:color="auto"/>
      </w:divBdr>
    </w:div>
    <w:div w:id="1648709006">
      <w:bodyDiv w:val="1"/>
      <w:marLeft w:val="0"/>
      <w:marRight w:val="0"/>
      <w:marTop w:val="0"/>
      <w:marBottom w:val="0"/>
      <w:divBdr>
        <w:top w:val="none" w:sz="0" w:space="0" w:color="auto"/>
        <w:left w:val="none" w:sz="0" w:space="0" w:color="auto"/>
        <w:bottom w:val="none" w:sz="0" w:space="0" w:color="auto"/>
        <w:right w:val="none" w:sz="0" w:space="0" w:color="auto"/>
      </w:divBdr>
    </w:div>
    <w:div w:id="1650286374">
      <w:bodyDiv w:val="1"/>
      <w:marLeft w:val="0"/>
      <w:marRight w:val="0"/>
      <w:marTop w:val="0"/>
      <w:marBottom w:val="0"/>
      <w:divBdr>
        <w:top w:val="none" w:sz="0" w:space="0" w:color="auto"/>
        <w:left w:val="none" w:sz="0" w:space="0" w:color="auto"/>
        <w:bottom w:val="none" w:sz="0" w:space="0" w:color="auto"/>
        <w:right w:val="none" w:sz="0" w:space="0" w:color="auto"/>
      </w:divBdr>
    </w:div>
    <w:div w:id="1652514456">
      <w:bodyDiv w:val="1"/>
      <w:marLeft w:val="0"/>
      <w:marRight w:val="0"/>
      <w:marTop w:val="0"/>
      <w:marBottom w:val="0"/>
      <w:divBdr>
        <w:top w:val="none" w:sz="0" w:space="0" w:color="auto"/>
        <w:left w:val="none" w:sz="0" w:space="0" w:color="auto"/>
        <w:bottom w:val="none" w:sz="0" w:space="0" w:color="auto"/>
        <w:right w:val="none" w:sz="0" w:space="0" w:color="auto"/>
      </w:divBdr>
    </w:div>
    <w:div w:id="1654261703">
      <w:bodyDiv w:val="1"/>
      <w:marLeft w:val="0"/>
      <w:marRight w:val="0"/>
      <w:marTop w:val="0"/>
      <w:marBottom w:val="0"/>
      <w:divBdr>
        <w:top w:val="none" w:sz="0" w:space="0" w:color="auto"/>
        <w:left w:val="none" w:sz="0" w:space="0" w:color="auto"/>
        <w:bottom w:val="none" w:sz="0" w:space="0" w:color="auto"/>
        <w:right w:val="none" w:sz="0" w:space="0" w:color="auto"/>
      </w:divBdr>
    </w:div>
    <w:div w:id="1661880608">
      <w:bodyDiv w:val="1"/>
      <w:marLeft w:val="0"/>
      <w:marRight w:val="0"/>
      <w:marTop w:val="0"/>
      <w:marBottom w:val="0"/>
      <w:divBdr>
        <w:top w:val="none" w:sz="0" w:space="0" w:color="auto"/>
        <w:left w:val="none" w:sz="0" w:space="0" w:color="auto"/>
        <w:bottom w:val="none" w:sz="0" w:space="0" w:color="auto"/>
        <w:right w:val="none" w:sz="0" w:space="0" w:color="auto"/>
      </w:divBdr>
    </w:div>
    <w:div w:id="1665737380">
      <w:bodyDiv w:val="1"/>
      <w:marLeft w:val="0"/>
      <w:marRight w:val="0"/>
      <w:marTop w:val="0"/>
      <w:marBottom w:val="0"/>
      <w:divBdr>
        <w:top w:val="none" w:sz="0" w:space="0" w:color="auto"/>
        <w:left w:val="none" w:sz="0" w:space="0" w:color="auto"/>
        <w:bottom w:val="none" w:sz="0" w:space="0" w:color="auto"/>
        <w:right w:val="none" w:sz="0" w:space="0" w:color="auto"/>
      </w:divBdr>
    </w:div>
    <w:div w:id="1672173832">
      <w:bodyDiv w:val="1"/>
      <w:marLeft w:val="0"/>
      <w:marRight w:val="0"/>
      <w:marTop w:val="0"/>
      <w:marBottom w:val="0"/>
      <w:divBdr>
        <w:top w:val="none" w:sz="0" w:space="0" w:color="auto"/>
        <w:left w:val="none" w:sz="0" w:space="0" w:color="auto"/>
        <w:bottom w:val="none" w:sz="0" w:space="0" w:color="auto"/>
        <w:right w:val="none" w:sz="0" w:space="0" w:color="auto"/>
      </w:divBdr>
    </w:div>
    <w:div w:id="1676495323">
      <w:bodyDiv w:val="1"/>
      <w:marLeft w:val="0"/>
      <w:marRight w:val="0"/>
      <w:marTop w:val="0"/>
      <w:marBottom w:val="0"/>
      <w:divBdr>
        <w:top w:val="none" w:sz="0" w:space="0" w:color="auto"/>
        <w:left w:val="none" w:sz="0" w:space="0" w:color="auto"/>
        <w:bottom w:val="none" w:sz="0" w:space="0" w:color="auto"/>
        <w:right w:val="none" w:sz="0" w:space="0" w:color="auto"/>
      </w:divBdr>
    </w:div>
    <w:div w:id="1680307532">
      <w:bodyDiv w:val="1"/>
      <w:marLeft w:val="0"/>
      <w:marRight w:val="0"/>
      <w:marTop w:val="0"/>
      <w:marBottom w:val="0"/>
      <w:divBdr>
        <w:top w:val="none" w:sz="0" w:space="0" w:color="auto"/>
        <w:left w:val="none" w:sz="0" w:space="0" w:color="auto"/>
        <w:bottom w:val="none" w:sz="0" w:space="0" w:color="auto"/>
        <w:right w:val="none" w:sz="0" w:space="0" w:color="auto"/>
      </w:divBdr>
    </w:div>
    <w:div w:id="1686130371">
      <w:bodyDiv w:val="1"/>
      <w:marLeft w:val="0"/>
      <w:marRight w:val="0"/>
      <w:marTop w:val="0"/>
      <w:marBottom w:val="0"/>
      <w:divBdr>
        <w:top w:val="none" w:sz="0" w:space="0" w:color="auto"/>
        <w:left w:val="none" w:sz="0" w:space="0" w:color="auto"/>
        <w:bottom w:val="none" w:sz="0" w:space="0" w:color="auto"/>
        <w:right w:val="none" w:sz="0" w:space="0" w:color="auto"/>
      </w:divBdr>
    </w:div>
    <w:div w:id="1687825057">
      <w:bodyDiv w:val="1"/>
      <w:marLeft w:val="0"/>
      <w:marRight w:val="0"/>
      <w:marTop w:val="0"/>
      <w:marBottom w:val="0"/>
      <w:divBdr>
        <w:top w:val="none" w:sz="0" w:space="0" w:color="auto"/>
        <w:left w:val="none" w:sz="0" w:space="0" w:color="auto"/>
        <w:bottom w:val="none" w:sz="0" w:space="0" w:color="auto"/>
        <w:right w:val="none" w:sz="0" w:space="0" w:color="auto"/>
      </w:divBdr>
    </w:div>
    <w:div w:id="1692291952">
      <w:bodyDiv w:val="1"/>
      <w:marLeft w:val="0"/>
      <w:marRight w:val="0"/>
      <w:marTop w:val="0"/>
      <w:marBottom w:val="0"/>
      <w:divBdr>
        <w:top w:val="none" w:sz="0" w:space="0" w:color="auto"/>
        <w:left w:val="none" w:sz="0" w:space="0" w:color="auto"/>
        <w:bottom w:val="none" w:sz="0" w:space="0" w:color="auto"/>
        <w:right w:val="none" w:sz="0" w:space="0" w:color="auto"/>
      </w:divBdr>
    </w:div>
    <w:div w:id="1703244657">
      <w:bodyDiv w:val="1"/>
      <w:marLeft w:val="0"/>
      <w:marRight w:val="0"/>
      <w:marTop w:val="0"/>
      <w:marBottom w:val="0"/>
      <w:divBdr>
        <w:top w:val="none" w:sz="0" w:space="0" w:color="auto"/>
        <w:left w:val="none" w:sz="0" w:space="0" w:color="auto"/>
        <w:bottom w:val="none" w:sz="0" w:space="0" w:color="auto"/>
        <w:right w:val="none" w:sz="0" w:space="0" w:color="auto"/>
      </w:divBdr>
    </w:div>
    <w:div w:id="1710102305">
      <w:bodyDiv w:val="1"/>
      <w:marLeft w:val="0"/>
      <w:marRight w:val="0"/>
      <w:marTop w:val="0"/>
      <w:marBottom w:val="0"/>
      <w:divBdr>
        <w:top w:val="none" w:sz="0" w:space="0" w:color="auto"/>
        <w:left w:val="none" w:sz="0" w:space="0" w:color="auto"/>
        <w:bottom w:val="none" w:sz="0" w:space="0" w:color="auto"/>
        <w:right w:val="none" w:sz="0" w:space="0" w:color="auto"/>
      </w:divBdr>
    </w:div>
    <w:div w:id="1712152621">
      <w:bodyDiv w:val="1"/>
      <w:marLeft w:val="0"/>
      <w:marRight w:val="0"/>
      <w:marTop w:val="0"/>
      <w:marBottom w:val="0"/>
      <w:divBdr>
        <w:top w:val="none" w:sz="0" w:space="0" w:color="auto"/>
        <w:left w:val="none" w:sz="0" w:space="0" w:color="auto"/>
        <w:bottom w:val="none" w:sz="0" w:space="0" w:color="auto"/>
        <w:right w:val="none" w:sz="0" w:space="0" w:color="auto"/>
      </w:divBdr>
    </w:div>
    <w:div w:id="1716275551">
      <w:bodyDiv w:val="1"/>
      <w:marLeft w:val="0"/>
      <w:marRight w:val="0"/>
      <w:marTop w:val="0"/>
      <w:marBottom w:val="0"/>
      <w:divBdr>
        <w:top w:val="none" w:sz="0" w:space="0" w:color="auto"/>
        <w:left w:val="none" w:sz="0" w:space="0" w:color="auto"/>
        <w:bottom w:val="none" w:sz="0" w:space="0" w:color="auto"/>
        <w:right w:val="none" w:sz="0" w:space="0" w:color="auto"/>
      </w:divBdr>
    </w:div>
    <w:div w:id="1718040661">
      <w:bodyDiv w:val="1"/>
      <w:marLeft w:val="0"/>
      <w:marRight w:val="0"/>
      <w:marTop w:val="0"/>
      <w:marBottom w:val="0"/>
      <w:divBdr>
        <w:top w:val="none" w:sz="0" w:space="0" w:color="auto"/>
        <w:left w:val="none" w:sz="0" w:space="0" w:color="auto"/>
        <w:bottom w:val="none" w:sz="0" w:space="0" w:color="auto"/>
        <w:right w:val="none" w:sz="0" w:space="0" w:color="auto"/>
      </w:divBdr>
    </w:div>
    <w:div w:id="1726369822">
      <w:bodyDiv w:val="1"/>
      <w:marLeft w:val="0"/>
      <w:marRight w:val="0"/>
      <w:marTop w:val="0"/>
      <w:marBottom w:val="0"/>
      <w:divBdr>
        <w:top w:val="none" w:sz="0" w:space="0" w:color="auto"/>
        <w:left w:val="none" w:sz="0" w:space="0" w:color="auto"/>
        <w:bottom w:val="none" w:sz="0" w:space="0" w:color="auto"/>
        <w:right w:val="none" w:sz="0" w:space="0" w:color="auto"/>
      </w:divBdr>
    </w:div>
    <w:div w:id="1729917311">
      <w:bodyDiv w:val="1"/>
      <w:marLeft w:val="0"/>
      <w:marRight w:val="0"/>
      <w:marTop w:val="0"/>
      <w:marBottom w:val="0"/>
      <w:divBdr>
        <w:top w:val="none" w:sz="0" w:space="0" w:color="auto"/>
        <w:left w:val="none" w:sz="0" w:space="0" w:color="auto"/>
        <w:bottom w:val="none" w:sz="0" w:space="0" w:color="auto"/>
        <w:right w:val="none" w:sz="0" w:space="0" w:color="auto"/>
      </w:divBdr>
    </w:div>
    <w:div w:id="1736930152">
      <w:bodyDiv w:val="1"/>
      <w:marLeft w:val="0"/>
      <w:marRight w:val="0"/>
      <w:marTop w:val="0"/>
      <w:marBottom w:val="0"/>
      <w:divBdr>
        <w:top w:val="none" w:sz="0" w:space="0" w:color="auto"/>
        <w:left w:val="none" w:sz="0" w:space="0" w:color="auto"/>
        <w:bottom w:val="none" w:sz="0" w:space="0" w:color="auto"/>
        <w:right w:val="none" w:sz="0" w:space="0" w:color="auto"/>
      </w:divBdr>
    </w:div>
    <w:div w:id="1741750916">
      <w:bodyDiv w:val="1"/>
      <w:marLeft w:val="0"/>
      <w:marRight w:val="0"/>
      <w:marTop w:val="0"/>
      <w:marBottom w:val="0"/>
      <w:divBdr>
        <w:top w:val="none" w:sz="0" w:space="0" w:color="auto"/>
        <w:left w:val="none" w:sz="0" w:space="0" w:color="auto"/>
        <w:bottom w:val="none" w:sz="0" w:space="0" w:color="auto"/>
        <w:right w:val="none" w:sz="0" w:space="0" w:color="auto"/>
      </w:divBdr>
    </w:div>
    <w:div w:id="1742485329">
      <w:bodyDiv w:val="1"/>
      <w:marLeft w:val="0"/>
      <w:marRight w:val="0"/>
      <w:marTop w:val="0"/>
      <w:marBottom w:val="0"/>
      <w:divBdr>
        <w:top w:val="none" w:sz="0" w:space="0" w:color="auto"/>
        <w:left w:val="none" w:sz="0" w:space="0" w:color="auto"/>
        <w:bottom w:val="none" w:sz="0" w:space="0" w:color="auto"/>
        <w:right w:val="none" w:sz="0" w:space="0" w:color="auto"/>
      </w:divBdr>
    </w:div>
    <w:div w:id="1743134306">
      <w:bodyDiv w:val="1"/>
      <w:marLeft w:val="0"/>
      <w:marRight w:val="0"/>
      <w:marTop w:val="0"/>
      <w:marBottom w:val="0"/>
      <w:divBdr>
        <w:top w:val="none" w:sz="0" w:space="0" w:color="auto"/>
        <w:left w:val="none" w:sz="0" w:space="0" w:color="auto"/>
        <w:bottom w:val="none" w:sz="0" w:space="0" w:color="auto"/>
        <w:right w:val="none" w:sz="0" w:space="0" w:color="auto"/>
      </w:divBdr>
    </w:div>
    <w:div w:id="1747606333">
      <w:bodyDiv w:val="1"/>
      <w:marLeft w:val="0"/>
      <w:marRight w:val="0"/>
      <w:marTop w:val="0"/>
      <w:marBottom w:val="0"/>
      <w:divBdr>
        <w:top w:val="none" w:sz="0" w:space="0" w:color="auto"/>
        <w:left w:val="none" w:sz="0" w:space="0" w:color="auto"/>
        <w:bottom w:val="none" w:sz="0" w:space="0" w:color="auto"/>
        <w:right w:val="none" w:sz="0" w:space="0" w:color="auto"/>
      </w:divBdr>
    </w:div>
    <w:div w:id="1759323878">
      <w:bodyDiv w:val="1"/>
      <w:marLeft w:val="0"/>
      <w:marRight w:val="0"/>
      <w:marTop w:val="0"/>
      <w:marBottom w:val="0"/>
      <w:divBdr>
        <w:top w:val="none" w:sz="0" w:space="0" w:color="auto"/>
        <w:left w:val="none" w:sz="0" w:space="0" w:color="auto"/>
        <w:bottom w:val="none" w:sz="0" w:space="0" w:color="auto"/>
        <w:right w:val="none" w:sz="0" w:space="0" w:color="auto"/>
      </w:divBdr>
    </w:div>
    <w:div w:id="1760710205">
      <w:bodyDiv w:val="1"/>
      <w:marLeft w:val="0"/>
      <w:marRight w:val="0"/>
      <w:marTop w:val="0"/>
      <w:marBottom w:val="0"/>
      <w:divBdr>
        <w:top w:val="none" w:sz="0" w:space="0" w:color="auto"/>
        <w:left w:val="none" w:sz="0" w:space="0" w:color="auto"/>
        <w:bottom w:val="none" w:sz="0" w:space="0" w:color="auto"/>
        <w:right w:val="none" w:sz="0" w:space="0" w:color="auto"/>
      </w:divBdr>
    </w:div>
    <w:div w:id="1761751984">
      <w:bodyDiv w:val="1"/>
      <w:marLeft w:val="0"/>
      <w:marRight w:val="0"/>
      <w:marTop w:val="0"/>
      <w:marBottom w:val="0"/>
      <w:divBdr>
        <w:top w:val="none" w:sz="0" w:space="0" w:color="auto"/>
        <w:left w:val="none" w:sz="0" w:space="0" w:color="auto"/>
        <w:bottom w:val="none" w:sz="0" w:space="0" w:color="auto"/>
        <w:right w:val="none" w:sz="0" w:space="0" w:color="auto"/>
      </w:divBdr>
    </w:div>
    <w:div w:id="1765566574">
      <w:bodyDiv w:val="1"/>
      <w:marLeft w:val="0"/>
      <w:marRight w:val="0"/>
      <w:marTop w:val="0"/>
      <w:marBottom w:val="0"/>
      <w:divBdr>
        <w:top w:val="none" w:sz="0" w:space="0" w:color="auto"/>
        <w:left w:val="none" w:sz="0" w:space="0" w:color="auto"/>
        <w:bottom w:val="none" w:sz="0" w:space="0" w:color="auto"/>
        <w:right w:val="none" w:sz="0" w:space="0" w:color="auto"/>
      </w:divBdr>
    </w:div>
    <w:div w:id="1767068415">
      <w:bodyDiv w:val="1"/>
      <w:marLeft w:val="0"/>
      <w:marRight w:val="0"/>
      <w:marTop w:val="0"/>
      <w:marBottom w:val="0"/>
      <w:divBdr>
        <w:top w:val="none" w:sz="0" w:space="0" w:color="auto"/>
        <w:left w:val="none" w:sz="0" w:space="0" w:color="auto"/>
        <w:bottom w:val="none" w:sz="0" w:space="0" w:color="auto"/>
        <w:right w:val="none" w:sz="0" w:space="0" w:color="auto"/>
      </w:divBdr>
    </w:div>
    <w:div w:id="1767656018">
      <w:bodyDiv w:val="1"/>
      <w:marLeft w:val="0"/>
      <w:marRight w:val="0"/>
      <w:marTop w:val="0"/>
      <w:marBottom w:val="0"/>
      <w:divBdr>
        <w:top w:val="none" w:sz="0" w:space="0" w:color="auto"/>
        <w:left w:val="none" w:sz="0" w:space="0" w:color="auto"/>
        <w:bottom w:val="none" w:sz="0" w:space="0" w:color="auto"/>
        <w:right w:val="none" w:sz="0" w:space="0" w:color="auto"/>
      </w:divBdr>
    </w:div>
    <w:div w:id="1770735824">
      <w:bodyDiv w:val="1"/>
      <w:marLeft w:val="0"/>
      <w:marRight w:val="0"/>
      <w:marTop w:val="0"/>
      <w:marBottom w:val="0"/>
      <w:divBdr>
        <w:top w:val="none" w:sz="0" w:space="0" w:color="auto"/>
        <w:left w:val="none" w:sz="0" w:space="0" w:color="auto"/>
        <w:bottom w:val="none" w:sz="0" w:space="0" w:color="auto"/>
        <w:right w:val="none" w:sz="0" w:space="0" w:color="auto"/>
      </w:divBdr>
    </w:div>
    <w:div w:id="1771463900">
      <w:bodyDiv w:val="1"/>
      <w:marLeft w:val="0"/>
      <w:marRight w:val="0"/>
      <w:marTop w:val="0"/>
      <w:marBottom w:val="0"/>
      <w:divBdr>
        <w:top w:val="none" w:sz="0" w:space="0" w:color="auto"/>
        <w:left w:val="none" w:sz="0" w:space="0" w:color="auto"/>
        <w:bottom w:val="none" w:sz="0" w:space="0" w:color="auto"/>
        <w:right w:val="none" w:sz="0" w:space="0" w:color="auto"/>
      </w:divBdr>
    </w:div>
    <w:div w:id="1775050170">
      <w:bodyDiv w:val="1"/>
      <w:marLeft w:val="0"/>
      <w:marRight w:val="0"/>
      <w:marTop w:val="0"/>
      <w:marBottom w:val="0"/>
      <w:divBdr>
        <w:top w:val="none" w:sz="0" w:space="0" w:color="auto"/>
        <w:left w:val="none" w:sz="0" w:space="0" w:color="auto"/>
        <w:bottom w:val="none" w:sz="0" w:space="0" w:color="auto"/>
        <w:right w:val="none" w:sz="0" w:space="0" w:color="auto"/>
      </w:divBdr>
    </w:div>
    <w:div w:id="1777865050">
      <w:bodyDiv w:val="1"/>
      <w:marLeft w:val="0"/>
      <w:marRight w:val="0"/>
      <w:marTop w:val="0"/>
      <w:marBottom w:val="0"/>
      <w:divBdr>
        <w:top w:val="none" w:sz="0" w:space="0" w:color="auto"/>
        <w:left w:val="none" w:sz="0" w:space="0" w:color="auto"/>
        <w:bottom w:val="none" w:sz="0" w:space="0" w:color="auto"/>
        <w:right w:val="none" w:sz="0" w:space="0" w:color="auto"/>
      </w:divBdr>
    </w:div>
    <w:div w:id="1781342219">
      <w:bodyDiv w:val="1"/>
      <w:marLeft w:val="0"/>
      <w:marRight w:val="0"/>
      <w:marTop w:val="0"/>
      <w:marBottom w:val="0"/>
      <w:divBdr>
        <w:top w:val="none" w:sz="0" w:space="0" w:color="auto"/>
        <w:left w:val="none" w:sz="0" w:space="0" w:color="auto"/>
        <w:bottom w:val="none" w:sz="0" w:space="0" w:color="auto"/>
        <w:right w:val="none" w:sz="0" w:space="0" w:color="auto"/>
      </w:divBdr>
    </w:div>
    <w:div w:id="1792746949">
      <w:bodyDiv w:val="1"/>
      <w:marLeft w:val="0"/>
      <w:marRight w:val="0"/>
      <w:marTop w:val="0"/>
      <w:marBottom w:val="0"/>
      <w:divBdr>
        <w:top w:val="none" w:sz="0" w:space="0" w:color="auto"/>
        <w:left w:val="none" w:sz="0" w:space="0" w:color="auto"/>
        <w:bottom w:val="none" w:sz="0" w:space="0" w:color="auto"/>
        <w:right w:val="none" w:sz="0" w:space="0" w:color="auto"/>
      </w:divBdr>
    </w:div>
    <w:div w:id="1802066604">
      <w:bodyDiv w:val="1"/>
      <w:marLeft w:val="0"/>
      <w:marRight w:val="0"/>
      <w:marTop w:val="0"/>
      <w:marBottom w:val="0"/>
      <w:divBdr>
        <w:top w:val="none" w:sz="0" w:space="0" w:color="auto"/>
        <w:left w:val="none" w:sz="0" w:space="0" w:color="auto"/>
        <w:bottom w:val="none" w:sz="0" w:space="0" w:color="auto"/>
        <w:right w:val="none" w:sz="0" w:space="0" w:color="auto"/>
      </w:divBdr>
    </w:div>
    <w:div w:id="1802266389">
      <w:bodyDiv w:val="1"/>
      <w:marLeft w:val="0"/>
      <w:marRight w:val="0"/>
      <w:marTop w:val="0"/>
      <w:marBottom w:val="0"/>
      <w:divBdr>
        <w:top w:val="none" w:sz="0" w:space="0" w:color="auto"/>
        <w:left w:val="none" w:sz="0" w:space="0" w:color="auto"/>
        <w:bottom w:val="none" w:sz="0" w:space="0" w:color="auto"/>
        <w:right w:val="none" w:sz="0" w:space="0" w:color="auto"/>
      </w:divBdr>
    </w:div>
    <w:div w:id="1802768241">
      <w:bodyDiv w:val="1"/>
      <w:marLeft w:val="0"/>
      <w:marRight w:val="0"/>
      <w:marTop w:val="0"/>
      <w:marBottom w:val="0"/>
      <w:divBdr>
        <w:top w:val="none" w:sz="0" w:space="0" w:color="auto"/>
        <w:left w:val="none" w:sz="0" w:space="0" w:color="auto"/>
        <w:bottom w:val="none" w:sz="0" w:space="0" w:color="auto"/>
        <w:right w:val="none" w:sz="0" w:space="0" w:color="auto"/>
      </w:divBdr>
    </w:div>
    <w:div w:id="1809200239">
      <w:bodyDiv w:val="1"/>
      <w:marLeft w:val="0"/>
      <w:marRight w:val="0"/>
      <w:marTop w:val="0"/>
      <w:marBottom w:val="0"/>
      <w:divBdr>
        <w:top w:val="none" w:sz="0" w:space="0" w:color="auto"/>
        <w:left w:val="none" w:sz="0" w:space="0" w:color="auto"/>
        <w:bottom w:val="none" w:sz="0" w:space="0" w:color="auto"/>
        <w:right w:val="none" w:sz="0" w:space="0" w:color="auto"/>
      </w:divBdr>
    </w:div>
    <w:div w:id="1813518225">
      <w:bodyDiv w:val="1"/>
      <w:marLeft w:val="0"/>
      <w:marRight w:val="0"/>
      <w:marTop w:val="0"/>
      <w:marBottom w:val="0"/>
      <w:divBdr>
        <w:top w:val="none" w:sz="0" w:space="0" w:color="auto"/>
        <w:left w:val="none" w:sz="0" w:space="0" w:color="auto"/>
        <w:bottom w:val="none" w:sz="0" w:space="0" w:color="auto"/>
        <w:right w:val="none" w:sz="0" w:space="0" w:color="auto"/>
      </w:divBdr>
    </w:div>
    <w:div w:id="1826237643">
      <w:bodyDiv w:val="1"/>
      <w:marLeft w:val="0"/>
      <w:marRight w:val="0"/>
      <w:marTop w:val="0"/>
      <w:marBottom w:val="0"/>
      <w:divBdr>
        <w:top w:val="none" w:sz="0" w:space="0" w:color="auto"/>
        <w:left w:val="none" w:sz="0" w:space="0" w:color="auto"/>
        <w:bottom w:val="none" w:sz="0" w:space="0" w:color="auto"/>
        <w:right w:val="none" w:sz="0" w:space="0" w:color="auto"/>
      </w:divBdr>
    </w:div>
    <w:div w:id="1836460546">
      <w:bodyDiv w:val="1"/>
      <w:marLeft w:val="0"/>
      <w:marRight w:val="0"/>
      <w:marTop w:val="0"/>
      <w:marBottom w:val="0"/>
      <w:divBdr>
        <w:top w:val="none" w:sz="0" w:space="0" w:color="auto"/>
        <w:left w:val="none" w:sz="0" w:space="0" w:color="auto"/>
        <w:bottom w:val="none" w:sz="0" w:space="0" w:color="auto"/>
        <w:right w:val="none" w:sz="0" w:space="0" w:color="auto"/>
      </w:divBdr>
    </w:div>
    <w:div w:id="1845127260">
      <w:bodyDiv w:val="1"/>
      <w:marLeft w:val="0"/>
      <w:marRight w:val="0"/>
      <w:marTop w:val="0"/>
      <w:marBottom w:val="0"/>
      <w:divBdr>
        <w:top w:val="none" w:sz="0" w:space="0" w:color="auto"/>
        <w:left w:val="none" w:sz="0" w:space="0" w:color="auto"/>
        <w:bottom w:val="none" w:sz="0" w:space="0" w:color="auto"/>
        <w:right w:val="none" w:sz="0" w:space="0" w:color="auto"/>
      </w:divBdr>
    </w:div>
    <w:div w:id="1850439018">
      <w:bodyDiv w:val="1"/>
      <w:marLeft w:val="0"/>
      <w:marRight w:val="0"/>
      <w:marTop w:val="0"/>
      <w:marBottom w:val="0"/>
      <w:divBdr>
        <w:top w:val="none" w:sz="0" w:space="0" w:color="auto"/>
        <w:left w:val="none" w:sz="0" w:space="0" w:color="auto"/>
        <w:bottom w:val="none" w:sz="0" w:space="0" w:color="auto"/>
        <w:right w:val="none" w:sz="0" w:space="0" w:color="auto"/>
      </w:divBdr>
    </w:div>
    <w:div w:id="1858692052">
      <w:bodyDiv w:val="1"/>
      <w:marLeft w:val="0"/>
      <w:marRight w:val="0"/>
      <w:marTop w:val="0"/>
      <w:marBottom w:val="0"/>
      <w:divBdr>
        <w:top w:val="none" w:sz="0" w:space="0" w:color="auto"/>
        <w:left w:val="none" w:sz="0" w:space="0" w:color="auto"/>
        <w:bottom w:val="none" w:sz="0" w:space="0" w:color="auto"/>
        <w:right w:val="none" w:sz="0" w:space="0" w:color="auto"/>
      </w:divBdr>
    </w:div>
    <w:div w:id="1870951704">
      <w:bodyDiv w:val="1"/>
      <w:marLeft w:val="0"/>
      <w:marRight w:val="0"/>
      <w:marTop w:val="0"/>
      <w:marBottom w:val="0"/>
      <w:divBdr>
        <w:top w:val="none" w:sz="0" w:space="0" w:color="auto"/>
        <w:left w:val="none" w:sz="0" w:space="0" w:color="auto"/>
        <w:bottom w:val="none" w:sz="0" w:space="0" w:color="auto"/>
        <w:right w:val="none" w:sz="0" w:space="0" w:color="auto"/>
      </w:divBdr>
    </w:div>
    <w:div w:id="1875606561">
      <w:bodyDiv w:val="1"/>
      <w:marLeft w:val="0"/>
      <w:marRight w:val="0"/>
      <w:marTop w:val="0"/>
      <w:marBottom w:val="0"/>
      <w:divBdr>
        <w:top w:val="none" w:sz="0" w:space="0" w:color="auto"/>
        <w:left w:val="none" w:sz="0" w:space="0" w:color="auto"/>
        <w:bottom w:val="none" w:sz="0" w:space="0" w:color="auto"/>
        <w:right w:val="none" w:sz="0" w:space="0" w:color="auto"/>
      </w:divBdr>
    </w:div>
    <w:div w:id="1877963009">
      <w:bodyDiv w:val="1"/>
      <w:marLeft w:val="0"/>
      <w:marRight w:val="0"/>
      <w:marTop w:val="0"/>
      <w:marBottom w:val="0"/>
      <w:divBdr>
        <w:top w:val="none" w:sz="0" w:space="0" w:color="auto"/>
        <w:left w:val="none" w:sz="0" w:space="0" w:color="auto"/>
        <w:bottom w:val="none" w:sz="0" w:space="0" w:color="auto"/>
        <w:right w:val="none" w:sz="0" w:space="0" w:color="auto"/>
      </w:divBdr>
    </w:div>
    <w:div w:id="1883400022">
      <w:bodyDiv w:val="1"/>
      <w:marLeft w:val="0"/>
      <w:marRight w:val="0"/>
      <w:marTop w:val="0"/>
      <w:marBottom w:val="0"/>
      <w:divBdr>
        <w:top w:val="none" w:sz="0" w:space="0" w:color="auto"/>
        <w:left w:val="none" w:sz="0" w:space="0" w:color="auto"/>
        <w:bottom w:val="none" w:sz="0" w:space="0" w:color="auto"/>
        <w:right w:val="none" w:sz="0" w:space="0" w:color="auto"/>
      </w:divBdr>
    </w:div>
    <w:div w:id="1890455462">
      <w:bodyDiv w:val="1"/>
      <w:marLeft w:val="0"/>
      <w:marRight w:val="0"/>
      <w:marTop w:val="0"/>
      <w:marBottom w:val="0"/>
      <w:divBdr>
        <w:top w:val="none" w:sz="0" w:space="0" w:color="auto"/>
        <w:left w:val="none" w:sz="0" w:space="0" w:color="auto"/>
        <w:bottom w:val="none" w:sz="0" w:space="0" w:color="auto"/>
        <w:right w:val="none" w:sz="0" w:space="0" w:color="auto"/>
      </w:divBdr>
    </w:div>
    <w:div w:id="1892112204">
      <w:bodyDiv w:val="1"/>
      <w:marLeft w:val="0"/>
      <w:marRight w:val="0"/>
      <w:marTop w:val="0"/>
      <w:marBottom w:val="0"/>
      <w:divBdr>
        <w:top w:val="none" w:sz="0" w:space="0" w:color="auto"/>
        <w:left w:val="none" w:sz="0" w:space="0" w:color="auto"/>
        <w:bottom w:val="none" w:sz="0" w:space="0" w:color="auto"/>
        <w:right w:val="none" w:sz="0" w:space="0" w:color="auto"/>
      </w:divBdr>
    </w:div>
    <w:div w:id="1896768988">
      <w:bodyDiv w:val="1"/>
      <w:marLeft w:val="0"/>
      <w:marRight w:val="0"/>
      <w:marTop w:val="0"/>
      <w:marBottom w:val="0"/>
      <w:divBdr>
        <w:top w:val="none" w:sz="0" w:space="0" w:color="auto"/>
        <w:left w:val="none" w:sz="0" w:space="0" w:color="auto"/>
        <w:bottom w:val="none" w:sz="0" w:space="0" w:color="auto"/>
        <w:right w:val="none" w:sz="0" w:space="0" w:color="auto"/>
      </w:divBdr>
    </w:div>
    <w:div w:id="1898931244">
      <w:bodyDiv w:val="1"/>
      <w:marLeft w:val="0"/>
      <w:marRight w:val="0"/>
      <w:marTop w:val="0"/>
      <w:marBottom w:val="0"/>
      <w:divBdr>
        <w:top w:val="none" w:sz="0" w:space="0" w:color="auto"/>
        <w:left w:val="none" w:sz="0" w:space="0" w:color="auto"/>
        <w:bottom w:val="none" w:sz="0" w:space="0" w:color="auto"/>
        <w:right w:val="none" w:sz="0" w:space="0" w:color="auto"/>
      </w:divBdr>
    </w:div>
    <w:div w:id="1900434508">
      <w:bodyDiv w:val="1"/>
      <w:marLeft w:val="0"/>
      <w:marRight w:val="0"/>
      <w:marTop w:val="0"/>
      <w:marBottom w:val="0"/>
      <w:divBdr>
        <w:top w:val="none" w:sz="0" w:space="0" w:color="auto"/>
        <w:left w:val="none" w:sz="0" w:space="0" w:color="auto"/>
        <w:bottom w:val="none" w:sz="0" w:space="0" w:color="auto"/>
        <w:right w:val="none" w:sz="0" w:space="0" w:color="auto"/>
      </w:divBdr>
    </w:div>
    <w:div w:id="1904438539">
      <w:bodyDiv w:val="1"/>
      <w:marLeft w:val="0"/>
      <w:marRight w:val="0"/>
      <w:marTop w:val="0"/>
      <w:marBottom w:val="0"/>
      <w:divBdr>
        <w:top w:val="none" w:sz="0" w:space="0" w:color="auto"/>
        <w:left w:val="none" w:sz="0" w:space="0" w:color="auto"/>
        <w:bottom w:val="none" w:sz="0" w:space="0" w:color="auto"/>
        <w:right w:val="none" w:sz="0" w:space="0" w:color="auto"/>
      </w:divBdr>
    </w:div>
    <w:div w:id="1905682231">
      <w:bodyDiv w:val="1"/>
      <w:marLeft w:val="0"/>
      <w:marRight w:val="0"/>
      <w:marTop w:val="0"/>
      <w:marBottom w:val="0"/>
      <w:divBdr>
        <w:top w:val="none" w:sz="0" w:space="0" w:color="auto"/>
        <w:left w:val="none" w:sz="0" w:space="0" w:color="auto"/>
        <w:bottom w:val="none" w:sz="0" w:space="0" w:color="auto"/>
        <w:right w:val="none" w:sz="0" w:space="0" w:color="auto"/>
      </w:divBdr>
    </w:div>
    <w:div w:id="1907645969">
      <w:bodyDiv w:val="1"/>
      <w:marLeft w:val="0"/>
      <w:marRight w:val="0"/>
      <w:marTop w:val="0"/>
      <w:marBottom w:val="0"/>
      <w:divBdr>
        <w:top w:val="none" w:sz="0" w:space="0" w:color="auto"/>
        <w:left w:val="none" w:sz="0" w:space="0" w:color="auto"/>
        <w:bottom w:val="none" w:sz="0" w:space="0" w:color="auto"/>
        <w:right w:val="none" w:sz="0" w:space="0" w:color="auto"/>
      </w:divBdr>
    </w:div>
    <w:div w:id="1914468089">
      <w:bodyDiv w:val="1"/>
      <w:marLeft w:val="0"/>
      <w:marRight w:val="0"/>
      <w:marTop w:val="0"/>
      <w:marBottom w:val="0"/>
      <w:divBdr>
        <w:top w:val="none" w:sz="0" w:space="0" w:color="auto"/>
        <w:left w:val="none" w:sz="0" w:space="0" w:color="auto"/>
        <w:bottom w:val="none" w:sz="0" w:space="0" w:color="auto"/>
        <w:right w:val="none" w:sz="0" w:space="0" w:color="auto"/>
      </w:divBdr>
    </w:div>
    <w:div w:id="1919633238">
      <w:bodyDiv w:val="1"/>
      <w:marLeft w:val="0"/>
      <w:marRight w:val="0"/>
      <w:marTop w:val="0"/>
      <w:marBottom w:val="0"/>
      <w:divBdr>
        <w:top w:val="none" w:sz="0" w:space="0" w:color="auto"/>
        <w:left w:val="none" w:sz="0" w:space="0" w:color="auto"/>
        <w:bottom w:val="none" w:sz="0" w:space="0" w:color="auto"/>
        <w:right w:val="none" w:sz="0" w:space="0" w:color="auto"/>
      </w:divBdr>
    </w:div>
    <w:div w:id="1919751492">
      <w:bodyDiv w:val="1"/>
      <w:marLeft w:val="0"/>
      <w:marRight w:val="0"/>
      <w:marTop w:val="0"/>
      <w:marBottom w:val="0"/>
      <w:divBdr>
        <w:top w:val="none" w:sz="0" w:space="0" w:color="auto"/>
        <w:left w:val="none" w:sz="0" w:space="0" w:color="auto"/>
        <w:bottom w:val="none" w:sz="0" w:space="0" w:color="auto"/>
        <w:right w:val="none" w:sz="0" w:space="0" w:color="auto"/>
      </w:divBdr>
    </w:div>
    <w:div w:id="1922330290">
      <w:bodyDiv w:val="1"/>
      <w:marLeft w:val="0"/>
      <w:marRight w:val="0"/>
      <w:marTop w:val="0"/>
      <w:marBottom w:val="0"/>
      <w:divBdr>
        <w:top w:val="none" w:sz="0" w:space="0" w:color="auto"/>
        <w:left w:val="none" w:sz="0" w:space="0" w:color="auto"/>
        <w:bottom w:val="none" w:sz="0" w:space="0" w:color="auto"/>
        <w:right w:val="none" w:sz="0" w:space="0" w:color="auto"/>
      </w:divBdr>
    </w:div>
    <w:div w:id="1927689244">
      <w:bodyDiv w:val="1"/>
      <w:marLeft w:val="0"/>
      <w:marRight w:val="0"/>
      <w:marTop w:val="0"/>
      <w:marBottom w:val="0"/>
      <w:divBdr>
        <w:top w:val="none" w:sz="0" w:space="0" w:color="auto"/>
        <w:left w:val="none" w:sz="0" w:space="0" w:color="auto"/>
        <w:bottom w:val="none" w:sz="0" w:space="0" w:color="auto"/>
        <w:right w:val="none" w:sz="0" w:space="0" w:color="auto"/>
      </w:divBdr>
    </w:div>
    <w:div w:id="1927839424">
      <w:bodyDiv w:val="1"/>
      <w:marLeft w:val="0"/>
      <w:marRight w:val="0"/>
      <w:marTop w:val="0"/>
      <w:marBottom w:val="0"/>
      <w:divBdr>
        <w:top w:val="none" w:sz="0" w:space="0" w:color="auto"/>
        <w:left w:val="none" w:sz="0" w:space="0" w:color="auto"/>
        <w:bottom w:val="none" w:sz="0" w:space="0" w:color="auto"/>
        <w:right w:val="none" w:sz="0" w:space="0" w:color="auto"/>
      </w:divBdr>
    </w:div>
    <w:div w:id="1928418322">
      <w:bodyDiv w:val="1"/>
      <w:marLeft w:val="0"/>
      <w:marRight w:val="0"/>
      <w:marTop w:val="0"/>
      <w:marBottom w:val="0"/>
      <w:divBdr>
        <w:top w:val="none" w:sz="0" w:space="0" w:color="auto"/>
        <w:left w:val="none" w:sz="0" w:space="0" w:color="auto"/>
        <w:bottom w:val="none" w:sz="0" w:space="0" w:color="auto"/>
        <w:right w:val="none" w:sz="0" w:space="0" w:color="auto"/>
      </w:divBdr>
    </w:div>
    <w:div w:id="1929658449">
      <w:bodyDiv w:val="1"/>
      <w:marLeft w:val="0"/>
      <w:marRight w:val="0"/>
      <w:marTop w:val="0"/>
      <w:marBottom w:val="0"/>
      <w:divBdr>
        <w:top w:val="none" w:sz="0" w:space="0" w:color="auto"/>
        <w:left w:val="none" w:sz="0" w:space="0" w:color="auto"/>
        <w:bottom w:val="none" w:sz="0" w:space="0" w:color="auto"/>
        <w:right w:val="none" w:sz="0" w:space="0" w:color="auto"/>
      </w:divBdr>
    </w:div>
    <w:div w:id="1930701014">
      <w:bodyDiv w:val="1"/>
      <w:marLeft w:val="0"/>
      <w:marRight w:val="0"/>
      <w:marTop w:val="0"/>
      <w:marBottom w:val="0"/>
      <w:divBdr>
        <w:top w:val="none" w:sz="0" w:space="0" w:color="auto"/>
        <w:left w:val="none" w:sz="0" w:space="0" w:color="auto"/>
        <w:bottom w:val="none" w:sz="0" w:space="0" w:color="auto"/>
        <w:right w:val="none" w:sz="0" w:space="0" w:color="auto"/>
      </w:divBdr>
    </w:div>
    <w:div w:id="1936817198">
      <w:bodyDiv w:val="1"/>
      <w:marLeft w:val="0"/>
      <w:marRight w:val="0"/>
      <w:marTop w:val="0"/>
      <w:marBottom w:val="0"/>
      <w:divBdr>
        <w:top w:val="none" w:sz="0" w:space="0" w:color="auto"/>
        <w:left w:val="none" w:sz="0" w:space="0" w:color="auto"/>
        <w:bottom w:val="none" w:sz="0" w:space="0" w:color="auto"/>
        <w:right w:val="none" w:sz="0" w:space="0" w:color="auto"/>
      </w:divBdr>
    </w:div>
    <w:div w:id="1954508615">
      <w:bodyDiv w:val="1"/>
      <w:marLeft w:val="0"/>
      <w:marRight w:val="0"/>
      <w:marTop w:val="0"/>
      <w:marBottom w:val="0"/>
      <w:divBdr>
        <w:top w:val="none" w:sz="0" w:space="0" w:color="auto"/>
        <w:left w:val="none" w:sz="0" w:space="0" w:color="auto"/>
        <w:bottom w:val="none" w:sz="0" w:space="0" w:color="auto"/>
        <w:right w:val="none" w:sz="0" w:space="0" w:color="auto"/>
      </w:divBdr>
    </w:div>
    <w:div w:id="1955406410">
      <w:bodyDiv w:val="1"/>
      <w:marLeft w:val="0"/>
      <w:marRight w:val="0"/>
      <w:marTop w:val="0"/>
      <w:marBottom w:val="0"/>
      <w:divBdr>
        <w:top w:val="none" w:sz="0" w:space="0" w:color="auto"/>
        <w:left w:val="none" w:sz="0" w:space="0" w:color="auto"/>
        <w:bottom w:val="none" w:sz="0" w:space="0" w:color="auto"/>
        <w:right w:val="none" w:sz="0" w:space="0" w:color="auto"/>
      </w:divBdr>
    </w:div>
    <w:div w:id="1956403662">
      <w:bodyDiv w:val="1"/>
      <w:marLeft w:val="0"/>
      <w:marRight w:val="0"/>
      <w:marTop w:val="0"/>
      <w:marBottom w:val="0"/>
      <w:divBdr>
        <w:top w:val="none" w:sz="0" w:space="0" w:color="auto"/>
        <w:left w:val="none" w:sz="0" w:space="0" w:color="auto"/>
        <w:bottom w:val="none" w:sz="0" w:space="0" w:color="auto"/>
        <w:right w:val="none" w:sz="0" w:space="0" w:color="auto"/>
      </w:divBdr>
    </w:div>
    <w:div w:id="1958290097">
      <w:bodyDiv w:val="1"/>
      <w:marLeft w:val="0"/>
      <w:marRight w:val="0"/>
      <w:marTop w:val="0"/>
      <w:marBottom w:val="0"/>
      <w:divBdr>
        <w:top w:val="none" w:sz="0" w:space="0" w:color="auto"/>
        <w:left w:val="none" w:sz="0" w:space="0" w:color="auto"/>
        <w:bottom w:val="none" w:sz="0" w:space="0" w:color="auto"/>
        <w:right w:val="none" w:sz="0" w:space="0" w:color="auto"/>
      </w:divBdr>
    </w:div>
    <w:div w:id="1959339204">
      <w:bodyDiv w:val="1"/>
      <w:marLeft w:val="0"/>
      <w:marRight w:val="0"/>
      <w:marTop w:val="0"/>
      <w:marBottom w:val="0"/>
      <w:divBdr>
        <w:top w:val="none" w:sz="0" w:space="0" w:color="auto"/>
        <w:left w:val="none" w:sz="0" w:space="0" w:color="auto"/>
        <w:bottom w:val="none" w:sz="0" w:space="0" w:color="auto"/>
        <w:right w:val="none" w:sz="0" w:space="0" w:color="auto"/>
      </w:divBdr>
    </w:div>
    <w:div w:id="1967157079">
      <w:bodyDiv w:val="1"/>
      <w:marLeft w:val="0"/>
      <w:marRight w:val="0"/>
      <w:marTop w:val="0"/>
      <w:marBottom w:val="0"/>
      <w:divBdr>
        <w:top w:val="none" w:sz="0" w:space="0" w:color="auto"/>
        <w:left w:val="none" w:sz="0" w:space="0" w:color="auto"/>
        <w:bottom w:val="none" w:sz="0" w:space="0" w:color="auto"/>
        <w:right w:val="none" w:sz="0" w:space="0" w:color="auto"/>
      </w:divBdr>
    </w:div>
    <w:div w:id="1967858309">
      <w:bodyDiv w:val="1"/>
      <w:marLeft w:val="0"/>
      <w:marRight w:val="0"/>
      <w:marTop w:val="0"/>
      <w:marBottom w:val="0"/>
      <w:divBdr>
        <w:top w:val="none" w:sz="0" w:space="0" w:color="auto"/>
        <w:left w:val="none" w:sz="0" w:space="0" w:color="auto"/>
        <w:bottom w:val="none" w:sz="0" w:space="0" w:color="auto"/>
        <w:right w:val="none" w:sz="0" w:space="0" w:color="auto"/>
      </w:divBdr>
    </w:div>
    <w:div w:id="1969698516">
      <w:bodyDiv w:val="1"/>
      <w:marLeft w:val="0"/>
      <w:marRight w:val="0"/>
      <w:marTop w:val="0"/>
      <w:marBottom w:val="0"/>
      <w:divBdr>
        <w:top w:val="none" w:sz="0" w:space="0" w:color="auto"/>
        <w:left w:val="none" w:sz="0" w:space="0" w:color="auto"/>
        <w:bottom w:val="none" w:sz="0" w:space="0" w:color="auto"/>
        <w:right w:val="none" w:sz="0" w:space="0" w:color="auto"/>
      </w:divBdr>
    </w:div>
    <w:div w:id="1972133502">
      <w:bodyDiv w:val="1"/>
      <w:marLeft w:val="0"/>
      <w:marRight w:val="0"/>
      <w:marTop w:val="0"/>
      <w:marBottom w:val="0"/>
      <w:divBdr>
        <w:top w:val="none" w:sz="0" w:space="0" w:color="auto"/>
        <w:left w:val="none" w:sz="0" w:space="0" w:color="auto"/>
        <w:bottom w:val="none" w:sz="0" w:space="0" w:color="auto"/>
        <w:right w:val="none" w:sz="0" w:space="0" w:color="auto"/>
      </w:divBdr>
    </w:div>
    <w:div w:id="1979601602">
      <w:bodyDiv w:val="1"/>
      <w:marLeft w:val="0"/>
      <w:marRight w:val="0"/>
      <w:marTop w:val="0"/>
      <w:marBottom w:val="0"/>
      <w:divBdr>
        <w:top w:val="none" w:sz="0" w:space="0" w:color="auto"/>
        <w:left w:val="none" w:sz="0" w:space="0" w:color="auto"/>
        <w:bottom w:val="none" w:sz="0" w:space="0" w:color="auto"/>
        <w:right w:val="none" w:sz="0" w:space="0" w:color="auto"/>
      </w:divBdr>
    </w:div>
    <w:div w:id="1982691876">
      <w:bodyDiv w:val="1"/>
      <w:marLeft w:val="0"/>
      <w:marRight w:val="0"/>
      <w:marTop w:val="0"/>
      <w:marBottom w:val="0"/>
      <w:divBdr>
        <w:top w:val="none" w:sz="0" w:space="0" w:color="auto"/>
        <w:left w:val="none" w:sz="0" w:space="0" w:color="auto"/>
        <w:bottom w:val="none" w:sz="0" w:space="0" w:color="auto"/>
        <w:right w:val="none" w:sz="0" w:space="0" w:color="auto"/>
      </w:divBdr>
    </w:div>
    <w:div w:id="1986397786">
      <w:bodyDiv w:val="1"/>
      <w:marLeft w:val="0"/>
      <w:marRight w:val="0"/>
      <w:marTop w:val="0"/>
      <w:marBottom w:val="0"/>
      <w:divBdr>
        <w:top w:val="none" w:sz="0" w:space="0" w:color="auto"/>
        <w:left w:val="none" w:sz="0" w:space="0" w:color="auto"/>
        <w:bottom w:val="none" w:sz="0" w:space="0" w:color="auto"/>
        <w:right w:val="none" w:sz="0" w:space="0" w:color="auto"/>
      </w:divBdr>
    </w:div>
    <w:div w:id="1990283991">
      <w:bodyDiv w:val="1"/>
      <w:marLeft w:val="0"/>
      <w:marRight w:val="0"/>
      <w:marTop w:val="0"/>
      <w:marBottom w:val="0"/>
      <w:divBdr>
        <w:top w:val="none" w:sz="0" w:space="0" w:color="auto"/>
        <w:left w:val="none" w:sz="0" w:space="0" w:color="auto"/>
        <w:bottom w:val="none" w:sz="0" w:space="0" w:color="auto"/>
        <w:right w:val="none" w:sz="0" w:space="0" w:color="auto"/>
      </w:divBdr>
    </w:div>
    <w:div w:id="1991250285">
      <w:bodyDiv w:val="1"/>
      <w:marLeft w:val="0"/>
      <w:marRight w:val="0"/>
      <w:marTop w:val="0"/>
      <w:marBottom w:val="0"/>
      <w:divBdr>
        <w:top w:val="none" w:sz="0" w:space="0" w:color="auto"/>
        <w:left w:val="none" w:sz="0" w:space="0" w:color="auto"/>
        <w:bottom w:val="none" w:sz="0" w:space="0" w:color="auto"/>
        <w:right w:val="none" w:sz="0" w:space="0" w:color="auto"/>
      </w:divBdr>
    </w:div>
    <w:div w:id="1999069056">
      <w:bodyDiv w:val="1"/>
      <w:marLeft w:val="0"/>
      <w:marRight w:val="0"/>
      <w:marTop w:val="0"/>
      <w:marBottom w:val="0"/>
      <w:divBdr>
        <w:top w:val="none" w:sz="0" w:space="0" w:color="auto"/>
        <w:left w:val="none" w:sz="0" w:space="0" w:color="auto"/>
        <w:bottom w:val="none" w:sz="0" w:space="0" w:color="auto"/>
        <w:right w:val="none" w:sz="0" w:space="0" w:color="auto"/>
      </w:divBdr>
    </w:div>
    <w:div w:id="1999071168">
      <w:bodyDiv w:val="1"/>
      <w:marLeft w:val="0"/>
      <w:marRight w:val="0"/>
      <w:marTop w:val="0"/>
      <w:marBottom w:val="0"/>
      <w:divBdr>
        <w:top w:val="none" w:sz="0" w:space="0" w:color="auto"/>
        <w:left w:val="none" w:sz="0" w:space="0" w:color="auto"/>
        <w:bottom w:val="none" w:sz="0" w:space="0" w:color="auto"/>
        <w:right w:val="none" w:sz="0" w:space="0" w:color="auto"/>
      </w:divBdr>
    </w:div>
    <w:div w:id="2001343866">
      <w:bodyDiv w:val="1"/>
      <w:marLeft w:val="0"/>
      <w:marRight w:val="0"/>
      <w:marTop w:val="0"/>
      <w:marBottom w:val="0"/>
      <w:divBdr>
        <w:top w:val="none" w:sz="0" w:space="0" w:color="auto"/>
        <w:left w:val="none" w:sz="0" w:space="0" w:color="auto"/>
        <w:bottom w:val="none" w:sz="0" w:space="0" w:color="auto"/>
        <w:right w:val="none" w:sz="0" w:space="0" w:color="auto"/>
      </w:divBdr>
    </w:div>
    <w:div w:id="2007394624">
      <w:bodyDiv w:val="1"/>
      <w:marLeft w:val="0"/>
      <w:marRight w:val="0"/>
      <w:marTop w:val="0"/>
      <w:marBottom w:val="0"/>
      <w:divBdr>
        <w:top w:val="none" w:sz="0" w:space="0" w:color="auto"/>
        <w:left w:val="none" w:sz="0" w:space="0" w:color="auto"/>
        <w:bottom w:val="none" w:sz="0" w:space="0" w:color="auto"/>
        <w:right w:val="none" w:sz="0" w:space="0" w:color="auto"/>
      </w:divBdr>
    </w:div>
    <w:div w:id="2014991266">
      <w:bodyDiv w:val="1"/>
      <w:marLeft w:val="0"/>
      <w:marRight w:val="0"/>
      <w:marTop w:val="0"/>
      <w:marBottom w:val="0"/>
      <w:divBdr>
        <w:top w:val="none" w:sz="0" w:space="0" w:color="auto"/>
        <w:left w:val="none" w:sz="0" w:space="0" w:color="auto"/>
        <w:bottom w:val="none" w:sz="0" w:space="0" w:color="auto"/>
        <w:right w:val="none" w:sz="0" w:space="0" w:color="auto"/>
      </w:divBdr>
    </w:div>
    <w:div w:id="2017417431">
      <w:bodyDiv w:val="1"/>
      <w:marLeft w:val="0"/>
      <w:marRight w:val="0"/>
      <w:marTop w:val="0"/>
      <w:marBottom w:val="0"/>
      <w:divBdr>
        <w:top w:val="none" w:sz="0" w:space="0" w:color="auto"/>
        <w:left w:val="none" w:sz="0" w:space="0" w:color="auto"/>
        <w:bottom w:val="none" w:sz="0" w:space="0" w:color="auto"/>
        <w:right w:val="none" w:sz="0" w:space="0" w:color="auto"/>
      </w:divBdr>
    </w:div>
    <w:div w:id="2020083945">
      <w:bodyDiv w:val="1"/>
      <w:marLeft w:val="0"/>
      <w:marRight w:val="0"/>
      <w:marTop w:val="0"/>
      <w:marBottom w:val="0"/>
      <w:divBdr>
        <w:top w:val="none" w:sz="0" w:space="0" w:color="auto"/>
        <w:left w:val="none" w:sz="0" w:space="0" w:color="auto"/>
        <w:bottom w:val="none" w:sz="0" w:space="0" w:color="auto"/>
        <w:right w:val="none" w:sz="0" w:space="0" w:color="auto"/>
      </w:divBdr>
    </w:div>
    <w:div w:id="2027752874">
      <w:bodyDiv w:val="1"/>
      <w:marLeft w:val="0"/>
      <w:marRight w:val="0"/>
      <w:marTop w:val="0"/>
      <w:marBottom w:val="0"/>
      <w:divBdr>
        <w:top w:val="none" w:sz="0" w:space="0" w:color="auto"/>
        <w:left w:val="none" w:sz="0" w:space="0" w:color="auto"/>
        <w:bottom w:val="none" w:sz="0" w:space="0" w:color="auto"/>
        <w:right w:val="none" w:sz="0" w:space="0" w:color="auto"/>
      </w:divBdr>
    </w:div>
    <w:div w:id="2033262472">
      <w:bodyDiv w:val="1"/>
      <w:marLeft w:val="0"/>
      <w:marRight w:val="0"/>
      <w:marTop w:val="0"/>
      <w:marBottom w:val="0"/>
      <w:divBdr>
        <w:top w:val="none" w:sz="0" w:space="0" w:color="auto"/>
        <w:left w:val="none" w:sz="0" w:space="0" w:color="auto"/>
        <w:bottom w:val="none" w:sz="0" w:space="0" w:color="auto"/>
        <w:right w:val="none" w:sz="0" w:space="0" w:color="auto"/>
      </w:divBdr>
    </w:div>
    <w:div w:id="2036929969">
      <w:bodyDiv w:val="1"/>
      <w:marLeft w:val="0"/>
      <w:marRight w:val="0"/>
      <w:marTop w:val="0"/>
      <w:marBottom w:val="0"/>
      <w:divBdr>
        <w:top w:val="none" w:sz="0" w:space="0" w:color="auto"/>
        <w:left w:val="none" w:sz="0" w:space="0" w:color="auto"/>
        <w:bottom w:val="none" w:sz="0" w:space="0" w:color="auto"/>
        <w:right w:val="none" w:sz="0" w:space="0" w:color="auto"/>
      </w:divBdr>
    </w:div>
    <w:div w:id="2049599805">
      <w:bodyDiv w:val="1"/>
      <w:marLeft w:val="0"/>
      <w:marRight w:val="0"/>
      <w:marTop w:val="0"/>
      <w:marBottom w:val="0"/>
      <w:divBdr>
        <w:top w:val="none" w:sz="0" w:space="0" w:color="auto"/>
        <w:left w:val="none" w:sz="0" w:space="0" w:color="auto"/>
        <w:bottom w:val="none" w:sz="0" w:space="0" w:color="auto"/>
        <w:right w:val="none" w:sz="0" w:space="0" w:color="auto"/>
      </w:divBdr>
    </w:div>
    <w:div w:id="2050033583">
      <w:bodyDiv w:val="1"/>
      <w:marLeft w:val="0"/>
      <w:marRight w:val="0"/>
      <w:marTop w:val="0"/>
      <w:marBottom w:val="0"/>
      <w:divBdr>
        <w:top w:val="none" w:sz="0" w:space="0" w:color="auto"/>
        <w:left w:val="none" w:sz="0" w:space="0" w:color="auto"/>
        <w:bottom w:val="none" w:sz="0" w:space="0" w:color="auto"/>
        <w:right w:val="none" w:sz="0" w:space="0" w:color="auto"/>
      </w:divBdr>
    </w:div>
    <w:div w:id="2050252592">
      <w:bodyDiv w:val="1"/>
      <w:marLeft w:val="0"/>
      <w:marRight w:val="0"/>
      <w:marTop w:val="0"/>
      <w:marBottom w:val="0"/>
      <w:divBdr>
        <w:top w:val="none" w:sz="0" w:space="0" w:color="auto"/>
        <w:left w:val="none" w:sz="0" w:space="0" w:color="auto"/>
        <w:bottom w:val="none" w:sz="0" w:space="0" w:color="auto"/>
        <w:right w:val="none" w:sz="0" w:space="0" w:color="auto"/>
      </w:divBdr>
    </w:div>
    <w:div w:id="2052344818">
      <w:bodyDiv w:val="1"/>
      <w:marLeft w:val="0"/>
      <w:marRight w:val="0"/>
      <w:marTop w:val="0"/>
      <w:marBottom w:val="0"/>
      <w:divBdr>
        <w:top w:val="none" w:sz="0" w:space="0" w:color="auto"/>
        <w:left w:val="none" w:sz="0" w:space="0" w:color="auto"/>
        <w:bottom w:val="none" w:sz="0" w:space="0" w:color="auto"/>
        <w:right w:val="none" w:sz="0" w:space="0" w:color="auto"/>
      </w:divBdr>
    </w:div>
    <w:div w:id="2052920240">
      <w:bodyDiv w:val="1"/>
      <w:marLeft w:val="0"/>
      <w:marRight w:val="0"/>
      <w:marTop w:val="0"/>
      <w:marBottom w:val="0"/>
      <w:divBdr>
        <w:top w:val="none" w:sz="0" w:space="0" w:color="auto"/>
        <w:left w:val="none" w:sz="0" w:space="0" w:color="auto"/>
        <w:bottom w:val="none" w:sz="0" w:space="0" w:color="auto"/>
        <w:right w:val="none" w:sz="0" w:space="0" w:color="auto"/>
      </w:divBdr>
    </w:div>
    <w:div w:id="2083526297">
      <w:bodyDiv w:val="1"/>
      <w:marLeft w:val="0"/>
      <w:marRight w:val="0"/>
      <w:marTop w:val="0"/>
      <w:marBottom w:val="0"/>
      <w:divBdr>
        <w:top w:val="none" w:sz="0" w:space="0" w:color="auto"/>
        <w:left w:val="none" w:sz="0" w:space="0" w:color="auto"/>
        <w:bottom w:val="none" w:sz="0" w:space="0" w:color="auto"/>
        <w:right w:val="none" w:sz="0" w:space="0" w:color="auto"/>
      </w:divBdr>
    </w:div>
    <w:div w:id="2083677531">
      <w:bodyDiv w:val="1"/>
      <w:marLeft w:val="0"/>
      <w:marRight w:val="0"/>
      <w:marTop w:val="0"/>
      <w:marBottom w:val="0"/>
      <w:divBdr>
        <w:top w:val="none" w:sz="0" w:space="0" w:color="auto"/>
        <w:left w:val="none" w:sz="0" w:space="0" w:color="auto"/>
        <w:bottom w:val="none" w:sz="0" w:space="0" w:color="auto"/>
        <w:right w:val="none" w:sz="0" w:space="0" w:color="auto"/>
      </w:divBdr>
    </w:div>
    <w:div w:id="2084797460">
      <w:bodyDiv w:val="1"/>
      <w:marLeft w:val="0"/>
      <w:marRight w:val="0"/>
      <w:marTop w:val="0"/>
      <w:marBottom w:val="0"/>
      <w:divBdr>
        <w:top w:val="none" w:sz="0" w:space="0" w:color="auto"/>
        <w:left w:val="none" w:sz="0" w:space="0" w:color="auto"/>
        <w:bottom w:val="none" w:sz="0" w:space="0" w:color="auto"/>
        <w:right w:val="none" w:sz="0" w:space="0" w:color="auto"/>
      </w:divBdr>
    </w:div>
    <w:div w:id="2084833980">
      <w:bodyDiv w:val="1"/>
      <w:marLeft w:val="0"/>
      <w:marRight w:val="0"/>
      <w:marTop w:val="0"/>
      <w:marBottom w:val="0"/>
      <w:divBdr>
        <w:top w:val="none" w:sz="0" w:space="0" w:color="auto"/>
        <w:left w:val="none" w:sz="0" w:space="0" w:color="auto"/>
        <w:bottom w:val="none" w:sz="0" w:space="0" w:color="auto"/>
        <w:right w:val="none" w:sz="0" w:space="0" w:color="auto"/>
      </w:divBdr>
    </w:div>
    <w:div w:id="2085908477">
      <w:bodyDiv w:val="1"/>
      <w:marLeft w:val="0"/>
      <w:marRight w:val="0"/>
      <w:marTop w:val="0"/>
      <w:marBottom w:val="0"/>
      <w:divBdr>
        <w:top w:val="none" w:sz="0" w:space="0" w:color="auto"/>
        <w:left w:val="none" w:sz="0" w:space="0" w:color="auto"/>
        <w:bottom w:val="none" w:sz="0" w:space="0" w:color="auto"/>
        <w:right w:val="none" w:sz="0" w:space="0" w:color="auto"/>
      </w:divBdr>
    </w:div>
    <w:div w:id="2086098705">
      <w:bodyDiv w:val="1"/>
      <w:marLeft w:val="0"/>
      <w:marRight w:val="0"/>
      <w:marTop w:val="0"/>
      <w:marBottom w:val="0"/>
      <w:divBdr>
        <w:top w:val="none" w:sz="0" w:space="0" w:color="auto"/>
        <w:left w:val="none" w:sz="0" w:space="0" w:color="auto"/>
        <w:bottom w:val="none" w:sz="0" w:space="0" w:color="auto"/>
        <w:right w:val="none" w:sz="0" w:space="0" w:color="auto"/>
      </w:divBdr>
    </w:div>
    <w:div w:id="2092580287">
      <w:bodyDiv w:val="1"/>
      <w:marLeft w:val="0"/>
      <w:marRight w:val="0"/>
      <w:marTop w:val="0"/>
      <w:marBottom w:val="0"/>
      <w:divBdr>
        <w:top w:val="none" w:sz="0" w:space="0" w:color="auto"/>
        <w:left w:val="none" w:sz="0" w:space="0" w:color="auto"/>
        <w:bottom w:val="none" w:sz="0" w:space="0" w:color="auto"/>
        <w:right w:val="none" w:sz="0" w:space="0" w:color="auto"/>
      </w:divBdr>
    </w:div>
    <w:div w:id="2095660936">
      <w:bodyDiv w:val="1"/>
      <w:marLeft w:val="0"/>
      <w:marRight w:val="0"/>
      <w:marTop w:val="0"/>
      <w:marBottom w:val="0"/>
      <w:divBdr>
        <w:top w:val="none" w:sz="0" w:space="0" w:color="auto"/>
        <w:left w:val="none" w:sz="0" w:space="0" w:color="auto"/>
        <w:bottom w:val="none" w:sz="0" w:space="0" w:color="auto"/>
        <w:right w:val="none" w:sz="0" w:space="0" w:color="auto"/>
      </w:divBdr>
    </w:div>
    <w:div w:id="2099324235">
      <w:bodyDiv w:val="1"/>
      <w:marLeft w:val="0"/>
      <w:marRight w:val="0"/>
      <w:marTop w:val="0"/>
      <w:marBottom w:val="0"/>
      <w:divBdr>
        <w:top w:val="none" w:sz="0" w:space="0" w:color="auto"/>
        <w:left w:val="none" w:sz="0" w:space="0" w:color="auto"/>
        <w:bottom w:val="none" w:sz="0" w:space="0" w:color="auto"/>
        <w:right w:val="none" w:sz="0" w:space="0" w:color="auto"/>
      </w:divBdr>
    </w:div>
    <w:div w:id="2100443098">
      <w:bodyDiv w:val="1"/>
      <w:marLeft w:val="0"/>
      <w:marRight w:val="0"/>
      <w:marTop w:val="0"/>
      <w:marBottom w:val="0"/>
      <w:divBdr>
        <w:top w:val="none" w:sz="0" w:space="0" w:color="auto"/>
        <w:left w:val="none" w:sz="0" w:space="0" w:color="auto"/>
        <w:bottom w:val="none" w:sz="0" w:space="0" w:color="auto"/>
        <w:right w:val="none" w:sz="0" w:space="0" w:color="auto"/>
      </w:divBdr>
    </w:div>
    <w:div w:id="2102067252">
      <w:bodyDiv w:val="1"/>
      <w:marLeft w:val="0"/>
      <w:marRight w:val="0"/>
      <w:marTop w:val="0"/>
      <w:marBottom w:val="0"/>
      <w:divBdr>
        <w:top w:val="none" w:sz="0" w:space="0" w:color="auto"/>
        <w:left w:val="none" w:sz="0" w:space="0" w:color="auto"/>
        <w:bottom w:val="none" w:sz="0" w:space="0" w:color="auto"/>
        <w:right w:val="none" w:sz="0" w:space="0" w:color="auto"/>
      </w:divBdr>
    </w:div>
    <w:div w:id="2107849458">
      <w:bodyDiv w:val="1"/>
      <w:marLeft w:val="0"/>
      <w:marRight w:val="0"/>
      <w:marTop w:val="0"/>
      <w:marBottom w:val="0"/>
      <w:divBdr>
        <w:top w:val="none" w:sz="0" w:space="0" w:color="auto"/>
        <w:left w:val="none" w:sz="0" w:space="0" w:color="auto"/>
        <w:bottom w:val="none" w:sz="0" w:space="0" w:color="auto"/>
        <w:right w:val="none" w:sz="0" w:space="0" w:color="auto"/>
      </w:divBdr>
    </w:div>
    <w:div w:id="2117169497">
      <w:bodyDiv w:val="1"/>
      <w:marLeft w:val="0"/>
      <w:marRight w:val="0"/>
      <w:marTop w:val="0"/>
      <w:marBottom w:val="0"/>
      <w:divBdr>
        <w:top w:val="none" w:sz="0" w:space="0" w:color="auto"/>
        <w:left w:val="none" w:sz="0" w:space="0" w:color="auto"/>
        <w:bottom w:val="none" w:sz="0" w:space="0" w:color="auto"/>
        <w:right w:val="none" w:sz="0" w:space="0" w:color="auto"/>
      </w:divBdr>
    </w:div>
    <w:div w:id="2120680073">
      <w:bodyDiv w:val="1"/>
      <w:marLeft w:val="0"/>
      <w:marRight w:val="0"/>
      <w:marTop w:val="0"/>
      <w:marBottom w:val="0"/>
      <w:divBdr>
        <w:top w:val="none" w:sz="0" w:space="0" w:color="auto"/>
        <w:left w:val="none" w:sz="0" w:space="0" w:color="auto"/>
        <w:bottom w:val="none" w:sz="0" w:space="0" w:color="auto"/>
        <w:right w:val="none" w:sz="0" w:space="0" w:color="auto"/>
      </w:divBdr>
    </w:div>
    <w:div w:id="2130510460">
      <w:bodyDiv w:val="1"/>
      <w:marLeft w:val="0"/>
      <w:marRight w:val="0"/>
      <w:marTop w:val="0"/>
      <w:marBottom w:val="0"/>
      <w:divBdr>
        <w:top w:val="none" w:sz="0" w:space="0" w:color="auto"/>
        <w:left w:val="none" w:sz="0" w:space="0" w:color="auto"/>
        <w:bottom w:val="none" w:sz="0" w:space="0" w:color="auto"/>
        <w:right w:val="none" w:sz="0" w:space="0" w:color="auto"/>
      </w:divBdr>
    </w:div>
    <w:div w:id="2131512850">
      <w:bodyDiv w:val="1"/>
      <w:marLeft w:val="0"/>
      <w:marRight w:val="0"/>
      <w:marTop w:val="0"/>
      <w:marBottom w:val="0"/>
      <w:divBdr>
        <w:top w:val="none" w:sz="0" w:space="0" w:color="auto"/>
        <w:left w:val="none" w:sz="0" w:space="0" w:color="auto"/>
        <w:bottom w:val="none" w:sz="0" w:space="0" w:color="auto"/>
        <w:right w:val="none" w:sz="0" w:space="0" w:color="auto"/>
      </w:divBdr>
    </w:div>
    <w:div w:id="2133163658">
      <w:bodyDiv w:val="1"/>
      <w:marLeft w:val="0"/>
      <w:marRight w:val="0"/>
      <w:marTop w:val="0"/>
      <w:marBottom w:val="0"/>
      <w:divBdr>
        <w:top w:val="none" w:sz="0" w:space="0" w:color="auto"/>
        <w:left w:val="none" w:sz="0" w:space="0" w:color="auto"/>
        <w:bottom w:val="none" w:sz="0" w:space="0" w:color="auto"/>
        <w:right w:val="none" w:sz="0" w:space="0" w:color="auto"/>
      </w:divBdr>
    </w:div>
    <w:div w:id="214141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emf"/><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image" Target="media/image54.emf"/><Relationship Id="rId84" Type="http://schemas.openxmlformats.org/officeDocument/2006/relationships/image" Target="media/image75.emf"/><Relationship Id="rId138" Type="http://schemas.openxmlformats.org/officeDocument/2006/relationships/image" Target="media/image129.emf"/><Relationship Id="rId159" Type="http://schemas.openxmlformats.org/officeDocument/2006/relationships/image" Target="media/image147.png"/><Relationship Id="rId170" Type="http://schemas.openxmlformats.org/officeDocument/2006/relationships/image" Target="media/image158.svg"/><Relationship Id="rId191" Type="http://schemas.openxmlformats.org/officeDocument/2006/relationships/image" Target="media/image175.emf"/><Relationship Id="rId107" Type="http://schemas.openxmlformats.org/officeDocument/2006/relationships/image" Target="media/image98.emf"/><Relationship Id="rId11" Type="http://schemas.openxmlformats.org/officeDocument/2006/relationships/image" Target="media/image3.emf"/><Relationship Id="rId32" Type="http://schemas.openxmlformats.org/officeDocument/2006/relationships/image" Target="media/image24.emf"/><Relationship Id="rId53" Type="http://schemas.openxmlformats.org/officeDocument/2006/relationships/footer" Target="footer1.xml"/><Relationship Id="rId74" Type="http://schemas.openxmlformats.org/officeDocument/2006/relationships/image" Target="media/image65.emf"/><Relationship Id="rId128" Type="http://schemas.openxmlformats.org/officeDocument/2006/relationships/image" Target="media/image119.emf"/><Relationship Id="rId149" Type="http://schemas.openxmlformats.org/officeDocument/2006/relationships/hyperlink" Target="https://europa.eu/eurobarometer/surveys/detail/2667" TargetMode="External"/><Relationship Id="rId5" Type="http://schemas.openxmlformats.org/officeDocument/2006/relationships/webSettings" Target="webSettings.xml"/><Relationship Id="rId95" Type="http://schemas.openxmlformats.org/officeDocument/2006/relationships/image" Target="media/image86.emf"/><Relationship Id="rId160" Type="http://schemas.openxmlformats.org/officeDocument/2006/relationships/image" Target="media/image148.png"/><Relationship Id="rId181" Type="http://schemas.openxmlformats.org/officeDocument/2006/relationships/image" Target="media/image169.png"/><Relationship Id="rId22" Type="http://schemas.openxmlformats.org/officeDocument/2006/relationships/image" Target="media/image14.emf"/><Relationship Id="rId43" Type="http://schemas.openxmlformats.org/officeDocument/2006/relationships/image" Target="media/image35.emf"/><Relationship Id="rId64" Type="http://schemas.openxmlformats.org/officeDocument/2006/relationships/image" Target="media/image55.emf"/><Relationship Id="rId118" Type="http://schemas.openxmlformats.org/officeDocument/2006/relationships/image" Target="media/image109.emf"/><Relationship Id="rId139" Type="http://schemas.openxmlformats.org/officeDocument/2006/relationships/image" Target="media/image130.emf"/><Relationship Id="rId85" Type="http://schemas.openxmlformats.org/officeDocument/2006/relationships/image" Target="media/image76.emf"/><Relationship Id="rId150" Type="http://schemas.openxmlformats.org/officeDocument/2006/relationships/image" Target="media/image140.png"/><Relationship Id="rId171" Type="http://schemas.openxmlformats.org/officeDocument/2006/relationships/image" Target="media/image159.png"/><Relationship Id="rId192" Type="http://schemas.openxmlformats.org/officeDocument/2006/relationships/package" Target="embeddings/Microsoft_Excel_Macro-Enabled_Worksheet.xlsm"/><Relationship Id="rId12" Type="http://schemas.openxmlformats.org/officeDocument/2006/relationships/image" Target="media/image4.emf"/><Relationship Id="rId33" Type="http://schemas.openxmlformats.org/officeDocument/2006/relationships/image" Target="media/image25.emf"/><Relationship Id="rId108" Type="http://schemas.openxmlformats.org/officeDocument/2006/relationships/image" Target="media/image99.emf"/><Relationship Id="rId129" Type="http://schemas.openxmlformats.org/officeDocument/2006/relationships/image" Target="media/image120.emf"/><Relationship Id="rId54" Type="http://schemas.openxmlformats.org/officeDocument/2006/relationships/image" Target="media/image45.emf"/><Relationship Id="rId75" Type="http://schemas.openxmlformats.org/officeDocument/2006/relationships/image" Target="media/image66.emf"/><Relationship Id="rId96" Type="http://schemas.openxmlformats.org/officeDocument/2006/relationships/image" Target="media/image87.emf"/><Relationship Id="rId140" Type="http://schemas.openxmlformats.org/officeDocument/2006/relationships/image" Target="media/image131.emf"/><Relationship Id="rId161" Type="http://schemas.openxmlformats.org/officeDocument/2006/relationships/image" Target="media/image149.png"/><Relationship Id="rId182" Type="http://schemas.openxmlformats.org/officeDocument/2006/relationships/image" Target="media/image170.png"/><Relationship Id="rId6" Type="http://schemas.openxmlformats.org/officeDocument/2006/relationships/footnotes" Target="footnotes.xml"/><Relationship Id="rId23" Type="http://schemas.openxmlformats.org/officeDocument/2006/relationships/image" Target="media/image15.emf"/><Relationship Id="rId119" Type="http://schemas.openxmlformats.org/officeDocument/2006/relationships/image" Target="media/image110.emf"/><Relationship Id="rId44" Type="http://schemas.openxmlformats.org/officeDocument/2006/relationships/image" Target="media/image36.emf"/><Relationship Id="rId65" Type="http://schemas.openxmlformats.org/officeDocument/2006/relationships/image" Target="media/image56.emf"/><Relationship Id="rId86" Type="http://schemas.openxmlformats.org/officeDocument/2006/relationships/image" Target="media/image77.emf"/><Relationship Id="rId130" Type="http://schemas.openxmlformats.org/officeDocument/2006/relationships/image" Target="media/image121.emf"/><Relationship Id="rId151" Type="http://schemas.openxmlformats.org/officeDocument/2006/relationships/hyperlink" Target="https://europa.eu/eurobarometer/surveys/detail/2667" TargetMode="External"/><Relationship Id="rId172" Type="http://schemas.openxmlformats.org/officeDocument/2006/relationships/image" Target="media/image160.png"/><Relationship Id="rId193" Type="http://schemas.openxmlformats.org/officeDocument/2006/relationships/hyperlink" Target="https://www.justice.cz/" TargetMode="External"/><Relationship Id="rId13" Type="http://schemas.openxmlformats.org/officeDocument/2006/relationships/image" Target="media/image5.emf"/><Relationship Id="rId109" Type="http://schemas.openxmlformats.org/officeDocument/2006/relationships/image" Target="media/image100.emf"/><Relationship Id="rId34" Type="http://schemas.openxmlformats.org/officeDocument/2006/relationships/image" Target="media/image26.emf"/><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8.emf"/><Relationship Id="rId120" Type="http://schemas.openxmlformats.org/officeDocument/2006/relationships/image" Target="media/image111.emf"/><Relationship Id="rId141" Type="http://schemas.openxmlformats.org/officeDocument/2006/relationships/image" Target="media/image132.emf"/><Relationship Id="rId7" Type="http://schemas.openxmlformats.org/officeDocument/2006/relationships/endnotes" Target="endnotes.xml"/><Relationship Id="rId71" Type="http://schemas.openxmlformats.org/officeDocument/2006/relationships/image" Target="media/image62.emf"/><Relationship Id="rId92" Type="http://schemas.openxmlformats.org/officeDocument/2006/relationships/image" Target="media/image83.emf"/><Relationship Id="rId162" Type="http://schemas.openxmlformats.org/officeDocument/2006/relationships/image" Target="media/image150.png"/><Relationship Id="rId183" Type="http://schemas.openxmlformats.org/officeDocument/2006/relationships/image" Target="media/image171.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7.emf"/><Relationship Id="rId87" Type="http://schemas.openxmlformats.org/officeDocument/2006/relationships/image" Target="media/image78.emf"/><Relationship Id="rId110" Type="http://schemas.openxmlformats.org/officeDocument/2006/relationships/image" Target="media/image101.emf"/><Relationship Id="rId115" Type="http://schemas.openxmlformats.org/officeDocument/2006/relationships/image" Target="media/image106.emf"/><Relationship Id="rId131" Type="http://schemas.openxmlformats.org/officeDocument/2006/relationships/image" Target="media/image122.emf"/><Relationship Id="rId136" Type="http://schemas.openxmlformats.org/officeDocument/2006/relationships/image" Target="media/image127.emf"/><Relationship Id="rId157" Type="http://schemas.openxmlformats.org/officeDocument/2006/relationships/hyperlink" Target="https://commission.europa.eu/strategy-and-policy/policies/justice-and-fundamental-rights/upholding-rule-law/eu-justice-scoreboard_en" TargetMode="External"/><Relationship Id="rId178" Type="http://schemas.openxmlformats.org/officeDocument/2006/relationships/image" Target="media/image166.png"/><Relationship Id="rId61" Type="http://schemas.openxmlformats.org/officeDocument/2006/relationships/image" Target="media/image52.emf"/><Relationship Id="rId82" Type="http://schemas.openxmlformats.org/officeDocument/2006/relationships/image" Target="media/image73.emf"/><Relationship Id="rId152" Type="http://schemas.openxmlformats.org/officeDocument/2006/relationships/image" Target="media/image141.emf"/><Relationship Id="rId173" Type="http://schemas.openxmlformats.org/officeDocument/2006/relationships/image" Target="media/image161.png"/><Relationship Id="rId194" Type="http://schemas.openxmlformats.org/officeDocument/2006/relationships/image" Target="media/image176.jpg"/><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7.emf"/><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image" Target="media/image96.emf"/><Relationship Id="rId126" Type="http://schemas.openxmlformats.org/officeDocument/2006/relationships/image" Target="media/image117.emf"/><Relationship Id="rId147" Type="http://schemas.openxmlformats.org/officeDocument/2006/relationships/image" Target="media/image138.png"/><Relationship Id="rId168" Type="http://schemas.openxmlformats.org/officeDocument/2006/relationships/image" Target="media/image156.png"/><Relationship Id="rId8" Type="http://schemas.openxmlformats.org/officeDocument/2006/relationships/image" Target="media/image1.jpeg"/><Relationship Id="rId51" Type="http://schemas.openxmlformats.org/officeDocument/2006/relationships/image" Target="media/image43.emf"/><Relationship Id="rId72" Type="http://schemas.openxmlformats.org/officeDocument/2006/relationships/image" Target="media/image63.emf"/><Relationship Id="rId93" Type="http://schemas.openxmlformats.org/officeDocument/2006/relationships/image" Target="media/image84.emf"/><Relationship Id="rId98" Type="http://schemas.openxmlformats.org/officeDocument/2006/relationships/image" Target="media/image89.emf"/><Relationship Id="rId121" Type="http://schemas.openxmlformats.org/officeDocument/2006/relationships/image" Target="media/image112.emf"/><Relationship Id="rId142" Type="http://schemas.openxmlformats.org/officeDocument/2006/relationships/image" Target="media/image133.emf"/><Relationship Id="rId163" Type="http://schemas.openxmlformats.org/officeDocument/2006/relationships/image" Target="media/image151.png"/><Relationship Id="rId184" Type="http://schemas.openxmlformats.org/officeDocument/2006/relationships/image" Target="media/image172.emf"/><Relationship Id="rId189" Type="http://schemas.openxmlformats.org/officeDocument/2006/relationships/hyperlink" Target="https://app.powerbi.com/view?r=eyJrIjoiZGM5Yzk5NTItNjhjOS00OWE4LThjZGYtNjk5ZjBmNTVkNDhlIiwidCI6IjFkNGY3YjIxLWM4YzYtNGZlYS1iMzMwLWM0MWNmNzJjNTdkYyIsImMiOjl9&amp;pageName=ReportSection00d91f5458d4e5cda903" TargetMode="External"/><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8.emf"/><Relationship Id="rId116" Type="http://schemas.openxmlformats.org/officeDocument/2006/relationships/image" Target="media/image107.emf"/><Relationship Id="rId137" Type="http://schemas.openxmlformats.org/officeDocument/2006/relationships/image" Target="media/image128.emf"/><Relationship Id="rId158" Type="http://schemas.openxmlformats.org/officeDocument/2006/relationships/image" Target="media/image146.emf"/><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image" Target="media/image53.emf"/><Relationship Id="rId83" Type="http://schemas.openxmlformats.org/officeDocument/2006/relationships/image" Target="media/image74.emf"/><Relationship Id="rId88" Type="http://schemas.openxmlformats.org/officeDocument/2006/relationships/image" Target="media/image79.emf"/><Relationship Id="rId111" Type="http://schemas.openxmlformats.org/officeDocument/2006/relationships/image" Target="media/image102.emf"/><Relationship Id="rId132" Type="http://schemas.openxmlformats.org/officeDocument/2006/relationships/image" Target="media/image123.emf"/><Relationship Id="rId153" Type="http://schemas.openxmlformats.org/officeDocument/2006/relationships/image" Target="media/image142.emf"/><Relationship Id="rId174" Type="http://schemas.openxmlformats.org/officeDocument/2006/relationships/image" Target="media/image162.svg"/><Relationship Id="rId179" Type="http://schemas.openxmlformats.org/officeDocument/2006/relationships/image" Target="media/image167.png"/><Relationship Id="rId195" Type="http://schemas.openxmlformats.org/officeDocument/2006/relationships/hyperlink" Target="mailto:posta@msp.justice.cz" TargetMode="External"/><Relationship Id="rId190" Type="http://schemas.openxmlformats.org/officeDocument/2006/relationships/image" Target="media/image174.emf"/><Relationship Id="rId15" Type="http://schemas.openxmlformats.org/officeDocument/2006/relationships/image" Target="media/image7.emf"/><Relationship Id="rId36" Type="http://schemas.openxmlformats.org/officeDocument/2006/relationships/image" Target="media/image28.emf"/><Relationship Id="rId57" Type="http://schemas.openxmlformats.org/officeDocument/2006/relationships/image" Target="media/image48.emf"/><Relationship Id="rId106" Type="http://schemas.openxmlformats.org/officeDocument/2006/relationships/image" Target="media/image97.emf"/><Relationship Id="rId127" Type="http://schemas.openxmlformats.org/officeDocument/2006/relationships/image" Target="media/image118.emf"/><Relationship Id="rId10" Type="http://schemas.openxmlformats.org/officeDocument/2006/relationships/hyperlink" Target="https://cslav.justice.cz/InfoData/uvod.html" TargetMode="External"/><Relationship Id="rId31" Type="http://schemas.openxmlformats.org/officeDocument/2006/relationships/image" Target="media/image23.emf"/><Relationship Id="rId52" Type="http://schemas.openxmlformats.org/officeDocument/2006/relationships/image" Target="media/image44.emf"/><Relationship Id="rId73" Type="http://schemas.openxmlformats.org/officeDocument/2006/relationships/image" Target="media/image64.emf"/><Relationship Id="rId78" Type="http://schemas.openxmlformats.org/officeDocument/2006/relationships/image" Target="media/image69.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122" Type="http://schemas.openxmlformats.org/officeDocument/2006/relationships/image" Target="media/image113.emf"/><Relationship Id="rId143" Type="http://schemas.openxmlformats.org/officeDocument/2006/relationships/image" Target="media/image134.emf"/><Relationship Id="rId148" Type="http://schemas.openxmlformats.org/officeDocument/2006/relationships/image" Target="media/image139.png"/><Relationship Id="rId164" Type="http://schemas.openxmlformats.org/officeDocument/2006/relationships/image" Target="media/image152.png"/><Relationship Id="rId169" Type="http://schemas.openxmlformats.org/officeDocument/2006/relationships/image" Target="media/image157.png"/><Relationship Id="rId185" Type="http://schemas.openxmlformats.org/officeDocument/2006/relationships/image" Target="media/image173.emf"/><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68.png"/><Relationship Id="rId26" Type="http://schemas.openxmlformats.org/officeDocument/2006/relationships/image" Target="media/image18.emf"/><Relationship Id="rId47" Type="http://schemas.openxmlformats.org/officeDocument/2006/relationships/image" Target="media/image39.emf"/><Relationship Id="rId68" Type="http://schemas.openxmlformats.org/officeDocument/2006/relationships/image" Target="media/image59.emf"/><Relationship Id="rId89" Type="http://schemas.openxmlformats.org/officeDocument/2006/relationships/image" Target="media/image80.emf"/><Relationship Id="rId112" Type="http://schemas.openxmlformats.org/officeDocument/2006/relationships/image" Target="media/image103.emf"/><Relationship Id="rId133" Type="http://schemas.openxmlformats.org/officeDocument/2006/relationships/image" Target="media/image124.emf"/><Relationship Id="rId154" Type="http://schemas.openxmlformats.org/officeDocument/2006/relationships/image" Target="media/image143.png"/><Relationship Id="rId175" Type="http://schemas.openxmlformats.org/officeDocument/2006/relationships/image" Target="media/image163.png"/><Relationship Id="rId196" Type="http://schemas.openxmlformats.org/officeDocument/2006/relationships/hyperlink" Target="http://www.justice.cz" TargetMode="External"/><Relationship Id="rId16" Type="http://schemas.openxmlformats.org/officeDocument/2006/relationships/image" Target="media/image8.emf"/><Relationship Id="rId37" Type="http://schemas.openxmlformats.org/officeDocument/2006/relationships/image" Target="media/image29.emf"/><Relationship Id="rId58" Type="http://schemas.openxmlformats.org/officeDocument/2006/relationships/image" Target="media/image49.emf"/><Relationship Id="rId79" Type="http://schemas.openxmlformats.org/officeDocument/2006/relationships/image" Target="media/image70.emf"/><Relationship Id="rId102" Type="http://schemas.openxmlformats.org/officeDocument/2006/relationships/image" Target="media/image93.emf"/><Relationship Id="rId123" Type="http://schemas.openxmlformats.org/officeDocument/2006/relationships/image" Target="media/image114.emf"/><Relationship Id="rId144" Type="http://schemas.openxmlformats.org/officeDocument/2006/relationships/image" Target="media/image135.emf"/><Relationship Id="rId90" Type="http://schemas.openxmlformats.org/officeDocument/2006/relationships/image" Target="media/image81.emf"/><Relationship Id="rId165" Type="http://schemas.openxmlformats.org/officeDocument/2006/relationships/image" Target="media/image153.emf"/><Relationship Id="rId186" Type="http://schemas.openxmlformats.org/officeDocument/2006/relationships/hyperlink" Target="https://www.coe.int/en/web/cepej/home" TargetMode="External"/><Relationship Id="rId27" Type="http://schemas.openxmlformats.org/officeDocument/2006/relationships/image" Target="media/image19.emf"/><Relationship Id="rId48" Type="http://schemas.openxmlformats.org/officeDocument/2006/relationships/image" Target="media/image40.emf"/><Relationship Id="rId69" Type="http://schemas.openxmlformats.org/officeDocument/2006/relationships/image" Target="media/image60.emf"/><Relationship Id="rId113" Type="http://schemas.openxmlformats.org/officeDocument/2006/relationships/image" Target="media/image104.emf"/><Relationship Id="rId134" Type="http://schemas.openxmlformats.org/officeDocument/2006/relationships/image" Target="media/image125.emf"/><Relationship Id="rId80" Type="http://schemas.openxmlformats.org/officeDocument/2006/relationships/image" Target="media/image71.emf"/><Relationship Id="rId155" Type="http://schemas.openxmlformats.org/officeDocument/2006/relationships/image" Target="media/image144.png"/><Relationship Id="rId176" Type="http://schemas.openxmlformats.org/officeDocument/2006/relationships/image" Target="media/image164.svg"/><Relationship Id="rId197" Type="http://schemas.openxmlformats.org/officeDocument/2006/relationships/fontTable" Target="fontTable.xml"/><Relationship Id="rId17" Type="http://schemas.openxmlformats.org/officeDocument/2006/relationships/image" Target="media/image9.emf"/><Relationship Id="rId38" Type="http://schemas.openxmlformats.org/officeDocument/2006/relationships/image" Target="media/image30.emf"/><Relationship Id="rId59" Type="http://schemas.openxmlformats.org/officeDocument/2006/relationships/image" Target="media/image50.emf"/><Relationship Id="rId103" Type="http://schemas.openxmlformats.org/officeDocument/2006/relationships/image" Target="media/image94.emf"/><Relationship Id="rId124" Type="http://schemas.openxmlformats.org/officeDocument/2006/relationships/image" Target="media/image115.emf"/><Relationship Id="rId70" Type="http://schemas.openxmlformats.org/officeDocument/2006/relationships/image" Target="media/image61.emf"/><Relationship Id="rId91" Type="http://schemas.openxmlformats.org/officeDocument/2006/relationships/image" Target="media/image82.emf"/><Relationship Id="rId145" Type="http://schemas.openxmlformats.org/officeDocument/2006/relationships/image" Target="media/image136.emf"/><Relationship Id="rId166" Type="http://schemas.openxmlformats.org/officeDocument/2006/relationships/image" Target="media/image154.png"/><Relationship Id="rId187" Type="http://schemas.openxmlformats.org/officeDocument/2006/relationships/hyperlink" Target="http://cslav.justice.cz/InfoData/uvod.html" TargetMode="External"/><Relationship Id="rId1" Type="http://schemas.openxmlformats.org/officeDocument/2006/relationships/customXml" Target="../customXml/item1.xml"/><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105.emf"/><Relationship Id="rId60" Type="http://schemas.openxmlformats.org/officeDocument/2006/relationships/image" Target="media/image51.emf"/><Relationship Id="rId81" Type="http://schemas.openxmlformats.org/officeDocument/2006/relationships/image" Target="media/image72.emf"/><Relationship Id="rId135" Type="http://schemas.openxmlformats.org/officeDocument/2006/relationships/image" Target="media/image126.emf"/><Relationship Id="rId156" Type="http://schemas.openxmlformats.org/officeDocument/2006/relationships/image" Target="media/image145.png"/><Relationship Id="rId177" Type="http://schemas.openxmlformats.org/officeDocument/2006/relationships/image" Target="media/image165.png"/><Relationship Id="rId198" Type="http://schemas.openxmlformats.org/officeDocument/2006/relationships/theme" Target="theme/theme1.xml"/><Relationship Id="rId18" Type="http://schemas.openxmlformats.org/officeDocument/2006/relationships/image" Target="media/image10.emf"/><Relationship Id="rId39" Type="http://schemas.openxmlformats.org/officeDocument/2006/relationships/image" Target="media/image31.emf"/><Relationship Id="rId50" Type="http://schemas.openxmlformats.org/officeDocument/2006/relationships/image" Target="media/image42.emf"/><Relationship Id="rId104" Type="http://schemas.openxmlformats.org/officeDocument/2006/relationships/image" Target="media/image95.emf"/><Relationship Id="rId125" Type="http://schemas.openxmlformats.org/officeDocument/2006/relationships/image" Target="media/image116.emf"/><Relationship Id="rId146" Type="http://schemas.openxmlformats.org/officeDocument/2006/relationships/image" Target="media/image137.png"/><Relationship Id="rId167" Type="http://schemas.openxmlformats.org/officeDocument/2006/relationships/image" Target="media/image155.png"/><Relationship Id="rId188" Type="http://schemas.openxmlformats.org/officeDocument/2006/relationships/hyperlink" Target="https://app.powerbi.com/view?r=eyJrIjoiZDQ4MjVjNGYtODZiYi00ZDFlLTllODYtNDBhZThkYzc0ZDNlIiwidCI6IjFkNGY3YjIxLWM4YzYtNGZlYS1iMzMwLWM0MWNmNzJjNTdkYyIsImMiOjl9&amp;pageName=ReportSectione55efdd03814d2bb8ff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cache/metadata/en/crim_thb_esms.htm" TargetMode="External"/><Relationship Id="rId2" Type="http://schemas.openxmlformats.org/officeDocument/2006/relationships/hyperlink" Target="https://ec.europa.eu/eurostat/databrowser/view/crim_thb_sex/default/table?lang=en&amp;category=crim.crim_thb" TargetMode="External"/><Relationship Id="rId1" Type="http://schemas.openxmlformats.org/officeDocument/2006/relationships/hyperlink" Target="https://www.justice.cz/web/msp/statisticke-udaje-z-oblasti-justic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A8180-C9B9-470E-8245-6ABF5F7BE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210</Pages>
  <Words>52571</Words>
  <Characters>310173</Characters>
  <Application>Microsoft Office Word</Application>
  <DocSecurity>0</DocSecurity>
  <Lines>2584</Lines>
  <Paragraphs>724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2024-08-08T11:22:00Z</dcterms:created>
  <dcterms:modified xsi:type="dcterms:W3CDTF">2024-08-09T05:25:00Z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-134303418</vt:i4>
  </property>
</Properties>
</file>